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F03BA" w14:textId="7EA260B1" w:rsidR="00FF0E8F" w:rsidRDefault="00FF0E8F" w:rsidP="00E35187">
      <w:pPr>
        <w:keepNext/>
        <w:keepLines/>
        <w:suppressAutoHyphens/>
        <w:jc w:val="both"/>
      </w:pPr>
      <w:r>
        <w:tab/>
      </w:r>
      <w:r>
        <w:tab/>
      </w:r>
      <w:r>
        <w:tab/>
      </w:r>
      <w:r>
        <w:tab/>
      </w:r>
      <w:r>
        <w:tab/>
      </w:r>
      <w:r>
        <w:tab/>
        <w:t>Priedas Nr.15</w:t>
      </w:r>
      <w:bookmarkStart w:id="0" w:name="_GoBack"/>
      <w:bookmarkEnd w:id="0"/>
    </w:p>
    <w:p w14:paraId="263EF26E" w14:textId="77777777" w:rsidR="00FF0E8F" w:rsidRDefault="00FF0E8F" w:rsidP="00E35187">
      <w:pPr>
        <w:keepNext/>
        <w:keepLines/>
        <w:suppressAutoHyphens/>
        <w:jc w:val="both"/>
      </w:pPr>
    </w:p>
    <w:p w14:paraId="2DF7C3EB" w14:textId="353B27C7" w:rsidR="00E37865" w:rsidRDefault="00E37865" w:rsidP="00E35187">
      <w:pPr>
        <w:keepNext/>
        <w:keepLines/>
        <w:suppressAutoHyphens/>
        <w:jc w:val="both"/>
      </w:pPr>
      <w:r>
        <w:t>Papildomi reikalavimai sutarčiai:</w:t>
      </w:r>
    </w:p>
    <w:p w14:paraId="1D22F635" w14:textId="77777777" w:rsidR="00E37865" w:rsidRDefault="00E37865" w:rsidP="00E35187">
      <w:pPr>
        <w:keepNext/>
        <w:keepLines/>
        <w:suppressAutoHyphens/>
        <w:jc w:val="both"/>
      </w:pPr>
    </w:p>
    <w:p w14:paraId="7504707F" w14:textId="1CA7A585" w:rsidR="00E35187" w:rsidRDefault="00E35187" w:rsidP="00D36DBD">
      <w:pPr>
        <w:keepNext/>
        <w:keepLines/>
        <w:suppressAutoHyphens/>
        <w:ind w:firstLine="851"/>
        <w:jc w:val="both"/>
        <w:rPr>
          <w:b/>
          <w:bCs/>
          <w:lang w:eastAsia="lt-LT"/>
        </w:rPr>
      </w:pPr>
      <w:r>
        <w:t xml:space="preserve">Reikalavimai nustatomi vadovaujantis </w:t>
      </w:r>
      <w:hyperlink r:id="rId4" w:history="1">
        <w:r w:rsidRPr="005C08C6">
          <w:rPr>
            <w:rStyle w:val="Hipersaitas"/>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08C6">
        <w:rPr>
          <w:szCs w:val="24"/>
        </w:rPr>
        <w:t xml:space="preserve">“ </w:t>
      </w:r>
      <w:r>
        <w:rPr>
          <w:color w:val="000000"/>
          <w:szCs w:val="24"/>
        </w:rPr>
        <w:t>4.1 punktu</w:t>
      </w:r>
      <w:r w:rsidR="00907414">
        <w:rPr>
          <w:color w:val="000000"/>
          <w:szCs w:val="24"/>
        </w:rPr>
        <w:t xml:space="preserve"> ir </w:t>
      </w:r>
      <w:r w:rsidR="00907414" w:rsidRPr="00907414">
        <w:rPr>
          <w:color w:val="000000"/>
          <w:szCs w:val="24"/>
        </w:rPr>
        <w:t>2 priedo XVII skyriaus „Kelių projektavimo paslaugos ir statybos darbai, kelio elementai“ 26.2.1, 26.2.3</w:t>
      </w:r>
      <w:r w:rsidR="00907414">
        <w:rPr>
          <w:color w:val="000000"/>
          <w:szCs w:val="24"/>
        </w:rPr>
        <w:t xml:space="preserve"> papunkčiais</w:t>
      </w:r>
      <w:r>
        <w:rPr>
          <w:color w:val="000000"/>
          <w:szCs w:val="24"/>
        </w:rPr>
        <w:t>.</w:t>
      </w:r>
      <w:r>
        <w:rPr>
          <w:b/>
          <w:bCs/>
          <w:lang w:eastAsia="lt-LT"/>
        </w:rPr>
        <w:t xml:space="preserve"> </w:t>
      </w:r>
    </w:p>
    <w:p w14:paraId="465CB558" w14:textId="77777777" w:rsidR="00E35187" w:rsidRDefault="00E35187" w:rsidP="00A255AE">
      <w:pPr>
        <w:keepNext/>
        <w:keepLines/>
        <w:suppressAutoHyphens/>
        <w:jc w:val="center"/>
        <w:rPr>
          <w:b/>
          <w:bCs/>
          <w:lang w:eastAsia="lt-LT"/>
        </w:rPr>
      </w:pPr>
    </w:p>
    <w:p w14:paraId="17037240" w14:textId="77777777" w:rsidR="00A255AE" w:rsidRDefault="00A255AE" w:rsidP="00A255AE">
      <w:pPr>
        <w:ind w:firstLine="851"/>
        <w:jc w:val="both"/>
        <w:rPr>
          <w:strike/>
          <w:color w:val="000000"/>
          <w:szCs w:val="24"/>
          <w:lang w:eastAsia="lt-LT"/>
        </w:rPr>
      </w:pPr>
      <w:r>
        <w:rPr>
          <w:color w:val="000000"/>
          <w:szCs w:val="24"/>
          <w:lang w:eastAsia="lt-LT"/>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w:t>
      </w:r>
      <w:r>
        <w:rPr>
          <w:strike/>
          <w:color w:val="000000"/>
          <w:szCs w:val="24"/>
          <w:lang w:eastAsia="lt-LT"/>
        </w:rPr>
        <w:t xml:space="preserve"> </w:t>
      </w:r>
      <w:r>
        <w:rPr>
          <w:color w:val="000000"/>
          <w:szCs w:val="24"/>
          <w:lang w:eastAsia="lt-LT"/>
        </w:rPr>
        <w:t>pagal nustatytus minimalius aplinkos apsaugos kriterijus:</w:t>
      </w:r>
    </w:p>
    <w:p w14:paraId="7A42B998" w14:textId="77777777" w:rsidR="00A255AE" w:rsidRDefault="00A255AE" w:rsidP="00A255AE">
      <w:pPr>
        <w:ind w:firstLine="851"/>
        <w:jc w:val="both"/>
        <w:rPr>
          <w:color w:val="000000"/>
          <w:szCs w:val="24"/>
          <w:lang w:eastAsia="lt-LT"/>
        </w:rPr>
      </w:pPr>
      <w:r>
        <w:rPr>
          <w:color w:val="000000"/>
          <w:szCs w:val="24"/>
          <w:lang w:eastAsia="lt-LT"/>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A255AE" w14:paraId="3601C006" w14:textId="77777777" w:rsidTr="00904CC7">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D6ECD5" w14:textId="77777777" w:rsidR="00A255AE" w:rsidRDefault="00A255AE" w:rsidP="00904CC7">
            <w:pPr>
              <w:jc w:val="both"/>
              <w:rPr>
                <w:szCs w:val="24"/>
                <w:lang w:eastAsia="lt-LT"/>
              </w:rPr>
            </w:pPr>
            <w:r>
              <w:rPr>
                <w:sz w:val="22"/>
                <w:szCs w:val="22"/>
                <w:lang w:eastAsia="lt-LT"/>
              </w:rPr>
              <w:t>Kelio dangos konstrukcijos sluoksnis</w:t>
            </w:r>
          </w:p>
          <w:p w14:paraId="0C48A7E2" w14:textId="77777777" w:rsidR="00A255AE" w:rsidRDefault="00A255AE" w:rsidP="00904CC7">
            <w:pPr>
              <w:ind w:firstLine="57"/>
              <w:jc w:val="both"/>
              <w:rPr>
                <w:szCs w:val="24"/>
                <w:lang w:eastAsia="lt-LT"/>
              </w:rPr>
            </w:pP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5D505B" w14:textId="77777777" w:rsidR="00A255AE" w:rsidRDefault="00A255AE" w:rsidP="00904CC7">
            <w:pPr>
              <w:jc w:val="both"/>
              <w:rPr>
                <w:szCs w:val="24"/>
                <w:lang w:eastAsia="lt-LT"/>
              </w:rPr>
            </w:pPr>
            <w:r>
              <w:rPr>
                <w:sz w:val="22"/>
                <w:szCs w:val="22"/>
                <w:lang w:eastAsia="lt-LT"/>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E0A94C" w14:textId="77777777" w:rsidR="00A255AE" w:rsidRDefault="00A255AE" w:rsidP="00904CC7">
            <w:pPr>
              <w:jc w:val="both"/>
              <w:rPr>
                <w:szCs w:val="24"/>
                <w:lang w:eastAsia="lt-LT"/>
              </w:rPr>
            </w:pPr>
            <w:r>
              <w:rPr>
                <w:sz w:val="22"/>
                <w:szCs w:val="22"/>
                <w:lang w:eastAsia="lt-LT"/>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B9436" w14:textId="77777777" w:rsidR="00A255AE" w:rsidRDefault="00A255AE" w:rsidP="00904CC7">
            <w:pPr>
              <w:jc w:val="both"/>
              <w:rPr>
                <w:szCs w:val="24"/>
                <w:lang w:eastAsia="lt-LT"/>
              </w:rPr>
            </w:pPr>
            <w:r>
              <w:rPr>
                <w:sz w:val="22"/>
                <w:szCs w:val="22"/>
                <w:lang w:eastAsia="lt-LT"/>
              </w:rPr>
              <w:t>Mažiausias pakartotinio panaudojimo užpildų ir kelių tiesimo medžiagų (tam pačiam kelio dangos konstrukcijos sluoksniui) kiekis, proc.</w:t>
            </w:r>
          </w:p>
        </w:tc>
      </w:tr>
      <w:tr w:rsidR="00A255AE" w14:paraId="65988BE9" w14:textId="77777777" w:rsidTr="00904CC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068F0" w14:textId="77777777" w:rsidR="00A255AE" w:rsidRDefault="00A255AE" w:rsidP="00904CC7">
            <w:pPr>
              <w:jc w:val="both"/>
              <w:rPr>
                <w:szCs w:val="24"/>
                <w:lang w:eastAsia="lt-LT"/>
              </w:rPr>
            </w:pPr>
            <w:r>
              <w:rPr>
                <w:sz w:val="22"/>
                <w:szCs w:val="22"/>
                <w:lang w:eastAsia="lt-LT"/>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6B952" w14:textId="77777777" w:rsidR="00A255AE" w:rsidRDefault="00A255AE" w:rsidP="00904CC7">
            <w:pPr>
              <w:jc w:val="center"/>
              <w:rPr>
                <w:szCs w:val="24"/>
                <w:lang w:eastAsia="lt-LT"/>
              </w:rPr>
            </w:pPr>
            <w:r>
              <w:rPr>
                <w:sz w:val="22"/>
                <w:szCs w:val="22"/>
                <w:lang w:eastAsia="lt-LT"/>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05BA1" w14:textId="77777777" w:rsidR="00A255AE" w:rsidRDefault="00A255AE" w:rsidP="00904CC7">
            <w:pPr>
              <w:jc w:val="center"/>
              <w:rPr>
                <w:szCs w:val="24"/>
                <w:lang w:eastAsia="lt-LT"/>
              </w:rPr>
            </w:pPr>
            <w:r>
              <w:rPr>
                <w:sz w:val="22"/>
                <w:szCs w:val="22"/>
                <w:lang w:eastAsia="lt-LT"/>
              </w:rPr>
              <w:t xml:space="preserve">15,0 </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77E4FC" w14:textId="77777777" w:rsidR="00A255AE" w:rsidRDefault="00A255AE" w:rsidP="00904CC7">
            <w:pPr>
              <w:jc w:val="center"/>
              <w:rPr>
                <w:szCs w:val="24"/>
                <w:lang w:eastAsia="lt-LT"/>
              </w:rPr>
            </w:pPr>
            <w:r>
              <w:rPr>
                <w:sz w:val="22"/>
                <w:szCs w:val="22"/>
                <w:lang w:eastAsia="lt-LT"/>
              </w:rPr>
              <w:t>5,0</w:t>
            </w:r>
          </w:p>
        </w:tc>
      </w:tr>
      <w:tr w:rsidR="00A255AE" w14:paraId="3714FDE8" w14:textId="77777777" w:rsidTr="00904CC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C46EF" w14:textId="77777777" w:rsidR="00A255AE" w:rsidRDefault="00A255AE" w:rsidP="00904CC7">
            <w:pPr>
              <w:jc w:val="both"/>
              <w:rPr>
                <w:szCs w:val="24"/>
                <w:lang w:eastAsia="lt-LT"/>
              </w:rPr>
            </w:pPr>
            <w:r>
              <w:rPr>
                <w:sz w:val="22"/>
                <w:szCs w:val="22"/>
                <w:lang w:eastAsia="lt-LT"/>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9F7C5" w14:textId="77777777" w:rsidR="00A255AE" w:rsidRDefault="00A255AE" w:rsidP="00904CC7">
            <w:pPr>
              <w:jc w:val="center"/>
              <w:rPr>
                <w:szCs w:val="24"/>
                <w:lang w:eastAsia="lt-LT"/>
              </w:rPr>
            </w:pPr>
            <w:r>
              <w:rPr>
                <w:sz w:val="22"/>
                <w:szCs w:val="22"/>
                <w:lang w:eastAsia="lt-LT"/>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31C35" w14:textId="77777777" w:rsidR="00A255AE" w:rsidRDefault="00A255AE" w:rsidP="00904CC7">
            <w:pPr>
              <w:jc w:val="center"/>
              <w:rPr>
                <w:szCs w:val="24"/>
                <w:lang w:eastAsia="lt-LT"/>
              </w:rPr>
            </w:pPr>
            <w:r>
              <w:rPr>
                <w:sz w:val="22"/>
                <w:szCs w:val="22"/>
                <w:lang w:eastAsia="lt-LT"/>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DD65A" w14:textId="77777777" w:rsidR="00A255AE" w:rsidRDefault="00A255AE" w:rsidP="00904CC7">
            <w:pPr>
              <w:jc w:val="center"/>
              <w:rPr>
                <w:szCs w:val="24"/>
                <w:lang w:eastAsia="lt-LT"/>
              </w:rPr>
            </w:pPr>
            <w:r>
              <w:rPr>
                <w:sz w:val="22"/>
                <w:szCs w:val="22"/>
                <w:lang w:eastAsia="lt-LT"/>
              </w:rPr>
              <w:t xml:space="preserve">5,0 </w:t>
            </w:r>
          </w:p>
        </w:tc>
      </w:tr>
      <w:tr w:rsidR="00A255AE" w14:paraId="22905D8D" w14:textId="77777777" w:rsidTr="00904CC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D8FF6" w14:textId="77777777" w:rsidR="00A255AE" w:rsidRDefault="00A255AE" w:rsidP="00904CC7">
            <w:pPr>
              <w:jc w:val="both"/>
              <w:rPr>
                <w:szCs w:val="24"/>
                <w:lang w:eastAsia="lt-LT"/>
              </w:rPr>
            </w:pPr>
            <w:r>
              <w:rPr>
                <w:sz w:val="22"/>
                <w:szCs w:val="22"/>
                <w:lang w:eastAsia="lt-LT"/>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8B2AD" w14:textId="77777777" w:rsidR="00A255AE" w:rsidRDefault="00A255AE" w:rsidP="00904CC7">
            <w:pPr>
              <w:jc w:val="center"/>
              <w:rPr>
                <w:szCs w:val="24"/>
                <w:lang w:eastAsia="lt-LT"/>
              </w:rPr>
            </w:pPr>
            <w:r>
              <w:rPr>
                <w:sz w:val="22"/>
                <w:szCs w:val="22"/>
                <w:lang w:eastAsia="lt-LT"/>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B5650" w14:textId="77777777" w:rsidR="00A255AE" w:rsidRDefault="00A255AE" w:rsidP="00904CC7">
            <w:pPr>
              <w:jc w:val="center"/>
              <w:rPr>
                <w:szCs w:val="24"/>
                <w:lang w:eastAsia="lt-LT"/>
              </w:rPr>
            </w:pPr>
            <w:r>
              <w:rPr>
                <w:sz w:val="22"/>
                <w:szCs w:val="22"/>
                <w:lang w:eastAsia="lt-LT"/>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B0F21" w14:textId="77777777" w:rsidR="00A255AE" w:rsidRDefault="00A255AE" w:rsidP="00904CC7">
            <w:pPr>
              <w:jc w:val="center"/>
              <w:rPr>
                <w:strike/>
                <w:szCs w:val="24"/>
                <w:lang w:eastAsia="lt-LT"/>
              </w:rPr>
            </w:pPr>
            <w:r>
              <w:rPr>
                <w:sz w:val="22"/>
                <w:szCs w:val="22"/>
                <w:lang w:eastAsia="lt-LT"/>
              </w:rPr>
              <w:t>15,0</w:t>
            </w:r>
          </w:p>
        </w:tc>
      </w:tr>
      <w:tr w:rsidR="00A255AE" w14:paraId="72552A46" w14:textId="77777777" w:rsidTr="00904CC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1A7AB" w14:textId="77777777" w:rsidR="00A255AE" w:rsidRDefault="00A255AE" w:rsidP="00904CC7">
            <w:pPr>
              <w:jc w:val="both"/>
              <w:rPr>
                <w:sz w:val="22"/>
                <w:szCs w:val="22"/>
                <w:lang w:eastAsia="lt-LT"/>
              </w:rPr>
            </w:pPr>
            <w:r>
              <w:rPr>
                <w:sz w:val="22"/>
                <w:szCs w:val="22"/>
                <w:lang w:eastAsia="lt-LT"/>
              </w:rPr>
              <w:t>Pagrindas be rišiklių,</w:t>
            </w:r>
          </w:p>
          <w:p w14:paraId="1869FC80" w14:textId="77777777" w:rsidR="00A255AE" w:rsidRDefault="00A255AE" w:rsidP="00904CC7">
            <w:pPr>
              <w:jc w:val="both"/>
              <w:rPr>
                <w:szCs w:val="24"/>
                <w:lang w:eastAsia="lt-LT"/>
              </w:rPr>
            </w:pPr>
            <w:r>
              <w:rPr>
                <w:sz w:val="22"/>
                <w:szCs w:val="22"/>
                <w:lang w:eastAsia="lt-LT"/>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0888E0" w14:textId="77777777" w:rsidR="00A255AE" w:rsidRDefault="00A255AE" w:rsidP="00904CC7">
            <w:pPr>
              <w:jc w:val="center"/>
              <w:rPr>
                <w:szCs w:val="24"/>
                <w:lang w:eastAsia="lt-LT"/>
              </w:rPr>
            </w:pPr>
            <w:r>
              <w:rPr>
                <w:sz w:val="22"/>
                <w:szCs w:val="22"/>
                <w:lang w:eastAsia="lt-LT"/>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7D311" w14:textId="77777777" w:rsidR="00A255AE" w:rsidRDefault="00A255AE" w:rsidP="00904CC7">
            <w:pPr>
              <w:jc w:val="center"/>
              <w:rPr>
                <w:szCs w:val="24"/>
                <w:highlight w:val="yellow"/>
                <w:lang w:eastAsia="lt-LT"/>
              </w:rPr>
            </w:pPr>
            <w:r>
              <w:rPr>
                <w:sz w:val="22"/>
                <w:szCs w:val="22"/>
                <w:lang w:eastAsia="lt-LT"/>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8F6E9" w14:textId="77777777" w:rsidR="00A255AE" w:rsidRDefault="00A255AE" w:rsidP="00904CC7">
            <w:pPr>
              <w:jc w:val="center"/>
              <w:rPr>
                <w:szCs w:val="24"/>
                <w:highlight w:val="yellow"/>
                <w:lang w:eastAsia="lt-LT"/>
              </w:rPr>
            </w:pPr>
            <w:r>
              <w:rPr>
                <w:sz w:val="22"/>
                <w:szCs w:val="22"/>
                <w:lang w:eastAsia="lt-LT"/>
              </w:rPr>
              <w:t>15,0</w:t>
            </w:r>
          </w:p>
        </w:tc>
      </w:tr>
      <w:tr w:rsidR="00A255AE" w14:paraId="17EBC07B" w14:textId="77777777" w:rsidTr="00904CC7">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3B345" w14:textId="77777777" w:rsidR="00A255AE" w:rsidRDefault="00A255AE" w:rsidP="00904CC7">
            <w:pPr>
              <w:jc w:val="both"/>
              <w:rPr>
                <w:szCs w:val="24"/>
                <w:lang w:eastAsia="lt-LT"/>
              </w:rPr>
            </w:pPr>
            <w:r>
              <w:rPr>
                <w:sz w:val="22"/>
                <w:szCs w:val="22"/>
                <w:lang w:eastAsia="lt-LT"/>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13103" w14:textId="77777777" w:rsidR="00A255AE" w:rsidRDefault="00A255AE" w:rsidP="00904CC7">
            <w:pPr>
              <w:jc w:val="center"/>
              <w:rPr>
                <w:szCs w:val="24"/>
                <w:lang w:eastAsia="lt-LT"/>
              </w:rPr>
            </w:pPr>
            <w:r>
              <w:rPr>
                <w:sz w:val="22"/>
                <w:szCs w:val="22"/>
                <w:lang w:eastAsia="lt-LT"/>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21CDA" w14:textId="77777777" w:rsidR="00A255AE" w:rsidRDefault="00A255AE" w:rsidP="00904CC7">
            <w:pPr>
              <w:jc w:val="center"/>
              <w:rPr>
                <w:sz w:val="22"/>
                <w:szCs w:val="22"/>
                <w:lang w:eastAsia="lt-LT"/>
              </w:rPr>
            </w:pPr>
            <w:r>
              <w:rPr>
                <w:sz w:val="22"/>
                <w:szCs w:val="22"/>
                <w:lang w:eastAsia="lt-LT"/>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9AC16" w14:textId="77777777" w:rsidR="00A255AE" w:rsidRDefault="00A255AE" w:rsidP="00904CC7">
            <w:pPr>
              <w:jc w:val="center"/>
              <w:rPr>
                <w:szCs w:val="24"/>
                <w:lang w:eastAsia="lt-LT"/>
              </w:rPr>
            </w:pPr>
            <w:r>
              <w:rPr>
                <w:sz w:val="22"/>
                <w:szCs w:val="22"/>
                <w:lang w:eastAsia="lt-LT"/>
              </w:rPr>
              <w:t>-</w:t>
            </w:r>
          </w:p>
        </w:tc>
      </w:tr>
      <w:tr w:rsidR="00A255AE" w14:paraId="4C8017EE" w14:textId="77777777" w:rsidTr="00904CC7">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3E528" w14:textId="77777777" w:rsidR="00A255AE" w:rsidRDefault="00A255AE" w:rsidP="00904CC7">
            <w:pPr>
              <w:jc w:val="both"/>
              <w:rPr>
                <w:szCs w:val="24"/>
                <w:lang w:eastAsia="lt-LT"/>
              </w:rPr>
            </w:pPr>
            <w:r>
              <w:rPr>
                <w:sz w:val="22"/>
                <w:szCs w:val="22"/>
                <w:lang w:eastAsia="lt-LT"/>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B0B65" w14:textId="77777777" w:rsidR="00A255AE" w:rsidRDefault="00A255AE" w:rsidP="00904CC7">
            <w:pPr>
              <w:jc w:val="center"/>
              <w:rPr>
                <w:szCs w:val="24"/>
                <w:lang w:eastAsia="lt-LT"/>
              </w:rPr>
            </w:pPr>
            <w:r>
              <w:rPr>
                <w:sz w:val="22"/>
                <w:szCs w:val="22"/>
                <w:lang w:eastAsia="lt-LT"/>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0EFB2" w14:textId="77777777" w:rsidR="00A255AE" w:rsidRDefault="00A255AE" w:rsidP="00904CC7">
            <w:pPr>
              <w:jc w:val="center"/>
              <w:rPr>
                <w:szCs w:val="24"/>
                <w:lang w:eastAsia="lt-LT"/>
              </w:rPr>
            </w:pPr>
            <w:r>
              <w:rPr>
                <w:sz w:val="22"/>
                <w:szCs w:val="22"/>
                <w:lang w:eastAsia="lt-LT"/>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83683" w14:textId="77777777" w:rsidR="00A255AE" w:rsidRDefault="00A255AE" w:rsidP="00904CC7">
            <w:pPr>
              <w:jc w:val="center"/>
              <w:rPr>
                <w:szCs w:val="24"/>
                <w:lang w:eastAsia="lt-LT"/>
              </w:rPr>
            </w:pPr>
            <w:r>
              <w:rPr>
                <w:sz w:val="22"/>
                <w:szCs w:val="22"/>
                <w:lang w:eastAsia="lt-LT"/>
              </w:rPr>
              <w:t>-</w:t>
            </w:r>
          </w:p>
        </w:tc>
      </w:tr>
      <w:tr w:rsidR="00A255AE" w14:paraId="4F776FFA" w14:textId="77777777" w:rsidTr="00904CC7">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2E538" w14:textId="77777777" w:rsidR="00A255AE" w:rsidRDefault="00A255AE" w:rsidP="00904CC7">
            <w:pPr>
              <w:jc w:val="both"/>
              <w:rPr>
                <w:szCs w:val="24"/>
                <w:lang w:eastAsia="lt-LT"/>
              </w:rPr>
            </w:pPr>
            <w:r>
              <w:rPr>
                <w:sz w:val="22"/>
                <w:szCs w:val="22"/>
                <w:lang w:eastAsia="lt-LT"/>
              </w:rPr>
              <w:t>Pastabos:</w:t>
            </w:r>
          </w:p>
          <w:p w14:paraId="7AC0746D" w14:textId="77777777" w:rsidR="00A255AE" w:rsidRDefault="00A255AE" w:rsidP="00904CC7">
            <w:pPr>
              <w:ind w:left="25" w:firstLine="709"/>
              <w:jc w:val="both"/>
              <w:rPr>
                <w:sz w:val="22"/>
                <w:szCs w:val="22"/>
                <w:lang w:eastAsia="lt-LT"/>
              </w:rPr>
            </w:pPr>
            <w:r>
              <w:rPr>
                <w:sz w:val="22"/>
                <w:szCs w:val="22"/>
                <w:lang w:eastAsia="lt-LT"/>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443F66B1" w14:textId="77777777" w:rsidR="00A255AE" w:rsidRDefault="00A255AE" w:rsidP="00904CC7">
            <w:pPr>
              <w:ind w:left="27" w:firstLine="716"/>
              <w:jc w:val="both"/>
              <w:rPr>
                <w:szCs w:val="24"/>
                <w:lang w:val="en-US" w:eastAsia="lt-LT"/>
              </w:rPr>
            </w:pPr>
            <w:r>
              <w:rPr>
                <w:sz w:val="22"/>
                <w:szCs w:val="22"/>
                <w:lang w:eastAsia="lt-LT"/>
              </w:rPr>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4F53801F" w14:textId="77777777" w:rsidR="00A255AE" w:rsidRDefault="00A255AE" w:rsidP="00904CC7">
            <w:pPr>
              <w:ind w:left="27" w:firstLine="716"/>
              <w:jc w:val="both"/>
              <w:rPr>
                <w:szCs w:val="24"/>
                <w:lang w:eastAsia="lt-LT"/>
              </w:rPr>
            </w:pPr>
            <w:r>
              <w:rPr>
                <w:sz w:val="22"/>
                <w:szCs w:val="22"/>
                <w:lang w:eastAsia="lt-LT"/>
              </w:rPr>
              <w:t>3. Dangos konstrukcijai įrengti naudotini medžiagų pavyzdžiai, pasirenkant:</w:t>
            </w:r>
          </w:p>
          <w:p w14:paraId="51670DB6" w14:textId="77777777" w:rsidR="00A255AE" w:rsidRDefault="00A255AE" w:rsidP="00904CC7">
            <w:pPr>
              <w:ind w:left="27" w:firstLine="716"/>
              <w:jc w:val="both"/>
              <w:rPr>
                <w:szCs w:val="24"/>
                <w:lang w:eastAsia="lt-LT"/>
              </w:rPr>
            </w:pPr>
            <w:r>
              <w:rPr>
                <w:sz w:val="22"/>
                <w:szCs w:val="22"/>
                <w:lang w:eastAsia="lt-LT"/>
              </w:rPr>
              <w:lastRenderedPageBreak/>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7985E0E5" w14:textId="77777777" w:rsidR="00A255AE" w:rsidRDefault="00A255AE" w:rsidP="00904CC7">
            <w:pPr>
              <w:ind w:left="27" w:firstLine="716"/>
              <w:jc w:val="both"/>
              <w:rPr>
                <w:szCs w:val="24"/>
                <w:lang w:eastAsia="lt-LT"/>
              </w:rPr>
            </w:pPr>
            <w:r>
              <w:rPr>
                <w:sz w:val="22"/>
                <w:szCs w:val="22"/>
                <w:lang w:eastAsia="lt-LT"/>
              </w:rPr>
              <w:t>3.2. atliekų deginimo įrenginiuose susidarę nepavojingieji pelenai ir šlakas, kt.;</w:t>
            </w:r>
          </w:p>
          <w:p w14:paraId="2011B2F8" w14:textId="77777777" w:rsidR="00A255AE" w:rsidRDefault="00A255AE" w:rsidP="00904CC7">
            <w:pPr>
              <w:ind w:left="27" w:firstLine="716"/>
              <w:jc w:val="both"/>
              <w:rPr>
                <w:sz w:val="22"/>
                <w:szCs w:val="22"/>
                <w:lang w:eastAsia="lt-LT"/>
              </w:rPr>
            </w:pPr>
            <w:r>
              <w:rPr>
                <w:sz w:val="22"/>
                <w:szCs w:val="22"/>
                <w:lang w:eastAsia="lt-LT"/>
              </w:rPr>
              <w:t>3.3. šalutiniai gamybos produktai, atitinkantys</w:t>
            </w:r>
            <w:r>
              <w:rPr>
                <w:sz w:val="22"/>
                <w:szCs w:val="22"/>
              </w:rPr>
              <w:t xml:space="preserve"> </w:t>
            </w:r>
            <w:r>
              <w:rPr>
                <w:sz w:val="22"/>
                <w:szCs w:val="22"/>
                <w:lang w:eastAsia="lt-LT"/>
              </w:rPr>
              <w:t>Atliekų tvarkymo įstatyme ir kituose teisės aktuose nustatytus medžiagų ar daiktų priskyrimo prie šalutinių produktų sąlygas ir kriterijus: betonas, medienos plaušas, naudotas asfalto granules ir kt.;</w:t>
            </w:r>
          </w:p>
          <w:p w14:paraId="620B9EA5" w14:textId="77777777" w:rsidR="00A255AE" w:rsidRDefault="00A255AE" w:rsidP="00904CC7">
            <w:pPr>
              <w:ind w:left="27" w:firstLine="716"/>
              <w:jc w:val="both"/>
              <w:rPr>
                <w:szCs w:val="24"/>
                <w:lang w:eastAsia="lt-LT"/>
              </w:rPr>
            </w:pPr>
            <w:r>
              <w:rPr>
                <w:sz w:val="22"/>
                <w:szCs w:val="22"/>
                <w:lang w:eastAsia="lt-LT"/>
              </w:rPr>
              <w:t>3.4. antrinio panaudojimo užpildus ir kelių tiesimo medžiagas (angl. </w:t>
            </w:r>
            <w:proofErr w:type="spellStart"/>
            <w:r>
              <w:rPr>
                <w:i/>
                <w:iCs/>
                <w:sz w:val="22"/>
                <w:szCs w:val="22"/>
                <w:lang w:eastAsia="lt-LT"/>
              </w:rPr>
              <w:t>recycling</w:t>
            </w:r>
            <w:proofErr w:type="spellEnd"/>
            <w:r>
              <w:rPr>
                <w:sz w:val="22"/>
                <w:szCs w:val="22"/>
                <w:lang w:eastAsia="lt-LT"/>
              </w:rPr>
              <w:t>): naudoto asfalto granulės, naudoti nesurištieji mišiniai ir kt. taikant šaltojo regeneravimo, karštojo regeneravimo ir kitus technologinius būdus kitam kelio dangos konstrukcijos sluoksniui;</w:t>
            </w:r>
          </w:p>
          <w:p w14:paraId="72D215E0" w14:textId="77777777" w:rsidR="00A255AE" w:rsidRDefault="00A255AE" w:rsidP="00904CC7">
            <w:pPr>
              <w:ind w:left="27" w:firstLine="716"/>
              <w:jc w:val="both"/>
              <w:rPr>
                <w:sz w:val="22"/>
                <w:szCs w:val="22"/>
                <w:lang w:eastAsia="lt-LT"/>
              </w:rPr>
            </w:pPr>
            <w:r>
              <w:rPr>
                <w:sz w:val="22"/>
                <w:szCs w:val="22"/>
                <w:lang w:eastAsia="lt-LT"/>
              </w:rPr>
              <w:t>3.5. pakartotinio panaudojimo užpildus ir kelių tiesimo medžiagas (angl. </w:t>
            </w:r>
            <w:proofErr w:type="spellStart"/>
            <w:r>
              <w:rPr>
                <w:i/>
                <w:iCs/>
                <w:sz w:val="22"/>
                <w:szCs w:val="22"/>
                <w:lang w:eastAsia="lt-LT"/>
              </w:rPr>
              <w:t>re-use</w:t>
            </w:r>
            <w:proofErr w:type="spellEnd"/>
            <w:r>
              <w:rPr>
                <w:sz w:val="22"/>
                <w:szCs w:val="22"/>
                <w:lang w:eastAsia="lt-LT"/>
              </w:rPr>
              <w:t>): naudoto asfalto granulės, naudoti nesurištieji mišiniai ir kt. taikant šaltojo regeneravimo, karštojo regeneravimo ir kitus technologinius būdus tam pačiam kelio konstrukcijos sluoksniui.</w:t>
            </w:r>
          </w:p>
          <w:p w14:paraId="009E2ED6" w14:textId="77777777" w:rsidR="00A255AE" w:rsidRDefault="00A255AE" w:rsidP="00904CC7">
            <w:pPr>
              <w:ind w:left="27" w:firstLine="716"/>
              <w:jc w:val="both"/>
              <w:rPr>
                <w:sz w:val="22"/>
                <w:szCs w:val="22"/>
                <w:lang w:eastAsia="lt-LT"/>
              </w:rPr>
            </w:pPr>
            <w:r>
              <w:rPr>
                <w:sz w:val="22"/>
                <w:szCs w:val="22"/>
                <w:lang w:eastAsia="lt-LT"/>
              </w:rPr>
              <w:t xml:space="preserve">4. Pritaikius </w:t>
            </w:r>
            <w:r>
              <w:rPr>
                <w:sz w:val="22"/>
                <w:szCs w:val="22"/>
                <w:lang w:val="en-US" w:eastAsia="lt-LT"/>
              </w:rPr>
              <w:t>26.2.1.1</w:t>
            </w:r>
            <w:r>
              <w:rPr>
                <w:sz w:val="22"/>
                <w:szCs w:val="22"/>
                <w:lang w:eastAsia="lt-LT"/>
              </w:rPr>
              <w:t xml:space="preserve"> papunktyje nustatytus minimalius aplinkos apsaugos kriterijus ne mažiau kaip dviem kelio dangos konstrukcijos sluoksniams, laikytina, kad 26.2 papunktis įgyvendintas. </w:t>
            </w:r>
          </w:p>
        </w:tc>
      </w:tr>
    </w:tbl>
    <w:p w14:paraId="340FB86B" w14:textId="77777777" w:rsidR="00A255AE" w:rsidRDefault="00A255AE" w:rsidP="00A255AE"/>
    <w:p w14:paraId="3236E30E" w14:textId="10987AF2" w:rsidR="00A255AE" w:rsidRDefault="00A255AE" w:rsidP="00A255AE">
      <w:pPr>
        <w:ind w:firstLine="851"/>
        <w:jc w:val="both"/>
      </w:pPr>
      <w:r>
        <w:rPr>
          <w:color w:val="000000"/>
          <w:szCs w:val="24"/>
          <w:lang w:eastAsia="lt-LT"/>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D36DBD">
        <w:rPr>
          <w:color w:val="000000"/>
          <w:szCs w:val="24"/>
          <w:lang w:eastAsia="lt-LT"/>
        </w:rPr>
        <w:t>.</w:t>
      </w:r>
    </w:p>
    <w:p w14:paraId="783F0EFF" w14:textId="77777777" w:rsidR="00D36DBD" w:rsidRDefault="00D36DBD"/>
    <w:sectPr w:rsidR="00D36DBD" w:rsidSect="00D36DB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5AE"/>
    <w:rsid w:val="001A508D"/>
    <w:rsid w:val="00447766"/>
    <w:rsid w:val="005A2D12"/>
    <w:rsid w:val="00907414"/>
    <w:rsid w:val="00A255AE"/>
    <w:rsid w:val="00D36DBD"/>
    <w:rsid w:val="00E35187"/>
    <w:rsid w:val="00E37865"/>
    <w:rsid w:val="00FF0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FC87"/>
  <w15:chartTrackingRefBased/>
  <w15:docId w15:val="{4018891F-A219-4AEA-8064-94D54039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55A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35187"/>
    <w:rPr>
      <w:strike w:val="0"/>
      <w:dstrike w:val="0"/>
      <w:color w:val="auto"/>
      <w:u w:val="none"/>
      <w:effect w:val="none"/>
    </w:rPr>
  </w:style>
  <w:style w:type="paragraph" w:styleId="Debesliotekstas">
    <w:name w:val="Balloon Text"/>
    <w:basedOn w:val="prastasis"/>
    <w:link w:val="DebesliotekstasDiagrama"/>
    <w:uiPriority w:val="99"/>
    <w:semiHidden/>
    <w:unhideWhenUsed/>
    <w:rsid w:val="00FF0E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0E8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3D1489DD</Template>
  <TotalTime>15</TotalTime>
  <Pages>2</Pages>
  <Words>3485</Words>
  <Characters>1987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Margevičienė</dc:creator>
  <cp:keywords/>
  <dc:description/>
  <cp:lastModifiedBy>Sonata Skominienė</cp:lastModifiedBy>
  <cp:revision>4</cp:revision>
  <cp:lastPrinted>2025-03-20T09:16:00Z</cp:lastPrinted>
  <dcterms:created xsi:type="dcterms:W3CDTF">2025-03-07T11:55:00Z</dcterms:created>
  <dcterms:modified xsi:type="dcterms:W3CDTF">2025-03-20T09:48:00Z</dcterms:modified>
</cp:coreProperties>
</file>