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435FE3" w:rsidP="007C0A0F">
      <w:pPr>
        <w:pStyle w:val="NormalWeb"/>
        <w:spacing w:before="0" w:beforeAutospacing="0" w:after="0" w:afterAutospacing="0"/>
        <w:ind w:left="4536" w:firstLine="1134"/>
        <w:rPr>
          <w:bCs/>
        </w:rPr>
      </w:pPr>
      <w:r>
        <w:rPr>
          <w:bCs/>
        </w:rPr>
        <w:t>Pirkimo sąlygų 3</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6512C8">
        <w:rPr>
          <w:b/>
          <w:i/>
          <w:color w:val="000000" w:themeColor="text1"/>
        </w:rPr>
        <w:t>balandžio</w:t>
      </w:r>
      <w:r w:rsidR="000872B9">
        <w:rPr>
          <w:b/>
          <w:i/>
          <w:color w:val="000000" w:themeColor="text1"/>
        </w:rPr>
        <w:t xml:space="preserve"> </w:t>
      </w:r>
      <w:r w:rsidR="00990819">
        <w:rPr>
          <w:b/>
          <w:i/>
          <w:color w:val="000000" w:themeColor="text1"/>
        </w:rPr>
        <w:t>2</w:t>
      </w:r>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7606ED">
        <w:rPr>
          <w:b/>
          <w:i/>
          <w:color w:val="000000" w:themeColor="text1"/>
        </w:rPr>
        <w:t xml:space="preserve"> 9.45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 xml:space="preserve">4.1. įvertina, ar pagal pateiktuose dokumentuose nurodytą informaciją tiekėjas atitinka </w:t>
      </w:r>
      <w:bookmarkStart w:id="0" w:name="_GoBack"/>
      <w:bookmarkEnd w:id="0"/>
      <w:r>
        <w:t>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4CE" w:rsidRDefault="00FB04CE" w:rsidP="008B40DB">
      <w:pPr>
        <w:spacing w:after="0" w:line="240" w:lineRule="auto"/>
      </w:pPr>
      <w:r>
        <w:separator/>
      </w:r>
    </w:p>
  </w:endnote>
  <w:endnote w:type="continuationSeparator" w:id="0">
    <w:p w:rsidR="00FB04CE" w:rsidRDefault="00FB04CE"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4CE" w:rsidRDefault="00FB04CE" w:rsidP="008B40DB">
      <w:pPr>
        <w:spacing w:after="0" w:line="240" w:lineRule="auto"/>
      </w:pPr>
      <w:r>
        <w:separator/>
      </w:r>
    </w:p>
  </w:footnote>
  <w:footnote w:type="continuationSeparator" w:id="0">
    <w:p w:rsidR="00FB04CE" w:rsidRDefault="00FB04CE"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872B9"/>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26674"/>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35FE3"/>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2829"/>
    <w:rsid w:val="005F3FC0"/>
    <w:rsid w:val="005F4A22"/>
    <w:rsid w:val="00601AD3"/>
    <w:rsid w:val="00604170"/>
    <w:rsid w:val="006179D2"/>
    <w:rsid w:val="0062095A"/>
    <w:rsid w:val="00622DCC"/>
    <w:rsid w:val="00632268"/>
    <w:rsid w:val="00633BBC"/>
    <w:rsid w:val="00640195"/>
    <w:rsid w:val="00645EEC"/>
    <w:rsid w:val="006512C8"/>
    <w:rsid w:val="00652416"/>
    <w:rsid w:val="00661463"/>
    <w:rsid w:val="0066731A"/>
    <w:rsid w:val="00667853"/>
    <w:rsid w:val="00667C7E"/>
    <w:rsid w:val="00674EC2"/>
    <w:rsid w:val="00680930"/>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3AF7"/>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8F773E"/>
    <w:rsid w:val="00940CEA"/>
    <w:rsid w:val="00944CB3"/>
    <w:rsid w:val="00972CF8"/>
    <w:rsid w:val="0098180F"/>
    <w:rsid w:val="00981A03"/>
    <w:rsid w:val="009828C7"/>
    <w:rsid w:val="00982A0C"/>
    <w:rsid w:val="0099076C"/>
    <w:rsid w:val="00990819"/>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45DA"/>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34084"/>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4CE"/>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A8C79"/>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09604-D4E0-4AEF-87A7-22BD986F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43</cp:revision>
  <cp:lastPrinted>2019-12-04T08:00:00Z</cp:lastPrinted>
  <dcterms:created xsi:type="dcterms:W3CDTF">2024-10-31T11:03:00Z</dcterms:created>
  <dcterms:modified xsi:type="dcterms:W3CDTF">2025-03-26T09:49:00Z</dcterms:modified>
</cp:coreProperties>
</file>