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7174" w:rsidRDefault="005B6C40">
      <w:pPr>
        <w:spacing w:after="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Konkurso sąlygų 3 priedas</w:t>
      </w:r>
      <w:r w:rsidR="0020047F">
        <w:rPr>
          <w:rFonts w:ascii="Times New Roman" w:eastAsia="Times New Roman" w:hAnsi="Times New Roman" w:cs="Times New Roman"/>
          <w:sz w:val="20"/>
          <w:szCs w:val="20"/>
        </w:rPr>
        <w:t xml:space="preserve"> „Tiekėjų pašalinimo pagrindai“</w:t>
      </w:r>
    </w:p>
    <w:p w:rsidR="00517174" w:rsidRDefault="005B6C40">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TIEKĖJŲ PAŠALINIMO PAGRINDAI</w:t>
      </w:r>
    </w:p>
    <w:p w:rsidR="00517174" w:rsidRPr="00971974" w:rsidRDefault="00517174" w:rsidP="00971974">
      <w:pPr>
        <w:spacing w:after="0"/>
        <w:rPr>
          <w:rFonts w:ascii="Times New Roman" w:eastAsia="Times New Roman" w:hAnsi="Times New Roman" w:cs="Times New Roman"/>
          <w:b/>
          <w:sz w:val="20"/>
          <w:szCs w:val="28"/>
        </w:rPr>
      </w:pPr>
    </w:p>
    <w:p w:rsidR="00517174" w:rsidRDefault="005B6C40">
      <w:pPr>
        <w:numPr>
          <w:ilvl w:val="0"/>
          <w:numId w:val="8"/>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Su </w:t>
      </w:r>
      <w:r>
        <w:rPr>
          <w:rFonts w:ascii="Times New Roman" w:eastAsia="Times New Roman" w:hAnsi="Times New Roman" w:cs="Times New Roman"/>
          <w:color w:val="00B050"/>
          <w:sz w:val="24"/>
          <w:szCs w:val="24"/>
        </w:rPr>
        <w:t xml:space="preserve">pasiūlymu </w:t>
      </w:r>
      <w:r>
        <w:rPr>
          <w:rFonts w:ascii="Times New Roman" w:eastAsia="Times New Roman" w:hAnsi="Times New Roman" w:cs="Times New Roman"/>
          <w:color w:val="000000"/>
          <w:sz w:val="24"/>
          <w:szCs w:val="24"/>
        </w:rPr>
        <w:t xml:space="preserve">teikiamas tik EBVPD. Perkančioji organizacija su </w:t>
      </w:r>
      <w:r>
        <w:rPr>
          <w:rFonts w:ascii="Times New Roman" w:eastAsia="Times New Roman" w:hAnsi="Times New Roman" w:cs="Times New Roman"/>
          <w:color w:val="00B050"/>
          <w:sz w:val="24"/>
          <w:szCs w:val="24"/>
        </w:rPr>
        <w:t xml:space="preserve">pasiūlymu </w:t>
      </w:r>
      <w:r>
        <w:rPr>
          <w:rFonts w:ascii="Times New Roman" w:eastAsia="Times New Roman" w:hAnsi="Times New Roman" w:cs="Times New Roman"/>
          <w:color w:val="000000"/>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517174" w:rsidRDefault="005B6C40">
      <w:pPr>
        <w:numPr>
          <w:ilvl w:val="0"/>
          <w:numId w:val="8"/>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Pašalinimo pagrindai taikomi tiekėjui (kai pasiūlymą teikia ūkio subjektų grupė – visiems tos grupės nariams) ir ūkio subjektams, kurių pajėgumais tiekėjas remiasi. </w:t>
      </w:r>
    </w:p>
    <w:p w:rsidR="00517174" w:rsidRDefault="005B6C40">
      <w:pPr>
        <w:numPr>
          <w:ilvl w:val="0"/>
          <w:numId w:val="8"/>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517174" w:rsidRDefault="005B6C40">
      <w:pPr>
        <w:numPr>
          <w:ilvl w:val="0"/>
          <w:numId w:val="8"/>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517174" w:rsidRDefault="005B6C40">
      <w:pPr>
        <w:numPr>
          <w:ilvl w:val="0"/>
          <w:numId w:val="8"/>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Perkančioji organizacija visų pirma reikalauja tokios rūšies pažymų ir tokių dokumentinių įrodymų formų, apie kuriuos pateikta informacija Europos Komisijos informacinėje dokumentų saugykloje „e-</w:t>
      </w:r>
      <w:proofErr w:type="spellStart"/>
      <w:r>
        <w:rPr>
          <w:rFonts w:ascii="Times New Roman" w:eastAsia="Times New Roman" w:hAnsi="Times New Roman" w:cs="Times New Roman"/>
          <w:color w:val="000000"/>
          <w:sz w:val="24"/>
          <w:szCs w:val="24"/>
        </w:rPr>
        <w:t>Certis</w:t>
      </w:r>
      <w:proofErr w:type="spellEnd"/>
      <w:r>
        <w:rPr>
          <w:rFonts w:ascii="Times New Roman" w:eastAsia="Times New Roman" w:hAnsi="Times New Roman" w:cs="Times New Roman"/>
          <w:color w:val="000000"/>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Pr>
          <w:rFonts w:ascii="Times New Roman" w:eastAsia="Times New Roman" w:hAnsi="Times New Roman" w:cs="Times New Roman"/>
          <w:color w:val="000000"/>
          <w:sz w:val="24"/>
          <w:szCs w:val="24"/>
        </w:rPr>
        <w:t>Certis</w:t>
      </w:r>
      <w:proofErr w:type="spellEnd"/>
      <w:r>
        <w:rPr>
          <w:rFonts w:ascii="Times New Roman" w:eastAsia="Times New Roman" w:hAnsi="Times New Roman" w:cs="Times New Roman"/>
          <w:color w:val="000000"/>
          <w:sz w:val="24"/>
          <w:szCs w:val="24"/>
        </w:rPr>
        <w:t xml:space="preserve">“, adresu </w:t>
      </w:r>
      <w:hyperlink r:id="rId8">
        <w:r>
          <w:rPr>
            <w:rFonts w:ascii="Times New Roman" w:eastAsia="Times New Roman" w:hAnsi="Times New Roman" w:cs="Times New Roman"/>
            <w:color w:val="000000"/>
            <w:sz w:val="24"/>
            <w:szCs w:val="24"/>
          </w:rPr>
          <w:t>https://ec.europa.eu/tools/ecertis/</w:t>
        </w:r>
      </w:hyperlink>
      <w:r>
        <w:rPr>
          <w:rFonts w:ascii="Times New Roman" w:eastAsia="Times New Roman" w:hAnsi="Times New Roman" w:cs="Times New Roman"/>
          <w:color w:val="000000"/>
          <w:sz w:val="24"/>
          <w:szCs w:val="24"/>
        </w:rPr>
        <w:t xml:space="preserve">. </w:t>
      </w:r>
    </w:p>
    <w:p w:rsidR="00517174" w:rsidRDefault="005B6C40">
      <w:pPr>
        <w:numPr>
          <w:ilvl w:val="0"/>
          <w:numId w:val="8"/>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Perkančioji organizacija nereikalauja iš tiekėjo pateikti dokumentų, patvirtinančių jo pašalinimo pagrindų nebuvimą, jeigu ji:</w:t>
      </w:r>
    </w:p>
    <w:p w:rsidR="00517174" w:rsidRDefault="005B6C40">
      <w:pPr>
        <w:numPr>
          <w:ilvl w:val="1"/>
          <w:numId w:val="8"/>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rsidR="00517174" w:rsidRDefault="005B6C40">
      <w:pPr>
        <w:numPr>
          <w:ilvl w:val="1"/>
          <w:numId w:val="8"/>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rsidR="00517174" w:rsidRDefault="005B6C40">
      <w:pPr>
        <w:pBdr>
          <w:top w:val="nil"/>
          <w:left w:val="nil"/>
          <w:bottom w:val="nil"/>
          <w:right w:val="nil"/>
          <w:between w:val="nil"/>
        </w:pBdr>
        <w:spacing w:after="0" w:line="240" w:lineRule="auto"/>
        <w:ind w:firstLine="851"/>
        <w:jc w:val="both"/>
        <w:rPr>
          <w:rFonts w:ascii="Times New Roman" w:eastAsia="Times New Roman" w:hAnsi="Times New Roman" w:cs="Times New Roman"/>
          <w:color w:val="00B050"/>
          <w:sz w:val="24"/>
          <w:szCs w:val="24"/>
        </w:rPr>
      </w:pPr>
      <w:r>
        <w:rPr>
          <w:rFonts w:ascii="Times New Roman" w:eastAsia="Times New Roman" w:hAnsi="Times New Roman" w:cs="Times New Roman"/>
          <w:color w:val="00B050"/>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517174" w:rsidRDefault="005B6C40">
      <w:pPr>
        <w:numPr>
          <w:ilvl w:val="0"/>
          <w:numId w:val="8"/>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517174" w:rsidRDefault="005B6C40">
      <w:pPr>
        <w:numPr>
          <w:ilvl w:val="1"/>
          <w:numId w:val="8"/>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priesaikos deklaracija;</w:t>
      </w:r>
    </w:p>
    <w:p w:rsidR="00517174" w:rsidRDefault="005B6C40">
      <w:pPr>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a"/>
        <w:tblW w:w="14883" w:type="dxa"/>
        <w:tblInd w:w="0" w:type="dxa"/>
        <w:tblLayout w:type="fixed"/>
        <w:tblLook w:val="0400" w:firstRow="0" w:lastRow="0" w:firstColumn="0" w:lastColumn="0" w:noHBand="0" w:noVBand="1"/>
      </w:tblPr>
      <w:tblGrid>
        <w:gridCol w:w="562"/>
        <w:gridCol w:w="5954"/>
        <w:gridCol w:w="2410"/>
        <w:gridCol w:w="5957"/>
      </w:tblGrid>
      <w:tr w:rsidR="00517174" w:rsidTr="00971974">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17174" w:rsidRDefault="005B6C40">
            <w:pPr>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Eil. Nr.</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17174" w:rsidRDefault="005B6C40">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Tiekėjo pašalinimo pagrindai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17174" w:rsidRDefault="005B6C40">
            <w:pPr>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VPĮ straipsnis,  dalis, punktas bei EBVPD formos dalis pildymui </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17174" w:rsidRDefault="005B6C40">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Pašalinimo pagrindų nebuvimą įrodantys dokumentai</w:t>
            </w:r>
          </w:p>
        </w:tc>
      </w:tr>
      <w:tr w:rsidR="00517174" w:rsidTr="00971974">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17174">
            <w:pPr>
              <w:numPr>
                <w:ilvl w:val="0"/>
                <w:numId w:val="7"/>
              </w:num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Tiekėjas arba jo atsakingas asmuo, nurodytas VPĮ 46 straipsnio 2 dalies 2 punkte, nuteistas už šią nusikalstamą veiką:</w:t>
            </w: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1) dalyvavimą nusikalstamame susivienijime, jo organizavimą ar vadovavimą jam;</w:t>
            </w: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2) kyšininkavimą, prekybą poveikiu, papirkimą;</w:t>
            </w: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4) nusikalstamą bankrotą;</w:t>
            </w: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5) teroristinį ir su teroristine veikla susijusį nusikaltimą;</w:t>
            </w: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6) nusikalstamu būdu gauto turto legalizavimą;</w:t>
            </w: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7) prekybą žmonėmis, vaiko pirkimą arba pardavimą;</w:t>
            </w: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8) kitos valstybės tiekėjo atliktą nusikaltimą, apibrėžtą Direktyvos 2014/24/ES 57 straipsnio 1 dalyje išvardytus Europos Sąjungos teisės aktus įgyvendinančiuose kitų valstybių teisės aktuose.</w:t>
            </w: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Laikoma, kad tiekėjas arba jo atsakingas asmuo nuteistas už aukščiau nurodytą nusikalstamą veiką, kai dėl:</w:t>
            </w: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 tiekėjo, kuris yra fizinis asmuo, per pastaruosius 5 metus buvo priimtas ir įsiteisėjęs apkaltinamasis teismo nuosprendis ir šis asmuo turi neišnykusį ar nepanaikintą teistumą;</w:t>
            </w: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 xml:space="preserve">2) tiekėjo, kuris yra juridinis asmuo, kita organizacija ar jos </w:t>
            </w:r>
            <w:r>
              <w:rPr>
                <w:rFonts w:ascii="Times New Roman" w:eastAsia="Times New Roman" w:hAnsi="Times New Roman" w:cs="Times New Roman"/>
                <w:b/>
                <w:color w:val="000000"/>
                <w:sz w:val="20"/>
                <w:szCs w:val="20"/>
              </w:rPr>
              <w:t>struktūrinis</w:t>
            </w:r>
            <w:r>
              <w:rPr>
                <w:rFonts w:ascii="Times New Roman" w:eastAsia="Times New Roman" w:hAnsi="Times New Roman" w:cs="Times New Roman"/>
                <w:color w:val="000000"/>
                <w:sz w:val="20"/>
                <w:szCs w:val="20"/>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3) tiekėjo, kuris yra juridinis asmuo, kita organizacija ar jos </w:t>
            </w:r>
            <w:r>
              <w:rPr>
                <w:rFonts w:ascii="Times New Roman" w:eastAsia="Times New Roman" w:hAnsi="Times New Roman" w:cs="Times New Roman"/>
                <w:b/>
                <w:color w:val="000000"/>
                <w:sz w:val="20"/>
                <w:szCs w:val="20"/>
              </w:rPr>
              <w:t>struktūrinis</w:t>
            </w:r>
            <w:r>
              <w:rPr>
                <w:rFonts w:ascii="Times New Roman" w:eastAsia="Times New Roman" w:hAnsi="Times New Roman" w:cs="Times New Roman"/>
                <w:color w:val="000000"/>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lastRenderedPageBreak/>
              <w:t>VPĮ 46 straipsnio 1 dalis</w:t>
            </w: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EBVPD III dalies A1-A6 punktai</w:t>
            </w: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EBVPD III dalies D1 punktas</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Iš Lietuvoje įsteigtų subjektų reikalaujama:</w:t>
            </w:r>
          </w:p>
          <w:p w:rsidR="00517174" w:rsidRDefault="005B6C40">
            <w:pPr>
              <w:numPr>
                <w:ilvl w:val="0"/>
                <w:numId w:val="6"/>
              </w:numPr>
              <w:pBdr>
                <w:top w:val="nil"/>
                <w:left w:val="nil"/>
                <w:bottom w:val="nil"/>
                <w:right w:val="nil"/>
                <w:between w:val="nil"/>
              </w:pBdr>
              <w:spacing w:after="0" w:line="240" w:lineRule="auto"/>
              <w:ind w:left="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išrašo iš teismo sprendimo arba</w:t>
            </w:r>
          </w:p>
          <w:p w:rsidR="00517174" w:rsidRDefault="005B6C40">
            <w:pPr>
              <w:numPr>
                <w:ilvl w:val="0"/>
                <w:numId w:val="6"/>
              </w:numPr>
              <w:pBdr>
                <w:top w:val="nil"/>
                <w:left w:val="nil"/>
                <w:bottom w:val="nil"/>
                <w:right w:val="nil"/>
                <w:between w:val="nil"/>
              </w:pBdr>
              <w:spacing w:after="0" w:line="240" w:lineRule="auto"/>
              <w:ind w:left="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Informatikos ir ryšių departamento prie Vidaus reikalų ministerijos pažymos, arba</w:t>
            </w:r>
          </w:p>
          <w:p w:rsidR="00517174" w:rsidRDefault="005B6C40">
            <w:pPr>
              <w:numPr>
                <w:ilvl w:val="0"/>
                <w:numId w:val="6"/>
              </w:numPr>
              <w:pBdr>
                <w:top w:val="nil"/>
                <w:left w:val="nil"/>
                <w:bottom w:val="nil"/>
                <w:right w:val="nil"/>
                <w:between w:val="nil"/>
              </w:pBdr>
              <w:spacing w:after="0" w:line="240" w:lineRule="auto"/>
              <w:ind w:left="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valstybės įmonės Registrų centro Lietuvos Respublikos Vyriausybės nustatyta tvarka išduoto dokumento, patvirtinančio jungtinius kompetentingų institucijų tvarkomus duomenis.</w:t>
            </w: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Iš ne Lietuvoje įsteigtų subjektų reikalaujama:</w:t>
            </w:r>
          </w:p>
          <w:p w:rsidR="00517174" w:rsidRDefault="005B6C40">
            <w:pPr>
              <w:numPr>
                <w:ilvl w:val="0"/>
                <w:numId w:val="6"/>
              </w:numPr>
              <w:pBdr>
                <w:top w:val="nil"/>
                <w:left w:val="nil"/>
                <w:bottom w:val="nil"/>
                <w:right w:val="nil"/>
                <w:between w:val="nil"/>
              </w:pBdr>
              <w:spacing w:after="0" w:line="240" w:lineRule="auto"/>
              <w:ind w:left="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atitinkamos užsienio šalies institucijos dokumento</w:t>
            </w:r>
            <w:r>
              <w:rPr>
                <w:rFonts w:ascii="Times New Roman" w:eastAsia="Times New Roman" w:hAnsi="Times New Roman" w:cs="Times New Roman"/>
                <w:color w:val="000000"/>
                <w:sz w:val="20"/>
                <w:szCs w:val="20"/>
                <w:vertAlign w:val="superscript"/>
              </w:rPr>
              <w:footnoteReference w:id="1"/>
            </w:r>
            <w:r>
              <w:rPr>
                <w:rFonts w:ascii="Times New Roman" w:eastAsia="Times New Roman" w:hAnsi="Times New Roman" w:cs="Times New Roman"/>
                <w:color w:val="000000"/>
                <w:sz w:val="20"/>
                <w:szCs w:val="20"/>
              </w:rPr>
              <w:t>.</w:t>
            </w: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color w:val="7030A0"/>
                <w:sz w:val="20"/>
                <w:szCs w:val="20"/>
              </w:rPr>
            </w:pPr>
            <w:r>
              <w:rPr>
                <w:rFonts w:ascii="Times New Roman" w:eastAsia="Times New Roman" w:hAnsi="Times New Roman" w:cs="Times New Roman"/>
                <w:color w:val="000000"/>
                <w:sz w:val="20"/>
                <w:szCs w:val="20"/>
              </w:rPr>
              <w:t xml:space="preserve">Nurodyti dokumentai turi būti išduoti ne anksčiau kaip </w:t>
            </w:r>
            <w:r>
              <w:rPr>
                <w:rFonts w:ascii="Times New Roman" w:eastAsia="Times New Roman" w:hAnsi="Times New Roman" w:cs="Times New Roman"/>
                <w:color w:val="00B050"/>
                <w:sz w:val="20"/>
                <w:szCs w:val="20"/>
              </w:rPr>
              <w:t xml:space="preserve">180 dienų </w:t>
            </w:r>
            <w:r>
              <w:rPr>
                <w:rFonts w:ascii="Times New Roman" w:eastAsia="Times New Roman" w:hAnsi="Times New Roman" w:cs="Times New Roman"/>
                <w:color w:val="000000"/>
                <w:sz w:val="20"/>
                <w:szCs w:val="20"/>
              </w:rPr>
              <w:t xml:space="preserve">iki </w:t>
            </w:r>
            <w:r>
              <w:rPr>
                <w:rFonts w:ascii="Times New Roman" w:eastAsia="Times New Roman" w:hAnsi="Times New Roman" w:cs="Times New Roman"/>
                <w:i/>
                <w:color w:val="000000"/>
                <w:sz w:val="20"/>
                <w:szCs w:val="20"/>
              </w:rPr>
              <w:t>tos dienos, kai tiekėjas perkančiosios organizacijos prašymu turės pateikti pašalinimo pagrindų nebuvimą patvirtinančius dok</w:t>
            </w:r>
            <w:r>
              <w:rPr>
                <w:rFonts w:ascii="Times New Roman" w:eastAsia="Times New Roman" w:hAnsi="Times New Roman" w:cs="Times New Roman"/>
                <w:color w:val="000000"/>
                <w:sz w:val="20"/>
                <w:szCs w:val="20"/>
              </w:rPr>
              <w:t xml:space="preserve">umentus. </w:t>
            </w:r>
            <w:r>
              <w:rPr>
                <w:rFonts w:ascii="Times New Roman" w:eastAsia="Times New Roman" w:hAnsi="Times New Roman" w:cs="Times New Roman"/>
                <w:b/>
                <w:i/>
                <w:color w:val="000000"/>
                <w:sz w:val="20"/>
                <w:szCs w:val="20"/>
              </w:rPr>
              <w:t>Pavyzdys</w:t>
            </w:r>
            <w:r>
              <w:rPr>
                <w:rFonts w:ascii="Times New Roman" w:eastAsia="Times New Roman" w:hAnsi="Times New Roman" w:cs="Times New Roman"/>
                <w:i/>
                <w:color w:val="000000"/>
                <w:sz w:val="20"/>
                <w:szCs w:val="20"/>
              </w:rPr>
              <w:t xml:space="preserve">: Jeigu perkančioji organizacija 2022-10-10 kreipėsi į tiekėją prašydama iki 2022-10-14 pateikti įrodančius dokumentus, jie turi būti išduoti ne anksčiau kaip 180 dienų, jas skaičiuojant atgal nuo 2022-10-14. </w:t>
            </w: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517174" w:rsidRPr="0020047F" w:rsidRDefault="005B6C40">
            <w:pPr>
              <w:pBdr>
                <w:top w:val="nil"/>
                <w:left w:val="nil"/>
                <w:bottom w:val="nil"/>
                <w:right w:val="nil"/>
                <w:between w:val="nil"/>
              </w:pBdr>
              <w:spacing w:after="0" w:line="240" w:lineRule="auto"/>
              <w:jc w:val="both"/>
              <w:rPr>
                <w:rFonts w:ascii="Times New Roman" w:eastAsia="Times New Roman" w:hAnsi="Times New Roman" w:cs="Times New Roman"/>
                <w:b/>
                <w:i/>
                <w:color w:val="000000" w:themeColor="text1"/>
                <w:sz w:val="20"/>
                <w:szCs w:val="20"/>
              </w:rPr>
            </w:pPr>
            <w:r w:rsidRPr="0020047F">
              <w:rPr>
                <w:rFonts w:ascii="Times New Roman" w:eastAsia="Times New Roman" w:hAnsi="Times New Roman" w:cs="Times New Roman"/>
                <w:b/>
                <w:i/>
                <w:color w:val="000000" w:themeColor="text1"/>
                <w:sz w:val="20"/>
                <w:szCs w:val="20"/>
              </w:rPr>
              <w:t>PASTABA</w:t>
            </w:r>
          </w:p>
          <w:p w:rsidR="00517174" w:rsidRPr="0020047F" w:rsidRDefault="005B6C40">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0"/>
                <w:szCs w:val="20"/>
              </w:rPr>
            </w:pPr>
            <w:r w:rsidRPr="0020047F">
              <w:rPr>
                <w:rFonts w:ascii="Times New Roman" w:eastAsia="Times New Roman" w:hAnsi="Times New Roman" w:cs="Times New Roman"/>
                <w:color w:val="000000" w:themeColor="text1"/>
                <w:sz w:val="20"/>
                <w:szCs w:val="20"/>
              </w:rPr>
              <w:t>Pažymų, patvirtinančių VPĮ 46 straipsnyje nurodytų tiekėjo pašalinimo pagrindų nebuvimą, pateikti nereikalaujama. Jų perkančioji organizacija reikalaus tik turėdama pagrįstų abejonių dėl tiekėjo patikimumo.</w:t>
            </w: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color w:val="00B050"/>
                <w:sz w:val="20"/>
                <w:szCs w:val="20"/>
              </w:rPr>
            </w:pP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p>
        </w:tc>
      </w:tr>
      <w:tr w:rsidR="00517174" w:rsidTr="00971974">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17174">
            <w:pPr>
              <w:numPr>
                <w:ilvl w:val="0"/>
                <w:numId w:val="7"/>
              </w:num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Tiekėjas yra neatlikęs jam paskirtos baudžiamojo poveikio priemonės – uždraudimo juridiniam asmeniui dalyvauti viešuosiuose pirkimuose.</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VPĮ 46 straipsnio 2¹ dalis</w:t>
            </w: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EBVPD III dalies D2 punktas</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Iš Lietuvoje įsteigtų subjektų įrodančių dokumentų nereikalaujama. Užtenka pateikto EBVPD.</w:t>
            </w: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tc>
      </w:tr>
      <w:tr w:rsidR="00517174" w:rsidTr="00971974">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17174">
            <w:pPr>
              <w:numPr>
                <w:ilvl w:val="0"/>
                <w:numId w:val="7"/>
              </w:num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bookmarkStart w:id="0" w:name="_heading=h.gjdgxs" w:colFirst="0" w:colLast="0"/>
            <w:bookmarkEnd w:id="0"/>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Laikoma, kad tiekėjas nuteistas už aukščiau nurodytą nusikalstamą veiką, kai dėl:</w:t>
            </w: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 tiekėjo, kuris yra fizinis asmuo, per pastaruosius 5 metus buvo priimtas ir įsiteisėjęs apkaltinamasis teismo nuosprendis ir šis asmuo turi neišnykusį ar nepanaikintą teistumą;</w:t>
            </w: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2) tiekėjo, kuris yra juridinis asmuo, kita organizacija ar jos </w:t>
            </w:r>
            <w:r>
              <w:rPr>
                <w:rFonts w:ascii="Times New Roman" w:eastAsia="Times New Roman" w:hAnsi="Times New Roman" w:cs="Times New Roman"/>
                <w:b/>
                <w:color w:val="000000"/>
                <w:sz w:val="20"/>
                <w:szCs w:val="20"/>
              </w:rPr>
              <w:t>struktūrinis</w:t>
            </w:r>
            <w:r>
              <w:rPr>
                <w:rFonts w:ascii="Times New Roman" w:eastAsia="Times New Roman" w:hAnsi="Times New Roman" w:cs="Times New Roman"/>
                <w:color w:val="000000"/>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Tačiau ši nuostata netaikoma, jeigu:</w:t>
            </w: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1) tiekėjas yra įsipareigojęs sumokėti mokesčius, įskaitant socialinio draudimo įmokas ir dėl to laikomas jau įvykdžiusiu šioje dalyje nurodytus įsipareigojimus;</w:t>
            </w: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2) įsiskolinimo suma neviršija 50 Eur (penkiasdešimt eurų);</w:t>
            </w: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lastRenderedPageBreak/>
              <w:t>VPĮ 46 straipsnio 3 dalis</w:t>
            </w: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EBVPD III dalies B1 ir B2 punktai</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Iš Lietuvoje įsteigtų subjektų reikalaujama:</w:t>
            </w: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1) Dėl įsipareigojimų, susijusių su mokesčių mokėjimu, įvykdymo iš Lietuvoje įsteigtų subjektų prašoma:</w:t>
            </w:r>
          </w:p>
          <w:p w:rsidR="00517174" w:rsidRDefault="005B6C40">
            <w:pPr>
              <w:numPr>
                <w:ilvl w:val="0"/>
                <w:numId w:val="5"/>
              </w:numPr>
              <w:pBdr>
                <w:top w:val="nil"/>
                <w:left w:val="nil"/>
                <w:bottom w:val="nil"/>
                <w:right w:val="nil"/>
                <w:between w:val="nil"/>
              </w:pBdr>
              <w:spacing w:after="0" w:line="240" w:lineRule="auto"/>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išrašo iš teismo sprendimo (jei toks yra) arba</w:t>
            </w:r>
          </w:p>
          <w:p w:rsidR="00517174" w:rsidRDefault="005B6C40">
            <w:pPr>
              <w:numPr>
                <w:ilvl w:val="0"/>
                <w:numId w:val="5"/>
              </w:numPr>
              <w:pBdr>
                <w:top w:val="nil"/>
                <w:left w:val="nil"/>
                <w:bottom w:val="nil"/>
                <w:right w:val="nil"/>
                <w:between w:val="nil"/>
              </w:pBdr>
              <w:spacing w:after="0" w:line="240" w:lineRule="auto"/>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Valstybinės mokesčių inspekcijos prie Lietuvos Respublikos finansų ministerijos išduoto dokumento, arba</w:t>
            </w:r>
          </w:p>
          <w:p w:rsidR="00517174" w:rsidRDefault="005B6C40">
            <w:pPr>
              <w:numPr>
                <w:ilvl w:val="0"/>
                <w:numId w:val="1"/>
              </w:numPr>
              <w:pBdr>
                <w:top w:val="nil"/>
                <w:left w:val="nil"/>
                <w:bottom w:val="nil"/>
                <w:right w:val="nil"/>
                <w:between w:val="nil"/>
              </w:pBdr>
              <w:spacing w:after="0" w:line="240" w:lineRule="auto"/>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valstybės įmonės Registrų centro Lietuvos Respublikos Vyriausybės nustatyta tvarka išduoto dokumento, patvirtinančio jungtinius kompetentingų institucijų tvarkomus duomenis.</w:t>
            </w: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Iš ne Lietuvoje įsteigtų subjektų reikalaujama:</w:t>
            </w:r>
          </w:p>
          <w:p w:rsidR="00517174" w:rsidRDefault="005B6C40">
            <w:pPr>
              <w:numPr>
                <w:ilvl w:val="0"/>
                <w:numId w:val="6"/>
              </w:numPr>
              <w:pBdr>
                <w:top w:val="nil"/>
                <w:left w:val="nil"/>
                <w:bottom w:val="nil"/>
                <w:right w:val="nil"/>
                <w:between w:val="nil"/>
              </w:pBdr>
              <w:spacing w:after="0" w:line="240" w:lineRule="auto"/>
              <w:ind w:left="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atitinkamos užsienio šalies institucijos dokumento</w:t>
            </w:r>
            <w:r>
              <w:rPr>
                <w:rFonts w:ascii="Times New Roman" w:eastAsia="Times New Roman" w:hAnsi="Times New Roman" w:cs="Times New Roman"/>
                <w:color w:val="000000"/>
                <w:sz w:val="20"/>
                <w:szCs w:val="20"/>
                <w:vertAlign w:val="superscript"/>
              </w:rPr>
              <w:footnoteReference w:id="2"/>
            </w:r>
            <w:r>
              <w:rPr>
                <w:rFonts w:ascii="Times New Roman" w:eastAsia="Times New Roman" w:hAnsi="Times New Roman" w:cs="Times New Roman"/>
                <w:color w:val="000000"/>
                <w:sz w:val="20"/>
                <w:szCs w:val="20"/>
              </w:rPr>
              <w:t>.</w:t>
            </w: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i/>
                <w:color w:val="000000"/>
                <w:sz w:val="20"/>
                <w:szCs w:val="20"/>
              </w:rPr>
            </w:pPr>
            <w:r>
              <w:rPr>
                <w:rFonts w:ascii="Times New Roman" w:eastAsia="Times New Roman" w:hAnsi="Times New Roman" w:cs="Times New Roman"/>
                <w:color w:val="000000"/>
                <w:sz w:val="20"/>
                <w:szCs w:val="20"/>
              </w:rPr>
              <w:t xml:space="preserve">Nurodyti dokumentai turi būti  išduoti ne anksčiau kaip </w:t>
            </w:r>
            <w:r>
              <w:rPr>
                <w:rFonts w:ascii="Times New Roman" w:eastAsia="Times New Roman" w:hAnsi="Times New Roman" w:cs="Times New Roman"/>
                <w:color w:val="00B050"/>
                <w:sz w:val="20"/>
                <w:szCs w:val="20"/>
              </w:rPr>
              <w:t>120</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B050"/>
                <w:sz w:val="20"/>
                <w:szCs w:val="20"/>
              </w:rPr>
              <w:t>dienų</w:t>
            </w:r>
            <w:r>
              <w:rPr>
                <w:rFonts w:ascii="Times New Roman" w:eastAsia="Times New Roman" w:hAnsi="Times New Roman" w:cs="Times New Roman"/>
                <w:color w:val="000000"/>
                <w:sz w:val="20"/>
                <w:szCs w:val="20"/>
              </w:rPr>
              <w:t xml:space="preserve"> iki </w:t>
            </w:r>
            <w:r>
              <w:rPr>
                <w:rFonts w:ascii="Times New Roman" w:eastAsia="Times New Roman" w:hAnsi="Times New Roman" w:cs="Times New Roman"/>
                <w:i/>
                <w:color w:val="000000"/>
                <w:sz w:val="20"/>
                <w:szCs w:val="20"/>
              </w:rPr>
              <w:t>tos dienos, kai tiekėjas perkančiosios organizacijos prašymu turės pateikti pašalinimo pagrindų nebuvimą patvirtinančius dok</w:t>
            </w:r>
            <w:r>
              <w:rPr>
                <w:rFonts w:ascii="Times New Roman" w:eastAsia="Times New Roman" w:hAnsi="Times New Roman" w:cs="Times New Roman"/>
                <w:color w:val="000000"/>
                <w:sz w:val="20"/>
                <w:szCs w:val="20"/>
              </w:rPr>
              <w:t xml:space="preserve">umentus. </w:t>
            </w:r>
            <w:r>
              <w:rPr>
                <w:rFonts w:ascii="Times New Roman" w:eastAsia="Times New Roman" w:hAnsi="Times New Roman" w:cs="Times New Roman"/>
                <w:b/>
                <w:i/>
                <w:color w:val="000000"/>
                <w:sz w:val="20"/>
                <w:szCs w:val="20"/>
              </w:rPr>
              <w:t>Pavyzdys</w:t>
            </w:r>
            <w:r>
              <w:rPr>
                <w:rFonts w:ascii="Times New Roman" w:eastAsia="Times New Roman" w:hAnsi="Times New Roman" w:cs="Times New Roman"/>
                <w:i/>
                <w:color w:val="000000"/>
                <w:sz w:val="20"/>
                <w:szCs w:val="20"/>
              </w:rPr>
              <w:t xml:space="preserve">: Jeigu perkančioji organizacija 2022-10-10 kreipėsi į tiekėją prašydama iki 2022-10-14 pateikti įrodančius dokumentus, jie turi būti išduoti ne anksčiau kaip 120 dienų, jas skaičiuojant atgal nuo 2022-10-14. </w:t>
            </w: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i/>
                <w:color w:val="7030A0"/>
                <w:sz w:val="20"/>
                <w:szCs w:val="20"/>
              </w:rPr>
            </w:pP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Jei dokumentas išduotas anksčiau, tačiau jame nurodytas galiojimo terminas ilgesnis nei pašalinimo pagrindų nebuvimą patvirtinančių </w:t>
            </w:r>
            <w:r>
              <w:rPr>
                <w:rFonts w:ascii="Times New Roman" w:eastAsia="Times New Roman" w:hAnsi="Times New Roman" w:cs="Times New Roman"/>
                <w:color w:val="000000"/>
                <w:sz w:val="20"/>
                <w:szCs w:val="20"/>
              </w:rPr>
              <w:lastRenderedPageBreak/>
              <w:t>dokumentų pagal EBVPD galutinis pateikimo terminas, toks dokumentas jo galiojimo laikotarpiu yra priimtinas.</w:t>
            </w: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2) Dėl įsipareigojimų, susijusių su socialinio draudimo įmokų mokėjimu, įvykdymo iš Lietuvoje įsteigtų subjektų prašoma:</w:t>
            </w: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9">
              <w:r>
                <w:rPr>
                  <w:rFonts w:ascii="Times New Roman" w:eastAsia="Times New Roman" w:hAnsi="Times New Roman" w:cs="Times New Roman"/>
                  <w:color w:val="000000"/>
                  <w:sz w:val="20"/>
                  <w:szCs w:val="20"/>
                  <w:u w:val="single"/>
                </w:rPr>
                <w:t>http://draudejai.sodra.lt/draudeju_viesi_duomenys/</w:t>
              </w:r>
            </w:hyperlink>
            <w:r>
              <w:rPr>
                <w:rFonts w:ascii="Times New Roman" w:eastAsia="Times New Roman" w:hAnsi="Times New Roman" w:cs="Times New Roman"/>
                <w:color w:val="000000"/>
                <w:sz w:val="20"/>
                <w:szCs w:val="20"/>
              </w:rPr>
              <w:t>.</w:t>
            </w: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Iš ne Lietuvoje įsteigtų subjektų reikalaujama:</w:t>
            </w:r>
          </w:p>
          <w:p w:rsidR="00517174" w:rsidRDefault="005B6C40">
            <w:pPr>
              <w:numPr>
                <w:ilvl w:val="0"/>
                <w:numId w:val="6"/>
              </w:numPr>
              <w:pBdr>
                <w:top w:val="nil"/>
                <w:left w:val="nil"/>
                <w:bottom w:val="nil"/>
                <w:right w:val="nil"/>
                <w:between w:val="nil"/>
              </w:pBdr>
              <w:spacing w:after="0" w:line="240" w:lineRule="auto"/>
              <w:ind w:left="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atitinkamos užsienio šalies kompetentingos institucijos dokumento</w:t>
            </w:r>
            <w:r>
              <w:rPr>
                <w:rFonts w:ascii="Times New Roman" w:eastAsia="Times New Roman" w:hAnsi="Times New Roman" w:cs="Times New Roman"/>
                <w:color w:val="000000"/>
                <w:sz w:val="20"/>
                <w:szCs w:val="20"/>
                <w:vertAlign w:val="superscript"/>
              </w:rPr>
              <w:footnoteReference w:id="3"/>
            </w:r>
            <w:r>
              <w:rPr>
                <w:rFonts w:ascii="Times New Roman" w:eastAsia="Times New Roman" w:hAnsi="Times New Roman" w:cs="Times New Roman"/>
                <w:color w:val="000000"/>
                <w:sz w:val="20"/>
                <w:szCs w:val="20"/>
              </w:rPr>
              <w:t>.</w:t>
            </w: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i/>
                <w:color w:val="7030A0"/>
                <w:sz w:val="20"/>
                <w:szCs w:val="20"/>
              </w:rPr>
            </w:pPr>
            <w:r>
              <w:rPr>
                <w:rFonts w:ascii="Times New Roman" w:eastAsia="Times New Roman" w:hAnsi="Times New Roman" w:cs="Times New Roman"/>
                <w:color w:val="000000"/>
                <w:sz w:val="20"/>
                <w:szCs w:val="20"/>
              </w:rPr>
              <w:t xml:space="preserve">Nurodyti dokumentai turi būti  išduoti ne anksčiau kaip </w:t>
            </w:r>
            <w:r>
              <w:rPr>
                <w:rFonts w:ascii="Times New Roman" w:eastAsia="Times New Roman" w:hAnsi="Times New Roman" w:cs="Times New Roman"/>
                <w:color w:val="00B050"/>
                <w:sz w:val="20"/>
                <w:szCs w:val="20"/>
              </w:rPr>
              <w:t>120</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B050"/>
                <w:sz w:val="20"/>
                <w:szCs w:val="20"/>
              </w:rPr>
              <w:t>dienų</w:t>
            </w:r>
            <w:r>
              <w:rPr>
                <w:rFonts w:ascii="Times New Roman" w:eastAsia="Times New Roman" w:hAnsi="Times New Roman" w:cs="Times New Roman"/>
                <w:color w:val="000000"/>
                <w:sz w:val="20"/>
                <w:szCs w:val="20"/>
              </w:rPr>
              <w:t xml:space="preserve"> iki </w:t>
            </w:r>
            <w:r>
              <w:rPr>
                <w:rFonts w:ascii="Times New Roman" w:eastAsia="Times New Roman" w:hAnsi="Times New Roman" w:cs="Times New Roman"/>
                <w:i/>
                <w:color w:val="000000"/>
                <w:sz w:val="20"/>
                <w:szCs w:val="20"/>
              </w:rPr>
              <w:t>tos dienos, kai tiekėjas perkančiosios organizacijos prašymu turės pateikti pašalinimo pagrindų nebuvimą patvirtinančius dok</w:t>
            </w:r>
            <w:r>
              <w:rPr>
                <w:rFonts w:ascii="Times New Roman" w:eastAsia="Times New Roman" w:hAnsi="Times New Roman" w:cs="Times New Roman"/>
                <w:color w:val="000000"/>
                <w:sz w:val="20"/>
                <w:szCs w:val="20"/>
              </w:rPr>
              <w:t xml:space="preserve">umentus. </w:t>
            </w:r>
            <w:r>
              <w:rPr>
                <w:rFonts w:ascii="Times New Roman" w:eastAsia="Times New Roman" w:hAnsi="Times New Roman" w:cs="Times New Roman"/>
                <w:b/>
                <w:i/>
                <w:color w:val="000000"/>
                <w:sz w:val="20"/>
                <w:szCs w:val="20"/>
              </w:rPr>
              <w:t>Pavyzdys</w:t>
            </w:r>
            <w:r>
              <w:rPr>
                <w:rFonts w:ascii="Times New Roman" w:eastAsia="Times New Roman" w:hAnsi="Times New Roman" w:cs="Times New Roman"/>
                <w:i/>
                <w:color w:val="000000"/>
                <w:sz w:val="20"/>
                <w:szCs w:val="20"/>
              </w:rPr>
              <w:t xml:space="preserve">: Jeigu perkančioji organizacija 2022-10-10 kreipėsi į tiekėją prašydama </w:t>
            </w:r>
            <w:r>
              <w:rPr>
                <w:rFonts w:ascii="Times New Roman" w:eastAsia="Times New Roman" w:hAnsi="Times New Roman" w:cs="Times New Roman"/>
                <w:i/>
                <w:color w:val="000000"/>
                <w:sz w:val="20"/>
                <w:szCs w:val="20"/>
              </w:rPr>
              <w:lastRenderedPageBreak/>
              <w:t>iki 2022-10-14 pateikti įrodančius dokumentus, jie turi būti išduoti ne anksčiau kaip 120 dienų, jas skaičiuojant atgal nuo 2022-10-14.</w:t>
            </w: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rsidR="00517174" w:rsidRPr="0020047F" w:rsidRDefault="00517174">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0"/>
                <w:szCs w:val="20"/>
              </w:rPr>
            </w:pPr>
          </w:p>
          <w:p w:rsidR="00517174" w:rsidRPr="0020047F" w:rsidRDefault="005B6C40">
            <w:pPr>
              <w:pBdr>
                <w:top w:val="nil"/>
                <w:left w:val="nil"/>
                <w:bottom w:val="nil"/>
                <w:right w:val="nil"/>
                <w:between w:val="nil"/>
              </w:pBdr>
              <w:spacing w:after="0" w:line="240" w:lineRule="auto"/>
              <w:jc w:val="both"/>
              <w:rPr>
                <w:rFonts w:ascii="Times New Roman" w:eastAsia="Times New Roman" w:hAnsi="Times New Roman" w:cs="Times New Roman"/>
                <w:b/>
                <w:i/>
                <w:color w:val="000000" w:themeColor="text1"/>
                <w:sz w:val="20"/>
                <w:szCs w:val="20"/>
              </w:rPr>
            </w:pPr>
            <w:r w:rsidRPr="0020047F">
              <w:rPr>
                <w:rFonts w:ascii="Times New Roman" w:eastAsia="Times New Roman" w:hAnsi="Times New Roman" w:cs="Times New Roman"/>
                <w:b/>
                <w:i/>
                <w:color w:val="000000" w:themeColor="text1"/>
                <w:sz w:val="20"/>
                <w:szCs w:val="20"/>
              </w:rPr>
              <w:t>PASTABA</w:t>
            </w: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sidRPr="0020047F">
              <w:rPr>
                <w:rFonts w:ascii="Times New Roman" w:eastAsia="Times New Roman" w:hAnsi="Times New Roman" w:cs="Times New Roman"/>
                <w:color w:val="000000" w:themeColor="text1"/>
                <w:sz w:val="20"/>
                <w:szCs w:val="20"/>
              </w:rPr>
              <w:t>Pažymų, patvirtinančių VPĮ 46 straipsnyje nurodytų tiekėjo pašalinimo pagrindų nebuvimą, pateikti nereikalaujama. Jų perkančioji organizacija reikalaus tik turėdama pagrįstų abejonių dėl tiekėjo patikimumo</w:t>
            </w:r>
            <w:r>
              <w:rPr>
                <w:rFonts w:ascii="Times New Roman" w:eastAsia="Times New Roman" w:hAnsi="Times New Roman" w:cs="Times New Roman"/>
                <w:color w:val="00B050"/>
                <w:sz w:val="20"/>
                <w:szCs w:val="20"/>
              </w:rPr>
              <w:t>.</w:t>
            </w:r>
          </w:p>
        </w:tc>
      </w:tr>
      <w:tr w:rsidR="00517174" w:rsidTr="00971974">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17174">
            <w:pPr>
              <w:numPr>
                <w:ilvl w:val="0"/>
                <w:numId w:val="7"/>
              </w:num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VPĮ 46 straipsnio 4 dalies 1 punktas</w:t>
            </w: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EBVPD III dalies C10 punktas</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Iš Lietuvoje įsteigtų subjektų įrodančių dokumentų nereikalaujama. Užtenka pateikto EBVPD.</w:t>
            </w: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p>
        </w:tc>
      </w:tr>
      <w:tr w:rsidR="00517174" w:rsidTr="00971974">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17174">
            <w:pPr>
              <w:numPr>
                <w:ilvl w:val="0"/>
                <w:numId w:val="7"/>
              </w:num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Tiekėjas pirkimo metu pateko į interesų konflikto situaciją, kaip apibrėžta VPĮ 21 straipsnyje, ir atitinkamos padėties negalima ištaisyti. </w:t>
            </w: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VPĮ 46 straipsnio 4 dalies 2 punktas</w:t>
            </w: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EBVPD III dalies C12 punktas</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Iš Lietuvoje įsteigtų subjektų įrodančių dokumentų nereikalaujama. Užtenka pateikto EBVPD.</w:t>
            </w: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p>
        </w:tc>
      </w:tr>
      <w:tr w:rsidR="00517174" w:rsidTr="00971974">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17174">
            <w:pPr>
              <w:numPr>
                <w:ilvl w:val="0"/>
                <w:numId w:val="7"/>
              </w:num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Pažeista konkurencija, kaip nustatyta VPĮ 27 straipsnio 3 ir 4 dalyse, ir atitinkamos padėties negalima ištaisyti.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VPĮ 46 straipsnio 4 dalies 3 punktas</w:t>
            </w: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EBVPD III dalies C13 punktas </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Iš Lietuvoje įsteigtų subjektų įrodančių dokumentų nereikalaujama. Užtenka pateikto EBVPD.</w:t>
            </w: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p>
        </w:tc>
      </w:tr>
      <w:tr w:rsidR="00517174" w:rsidTr="00971974">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17174">
            <w:pPr>
              <w:numPr>
                <w:ilvl w:val="0"/>
                <w:numId w:val="7"/>
              </w:num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w:t>
            </w:r>
            <w:r>
              <w:rPr>
                <w:rFonts w:ascii="Times New Roman" w:eastAsia="Times New Roman" w:hAnsi="Times New Roman" w:cs="Times New Roman"/>
                <w:color w:val="000000"/>
                <w:sz w:val="20"/>
                <w:szCs w:val="20"/>
              </w:rPr>
              <w:lastRenderedPageBreak/>
              <w:t xml:space="preserve">per pastaruosius vienus metus buvo pašalintas iš pirkimo ar koncesijos suteikimo procedūrų. </w:t>
            </w: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lastRenderedPageBreak/>
              <w:t>VPĮ 46 straipsnio 4 dalies 4 punktas</w:t>
            </w: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EBVPD III dalies C15 punktas </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Iš Lietuvoje įsteigtų subjektų įrodančių dokumentų nereikalaujama. Užtenka pateikto EBVPD.</w:t>
            </w: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Priimant sprendimus dėl tiekėjo pašalinimo iš pirkimo procedūros šiame punkte nurodytu pašalinimo pagrindu, be kita ko, gali būti atsižvelgiama į pagal VPĮ 52 straipsnį skelbiamą informaciją: </w:t>
            </w:r>
          </w:p>
          <w:p w:rsidR="00517174" w:rsidRDefault="00C773DF">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hyperlink r:id="rId10">
              <w:r w:rsidR="005B6C40">
                <w:rPr>
                  <w:rFonts w:ascii="Times New Roman" w:eastAsia="Times New Roman" w:hAnsi="Times New Roman" w:cs="Times New Roman"/>
                  <w:color w:val="000000"/>
                  <w:sz w:val="20"/>
                  <w:szCs w:val="20"/>
                </w:rPr>
                <w:t>https://vpt.lrv.lt/lt/nuorodos/kiti-duomenys/powerbi/melaginga-informacija-pateikusiu-tiekeju-sarasas-3/</w:t>
              </w:r>
            </w:hyperlink>
          </w:p>
        </w:tc>
      </w:tr>
      <w:tr w:rsidR="00517174" w:rsidTr="00971974">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17174">
            <w:pPr>
              <w:numPr>
                <w:ilvl w:val="0"/>
                <w:numId w:val="7"/>
              </w:num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VPĮ 46 straipsnio 4 dalies 5 punktas</w:t>
            </w: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EBVPD III dalies C15 punktas</w:t>
            </w: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Iš Lietuvoje įsteigtų subjektų įrodančių dokumentų nereikalaujama. Užtenka pateikto EBVPD.</w:t>
            </w: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p>
        </w:tc>
      </w:tr>
      <w:tr w:rsidR="00517174" w:rsidTr="00971974">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17174">
            <w:pPr>
              <w:numPr>
                <w:ilvl w:val="0"/>
                <w:numId w:val="7"/>
              </w:num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B6C40">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517174" w:rsidRDefault="005B6C40">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VPĮ 46 straipsnio 4 dalies 6 punktas</w:t>
            </w: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EBVPD III dalies C14 punktas</w:t>
            </w: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Iš Lietuvoje įsteigtų subjektų įrodančių dokumentų nereikalaujama. Užtenka pateikto EBVPD.</w:t>
            </w: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Priimant sprendimus dėl tiekėjo pašalinimo iš pirkimo procedūros šiame punkte nurodytu pašalinimo pagrindu, gali būti atsižvelgiama į pagal VPĮ 91 straipsnį skelbiamą informaciją: </w:t>
            </w: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517174" w:rsidRDefault="00C773DF">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hyperlink r:id="rId11">
              <w:r w:rsidR="005B6C40">
                <w:rPr>
                  <w:rFonts w:ascii="Times New Roman" w:eastAsia="Times New Roman" w:hAnsi="Times New Roman" w:cs="Times New Roman"/>
                  <w:color w:val="000000"/>
                  <w:sz w:val="20"/>
                  <w:szCs w:val="20"/>
                </w:rPr>
                <w:t>https://vpt.lrv.lt/lt/nuorodos/kiti-duomenys/powerbi/nepatikimi-tiekejai-1/</w:t>
              </w:r>
            </w:hyperlink>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517174" w:rsidRDefault="00C773DF">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hyperlink r:id="rId12">
              <w:r w:rsidR="005B6C40">
                <w:rPr>
                  <w:rFonts w:ascii="Times New Roman" w:eastAsia="Times New Roman" w:hAnsi="Times New Roman" w:cs="Times New Roman"/>
                  <w:color w:val="000000"/>
                  <w:sz w:val="20"/>
                  <w:szCs w:val="20"/>
                </w:rPr>
                <w:t>https://vpt.lrv.lt/lt/pasalinimo-pagrindai-1/nepatikimu-koncesininku-sarasas-1/nepatikimu-koncesininku-sarasas/</w:t>
              </w:r>
            </w:hyperlink>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p>
        </w:tc>
      </w:tr>
      <w:tr w:rsidR="00517174" w:rsidTr="00971974">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17174">
            <w:pPr>
              <w:numPr>
                <w:ilvl w:val="0"/>
                <w:numId w:val="7"/>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p w:rsidR="00517174" w:rsidRDefault="00517174">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Tiekėjas yra padaręs rimtą profesinį pažeidimą, dėl kurio perkančioji organizacija abejoja tiekėjo sąžiningumu, kai jis</w:t>
            </w:r>
            <w:bookmarkStart w:id="1" w:name="bookmark=id.30j0zll" w:colFirst="0" w:colLast="0"/>
            <w:bookmarkEnd w:id="1"/>
            <w:r>
              <w:rPr>
                <w:rFonts w:ascii="Times New Roman" w:eastAsia="Times New Roman" w:hAnsi="Times New Roman" w:cs="Times New Roman"/>
                <w:color w:val="000000"/>
                <w:sz w:val="20"/>
                <w:szCs w:val="20"/>
              </w:rPr>
              <w:t xml:space="preserve"> yra padaręs finansinės </w:t>
            </w:r>
            <w:r>
              <w:rPr>
                <w:rFonts w:ascii="Times New Roman" w:eastAsia="Times New Roman" w:hAnsi="Times New Roman" w:cs="Times New Roman"/>
                <w:color w:val="000000"/>
                <w:sz w:val="20"/>
                <w:szCs w:val="20"/>
              </w:rPr>
              <w:lastRenderedPageBreak/>
              <w:t>atskaitomybės ir audito teisės aktų pažeidimą ir n</w:t>
            </w:r>
            <w:bookmarkStart w:id="2" w:name="_GoBack"/>
            <w:bookmarkEnd w:id="2"/>
            <w:r>
              <w:rPr>
                <w:rFonts w:ascii="Times New Roman" w:eastAsia="Times New Roman" w:hAnsi="Times New Roman" w:cs="Times New Roman"/>
                <w:color w:val="000000"/>
                <w:sz w:val="20"/>
                <w:szCs w:val="20"/>
              </w:rPr>
              <w:t>uo jo padarymo dienos praėjo mažiau kaip vieni metai.</w:t>
            </w:r>
          </w:p>
          <w:p w:rsidR="00517174" w:rsidRDefault="00517174">
            <w:pPr>
              <w:spacing w:after="0" w:line="240" w:lineRule="auto"/>
              <w:jc w:val="both"/>
              <w:rPr>
                <w:rFonts w:ascii="Times New Roman" w:eastAsia="Times New Roman" w:hAnsi="Times New Roman" w:cs="Times New Roman"/>
                <w:b/>
                <w:sz w:val="20"/>
                <w:szCs w:val="20"/>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lastRenderedPageBreak/>
              <w:t>VPĮ 46 straipsnio 4 dalies 7 punkto a papunktis</w:t>
            </w: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EBVPD III dalies C11 punktas</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 xml:space="preserve">Iš Lietuvoje įsteigtų subjektų įrodančių dokumentų nereikalaujama. Užtenka pateikto EBVPD. Priimant sprendimus dėl tiekėjo pašalinimo iš pirkimo procedūros šiame punkte nurodytu pašalinimo pagrindu, be </w:t>
            </w:r>
            <w:r>
              <w:rPr>
                <w:rFonts w:ascii="Times New Roman" w:eastAsia="Times New Roman" w:hAnsi="Times New Roman" w:cs="Times New Roman"/>
                <w:color w:val="000000"/>
                <w:sz w:val="20"/>
                <w:szCs w:val="20"/>
              </w:rPr>
              <w:lastRenderedPageBreak/>
              <w:t>kita ko, atsižvelgiama į</w:t>
            </w:r>
            <w:r>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color w:val="000000"/>
                <w:sz w:val="20"/>
                <w:szCs w:val="20"/>
              </w:rPr>
              <w:t xml:space="preserve">nacionalinėje duomenų bazėje adresu: </w:t>
            </w:r>
            <w:hyperlink r:id="rId13">
              <w:r>
                <w:rPr>
                  <w:rFonts w:ascii="Times New Roman" w:eastAsia="Times New Roman" w:hAnsi="Times New Roman" w:cs="Times New Roman"/>
                  <w:color w:val="000000"/>
                  <w:sz w:val="20"/>
                  <w:szCs w:val="20"/>
                  <w:u w:val="single"/>
                </w:rPr>
                <w:t>https://www.registrucentras.lt/jar/p/index.php</w:t>
              </w:r>
            </w:hyperlink>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paskelbtą informaciją, taip pat į šiame informaciniame pranešime pateiktą informaciją:</w:t>
            </w:r>
          </w:p>
          <w:p w:rsidR="00517174" w:rsidRDefault="00C773DF">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hyperlink r:id="rId14">
              <w:r w:rsidR="005B6C40">
                <w:rPr>
                  <w:rFonts w:ascii="Times New Roman" w:eastAsia="Times New Roman" w:hAnsi="Times New Roman" w:cs="Times New Roman"/>
                  <w:color w:val="000000"/>
                  <w:sz w:val="20"/>
                  <w:szCs w:val="20"/>
                </w:rPr>
                <w:t>https://vpt.lrv.lt/lt/naujienos-3/finansiniu-ataskaitu-nepateikimas-gali-tapti-kliutimi-dalyvauti-viesuosiuose-pirkimuose/</w:t>
              </w:r>
            </w:hyperlink>
          </w:p>
        </w:tc>
      </w:tr>
      <w:tr w:rsidR="00517174" w:rsidTr="00971974">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17174">
            <w:pPr>
              <w:numPr>
                <w:ilvl w:val="0"/>
                <w:numId w:val="7"/>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Pr>
                <w:rFonts w:ascii="Times New Roman" w:eastAsia="Times New Roman" w:hAnsi="Times New Roman" w:cs="Times New Roman"/>
                <w:color w:val="000000"/>
                <w:sz w:val="20"/>
                <w:szCs w:val="20"/>
                <w:vertAlign w:val="superscript"/>
              </w:rPr>
              <w:t>1</w:t>
            </w:r>
            <w:r>
              <w:rPr>
                <w:rFonts w:ascii="Times New Roman" w:eastAsia="Times New Roman" w:hAnsi="Times New Roman" w:cs="Times New Roman"/>
                <w:color w:val="000000"/>
                <w:sz w:val="20"/>
                <w:szCs w:val="20"/>
              </w:rPr>
              <w:t xml:space="preserve"> straipsnio 1 dalyje.</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VPĮ 46 straipsnio 4 dalies 7 punkto b papunktis</w:t>
            </w: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EBVPD III dalies C11 punktas</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Iš Lietuvoje įsteigtų subjektų įrodančių dokumentų nereikalaujama. Užtenka pateikto EBVPD.</w:t>
            </w: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Priimant sprendimus dėl tiekėjo pašalinimo iš pirkimo procedūros šiame punkte nurodytu pašalinimo pagrindu, be kita ko, atsižvelgiama į</w:t>
            </w:r>
            <w:r>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color w:val="000000"/>
                <w:sz w:val="20"/>
                <w:szCs w:val="20"/>
              </w:rPr>
              <w:t xml:space="preserve">nacionalinėje duomenų bazėje adresu </w:t>
            </w:r>
            <w:hyperlink r:id="rId15">
              <w:r>
                <w:rPr>
                  <w:rFonts w:ascii="Times New Roman" w:eastAsia="Times New Roman" w:hAnsi="Times New Roman" w:cs="Times New Roman"/>
                  <w:color w:val="000000"/>
                  <w:sz w:val="20"/>
                  <w:szCs w:val="20"/>
                  <w:u w:val="single"/>
                </w:rPr>
                <w:t>https://www.vmi.lt/evmi/mokesciu-moketoju-informacija</w:t>
              </w:r>
            </w:hyperlink>
            <w:r>
              <w:rPr>
                <w:rFonts w:ascii="Times New Roman" w:eastAsia="Times New Roman" w:hAnsi="Times New Roman" w:cs="Times New Roman"/>
                <w:color w:val="000000"/>
                <w:sz w:val="20"/>
                <w:szCs w:val="20"/>
              </w:rPr>
              <w:t xml:space="preserve"> skelbiamą informaciją.</w:t>
            </w:r>
          </w:p>
        </w:tc>
      </w:tr>
      <w:tr w:rsidR="00517174" w:rsidTr="00971974">
        <w:trPr>
          <w:trHeight w:val="551"/>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17174">
            <w:pPr>
              <w:numPr>
                <w:ilvl w:val="0"/>
                <w:numId w:val="7"/>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VPĮ 46 straipsnio 4 dalies 7 punkto c papunktis</w:t>
            </w: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EBVPD III dalies C11 punktas</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Iš Lietuvoje įsteigtų subjektų įrodančių dokumentų nereikalaujama. Užtenka pateikto EBVPD.</w:t>
            </w: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517174" w:rsidRDefault="005B6C40">
            <w:pPr>
              <w:spacing w:after="0"/>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Priimant sprendimus dėl tiekėjo pašalinimo iš pirkimo procedūros šiame punkte nurodytu pašalinimo pagrindu, be kita ko, atsižvelgiama į nacionalinėje duomenų bazėje adresu: </w:t>
            </w:r>
            <w:hyperlink r:id="rId16">
              <w:r>
                <w:rPr>
                  <w:rFonts w:ascii="Times New Roman" w:eastAsia="Times New Roman" w:hAnsi="Times New Roman" w:cs="Times New Roman"/>
                  <w:color w:val="000000"/>
                  <w:sz w:val="20"/>
                  <w:szCs w:val="20"/>
                  <w:u w:val="single"/>
                </w:rPr>
                <w:t>https://kt.gov.lt/lt/atviri-duomenys/diskvalifikavimas-is-viesuju-pirkimu</w:t>
              </w:r>
            </w:hyperlink>
            <w:r>
              <w:rPr>
                <w:rFonts w:ascii="Times New Roman" w:eastAsia="Times New Roman" w:hAnsi="Times New Roman" w:cs="Times New Roman"/>
                <w:sz w:val="20"/>
                <w:szCs w:val="20"/>
              </w:rPr>
              <w:t xml:space="preserve"> skelbiamą informaciją. </w:t>
            </w:r>
          </w:p>
        </w:tc>
      </w:tr>
    </w:tbl>
    <w:p w:rsidR="00517174" w:rsidRDefault="00517174">
      <w:pPr>
        <w:spacing w:after="0" w:line="240" w:lineRule="auto"/>
        <w:rPr>
          <w:rFonts w:ascii="Times New Roman" w:eastAsia="Times New Roman" w:hAnsi="Times New Roman" w:cs="Times New Roman"/>
          <w:sz w:val="22"/>
          <w:szCs w:val="22"/>
        </w:rPr>
      </w:pPr>
    </w:p>
    <w:sectPr w:rsidR="00517174" w:rsidSect="00971974">
      <w:footerReference w:type="default" r:id="rId17"/>
      <w:pgSz w:w="16838" w:h="11906" w:orient="landscape"/>
      <w:pgMar w:top="567" w:right="567" w:bottom="567" w:left="1276"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73DF" w:rsidRDefault="00C773DF">
      <w:pPr>
        <w:spacing w:after="0" w:line="240" w:lineRule="auto"/>
      </w:pPr>
      <w:r>
        <w:separator/>
      </w:r>
    </w:p>
  </w:endnote>
  <w:endnote w:type="continuationSeparator" w:id="0">
    <w:p w:rsidR="00C773DF" w:rsidRDefault="00C773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7174" w:rsidRDefault="00517174">
    <w:pPr>
      <w:widowControl w:val="0"/>
      <w:pBdr>
        <w:top w:val="nil"/>
        <w:left w:val="nil"/>
        <w:bottom w:val="nil"/>
        <w:right w:val="nil"/>
        <w:between w:val="nil"/>
      </w:pBdr>
      <w:spacing w:after="0"/>
      <w:rPr>
        <w:rFonts w:eastAsia="Calibri"/>
        <w:color w:val="000000"/>
        <w:sz w:val="20"/>
        <w:szCs w:val="20"/>
      </w:rPr>
    </w:pPr>
  </w:p>
  <w:tbl>
    <w:tblPr>
      <w:tblStyle w:val="a1"/>
      <w:tblW w:w="9015" w:type="dxa"/>
      <w:tblInd w:w="0" w:type="dxa"/>
      <w:tblLayout w:type="fixed"/>
      <w:tblLook w:val="0600" w:firstRow="0" w:lastRow="0" w:firstColumn="0" w:lastColumn="0" w:noHBand="1" w:noVBand="1"/>
    </w:tblPr>
    <w:tblGrid>
      <w:gridCol w:w="3005"/>
      <w:gridCol w:w="3005"/>
      <w:gridCol w:w="3005"/>
    </w:tblGrid>
    <w:tr w:rsidR="00517174">
      <w:tc>
        <w:tcPr>
          <w:tcW w:w="3005" w:type="dxa"/>
        </w:tcPr>
        <w:p w:rsidR="00517174" w:rsidRDefault="00517174">
          <w:pPr>
            <w:pBdr>
              <w:top w:val="nil"/>
              <w:left w:val="nil"/>
              <w:bottom w:val="nil"/>
              <w:right w:val="nil"/>
              <w:between w:val="nil"/>
            </w:pBdr>
            <w:tabs>
              <w:tab w:val="center" w:pos="4680"/>
              <w:tab w:val="right" w:pos="9360"/>
            </w:tabs>
            <w:spacing w:after="0" w:line="240" w:lineRule="auto"/>
            <w:ind w:left="-115"/>
            <w:rPr>
              <w:rFonts w:eastAsia="Calibri"/>
              <w:color w:val="000000"/>
            </w:rPr>
          </w:pPr>
        </w:p>
      </w:tc>
      <w:tc>
        <w:tcPr>
          <w:tcW w:w="3005" w:type="dxa"/>
        </w:tcPr>
        <w:p w:rsidR="00517174" w:rsidRDefault="00517174">
          <w:pPr>
            <w:pBdr>
              <w:top w:val="nil"/>
              <w:left w:val="nil"/>
              <w:bottom w:val="nil"/>
              <w:right w:val="nil"/>
              <w:between w:val="nil"/>
            </w:pBdr>
            <w:tabs>
              <w:tab w:val="center" w:pos="4680"/>
              <w:tab w:val="right" w:pos="9360"/>
            </w:tabs>
            <w:spacing w:after="0" w:line="240" w:lineRule="auto"/>
            <w:jc w:val="center"/>
            <w:rPr>
              <w:rFonts w:eastAsia="Calibri"/>
              <w:color w:val="000000"/>
            </w:rPr>
          </w:pPr>
        </w:p>
      </w:tc>
      <w:tc>
        <w:tcPr>
          <w:tcW w:w="3005" w:type="dxa"/>
        </w:tcPr>
        <w:p w:rsidR="00517174" w:rsidRDefault="00517174">
          <w:pPr>
            <w:pBdr>
              <w:top w:val="nil"/>
              <w:left w:val="nil"/>
              <w:bottom w:val="nil"/>
              <w:right w:val="nil"/>
              <w:between w:val="nil"/>
            </w:pBdr>
            <w:tabs>
              <w:tab w:val="center" w:pos="4680"/>
              <w:tab w:val="right" w:pos="9360"/>
            </w:tabs>
            <w:spacing w:after="0" w:line="240" w:lineRule="auto"/>
            <w:ind w:right="-115"/>
            <w:jc w:val="right"/>
            <w:rPr>
              <w:rFonts w:eastAsia="Calibri"/>
              <w:color w:val="000000"/>
            </w:rPr>
          </w:pPr>
        </w:p>
      </w:tc>
    </w:tr>
  </w:tbl>
  <w:p w:rsidR="00517174" w:rsidRDefault="00517174">
    <w:pPr>
      <w:pBdr>
        <w:top w:val="nil"/>
        <w:left w:val="nil"/>
        <w:bottom w:val="nil"/>
        <w:right w:val="nil"/>
        <w:between w:val="nil"/>
      </w:pBdr>
      <w:tabs>
        <w:tab w:val="center" w:pos="4680"/>
        <w:tab w:val="right" w:pos="9360"/>
      </w:tabs>
      <w:spacing w:after="0" w:line="240" w:lineRule="auto"/>
      <w:rPr>
        <w:rFonts w:eastAsia="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73DF" w:rsidRDefault="00C773DF">
      <w:pPr>
        <w:spacing w:after="0" w:line="240" w:lineRule="auto"/>
      </w:pPr>
      <w:r>
        <w:separator/>
      </w:r>
    </w:p>
  </w:footnote>
  <w:footnote w:type="continuationSeparator" w:id="0">
    <w:p w:rsidR="00C773DF" w:rsidRDefault="00C773DF">
      <w:pPr>
        <w:spacing w:after="0" w:line="240" w:lineRule="auto"/>
      </w:pPr>
      <w:r>
        <w:continuationSeparator/>
      </w:r>
    </w:p>
  </w:footnote>
  <w:footnote w:id="1">
    <w:p w:rsidR="00517174" w:rsidRDefault="005B6C40">
      <w:pPr>
        <w:pBdr>
          <w:top w:val="nil"/>
          <w:left w:val="nil"/>
          <w:bottom w:val="nil"/>
          <w:right w:val="nil"/>
          <w:between w:val="nil"/>
        </w:pBdr>
        <w:spacing w:after="0" w:line="240" w:lineRule="auto"/>
        <w:jc w:val="both"/>
        <w:rPr>
          <w:rFonts w:eastAsia="Calibri"/>
          <w:i/>
          <w:color w:val="000000"/>
          <w:sz w:val="20"/>
          <w:szCs w:val="20"/>
        </w:rPr>
      </w:pPr>
      <w:r>
        <w:rPr>
          <w:vertAlign w:val="superscript"/>
        </w:rPr>
        <w:footnoteRef/>
      </w:r>
      <w:r>
        <w:rPr>
          <w:rFonts w:eastAsia="Calibri"/>
          <w:i/>
          <w:color w:val="000000"/>
          <w:sz w:val="20"/>
          <w:szCs w:val="20"/>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517174" w:rsidRDefault="005B6C40">
      <w:pPr>
        <w:numPr>
          <w:ilvl w:val="0"/>
          <w:numId w:val="2"/>
        </w:numPr>
        <w:pBdr>
          <w:top w:val="nil"/>
          <w:left w:val="nil"/>
          <w:bottom w:val="nil"/>
          <w:right w:val="nil"/>
          <w:between w:val="nil"/>
        </w:pBdr>
        <w:spacing w:after="0" w:line="240" w:lineRule="auto"/>
        <w:jc w:val="both"/>
        <w:rPr>
          <w:rFonts w:eastAsia="Calibri"/>
          <w:i/>
          <w:color w:val="000000"/>
          <w:sz w:val="20"/>
          <w:szCs w:val="20"/>
        </w:rPr>
      </w:pPr>
      <w:r>
        <w:rPr>
          <w:rFonts w:eastAsia="Calibri"/>
          <w:i/>
          <w:color w:val="000000"/>
          <w:sz w:val="20"/>
          <w:szCs w:val="20"/>
        </w:rPr>
        <w:t xml:space="preserve">priesaikos deklaracija; </w:t>
      </w:r>
    </w:p>
    <w:p w:rsidR="00517174" w:rsidRDefault="005B6C40">
      <w:pPr>
        <w:numPr>
          <w:ilvl w:val="0"/>
          <w:numId w:val="2"/>
        </w:numPr>
        <w:pBdr>
          <w:top w:val="nil"/>
          <w:left w:val="nil"/>
          <w:bottom w:val="nil"/>
          <w:right w:val="nil"/>
          <w:between w:val="nil"/>
        </w:pBdr>
        <w:spacing w:after="0" w:line="240" w:lineRule="auto"/>
        <w:jc w:val="both"/>
        <w:rPr>
          <w:rFonts w:eastAsia="Calibri"/>
          <w:color w:val="000000"/>
          <w:sz w:val="20"/>
          <w:szCs w:val="20"/>
        </w:rPr>
      </w:pPr>
      <w:r>
        <w:rPr>
          <w:rFonts w:eastAsia="Calibri"/>
          <w:i/>
          <w:color w:val="000000"/>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517174" w:rsidRDefault="005B6C40">
      <w:pPr>
        <w:pBdr>
          <w:top w:val="nil"/>
          <w:left w:val="nil"/>
          <w:bottom w:val="nil"/>
          <w:right w:val="nil"/>
          <w:between w:val="nil"/>
        </w:pBdr>
        <w:spacing w:after="0" w:line="240" w:lineRule="auto"/>
        <w:jc w:val="both"/>
        <w:rPr>
          <w:rFonts w:eastAsia="Calibri"/>
          <w:i/>
          <w:color w:val="000000"/>
          <w:sz w:val="20"/>
          <w:szCs w:val="20"/>
        </w:rPr>
      </w:pPr>
      <w:r>
        <w:rPr>
          <w:vertAlign w:val="superscript"/>
        </w:rPr>
        <w:footnoteRef/>
      </w:r>
      <w:r>
        <w:rPr>
          <w:rFonts w:eastAsia="Calibri"/>
          <w:color w:val="000000"/>
          <w:sz w:val="20"/>
          <w:szCs w:val="20"/>
        </w:rPr>
        <w:t xml:space="preserve"> </w:t>
      </w:r>
      <w:r>
        <w:rPr>
          <w:rFonts w:eastAsia="Calibri"/>
          <w:i/>
          <w:color w:val="000000"/>
          <w:sz w:val="20"/>
          <w:szCs w:val="20"/>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517174" w:rsidRDefault="005B6C40">
      <w:pPr>
        <w:numPr>
          <w:ilvl w:val="0"/>
          <w:numId w:val="3"/>
        </w:numPr>
        <w:pBdr>
          <w:top w:val="nil"/>
          <w:left w:val="nil"/>
          <w:bottom w:val="nil"/>
          <w:right w:val="nil"/>
          <w:between w:val="nil"/>
        </w:pBdr>
        <w:spacing w:after="0" w:line="240" w:lineRule="auto"/>
        <w:jc w:val="both"/>
        <w:rPr>
          <w:rFonts w:eastAsia="Calibri"/>
          <w:i/>
          <w:color w:val="000000"/>
          <w:sz w:val="20"/>
          <w:szCs w:val="20"/>
        </w:rPr>
      </w:pPr>
      <w:r>
        <w:rPr>
          <w:rFonts w:eastAsia="Calibri"/>
          <w:i/>
          <w:color w:val="000000"/>
          <w:sz w:val="20"/>
          <w:szCs w:val="20"/>
        </w:rPr>
        <w:t xml:space="preserve">priesaikos deklaracija; </w:t>
      </w:r>
    </w:p>
    <w:p w:rsidR="00517174" w:rsidRDefault="005B6C40">
      <w:pPr>
        <w:numPr>
          <w:ilvl w:val="0"/>
          <w:numId w:val="3"/>
        </w:numPr>
        <w:pBdr>
          <w:top w:val="nil"/>
          <w:left w:val="nil"/>
          <w:bottom w:val="nil"/>
          <w:right w:val="nil"/>
          <w:between w:val="nil"/>
        </w:pBdr>
        <w:spacing w:after="0" w:line="240" w:lineRule="auto"/>
        <w:jc w:val="both"/>
        <w:rPr>
          <w:rFonts w:eastAsia="Calibri"/>
          <w:color w:val="000000"/>
          <w:sz w:val="20"/>
          <w:szCs w:val="20"/>
        </w:rPr>
      </w:pPr>
      <w:r>
        <w:rPr>
          <w:rFonts w:eastAsia="Calibri"/>
          <w:i/>
          <w:color w:val="000000"/>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rsidR="00517174" w:rsidRDefault="005B6C40">
      <w:pPr>
        <w:pBdr>
          <w:top w:val="nil"/>
          <w:left w:val="nil"/>
          <w:bottom w:val="nil"/>
          <w:right w:val="nil"/>
          <w:between w:val="nil"/>
        </w:pBdr>
        <w:spacing w:after="0" w:line="240" w:lineRule="auto"/>
        <w:jc w:val="both"/>
        <w:rPr>
          <w:rFonts w:eastAsia="Calibri"/>
          <w:i/>
          <w:color w:val="000000"/>
          <w:sz w:val="20"/>
          <w:szCs w:val="20"/>
        </w:rPr>
      </w:pPr>
      <w:r>
        <w:rPr>
          <w:vertAlign w:val="superscript"/>
        </w:rPr>
        <w:footnoteRef/>
      </w:r>
      <w:r>
        <w:rPr>
          <w:rFonts w:eastAsia="Calibri"/>
          <w:color w:val="000000"/>
          <w:sz w:val="20"/>
          <w:szCs w:val="20"/>
        </w:rPr>
        <w:t xml:space="preserve"> </w:t>
      </w:r>
      <w:r>
        <w:rPr>
          <w:rFonts w:eastAsia="Calibri"/>
          <w:i/>
          <w:color w:val="000000"/>
          <w:sz w:val="20"/>
          <w:szCs w:val="20"/>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517174" w:rsidRDefault="005B6C40">
      <w:pPr>
        <w:numPr>
          <w:ilvl w:val="0"/>
          <w:numId w:val="4"/>
        </w:numPr>
        <w:pBdr>
          <w:top w:val="nil"/>
          <w:left w:val="nil"/>
          <w:bottom w:val="nil"/>
          <w:right w:val="nil"/>
          <w:between w:val="nil"/>
        </w:pBdr>
        <w:spacing w:after="0" w:line="240" w:lineRule="auto"/>
        <w:jc w:val="both"/>
        <w:rPr>
          <w:rFonts w:eastAsia="Calibri"/>
          <w:i/>
          <w:color w:val="000000"/>
          <w:sz w:val="20"/>
          <w:szCs w:val="20"/>
        </w:rPr>
      </w:pPr>
      <w:r>
        <w:rPr>
          <w:rFonts w:eastAsia="Calibri"/>
          <w:i/>
          <w:color w:val="000000"/>
          <w:sz w:val="20"/>
          <w:szCs w:val="20"/>
        </w:rPr>
        <w:t xml:space="preserve">priesaikos deklaracija; </w:t>
      </w:r>
    </w:p>
    <w:p w:rsidR="00517174" w:rsidRDefault="005B6C40">
      <w:pPr>
        <w:numPr>
          <w:ilvl w:val="0"/>
          <w:numId w:val="4"/>
        </w:numPr>
        <w:pBdr>
          <w:top w:val="nil"/>
          <w:left w:val="nil"/>
          <w:bottom w:val="nil"/>
          <w:right w:val="nil"/>
          <w:between w:val="nil"/>
        </w:pBdr>
        <w:spacing w:after="0" w:line="240" w:lineRule="auto"/>
        <w:jc w:val="both"/>
        <w:rPr>
          <w:rFonts w:eastAsia="Calibri"/>
          <w:color w:val="000000"/>
          <w:sz w:val="20"/>
          <w:szCs w:val="20"/>
        </w:rPr>
      </w:pPr>
      <w:r>
        <w:rPr>
          <w:rFonts w:eastAsia="Calibri"/>
          <w:i/>
          <w:color w:val="000000"/>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D1780"/>
    <w:multiLevelType w:val="multilevel"/>
    <w:tmpl w:val="97C85BE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EC07BDA"/>
    <w:multiLevelType w:val="multilevel"/>
    <w:tmpl w:val="41FCF160"/>
    <w:lvl w:ilvl="0">
      <w:start w:val="1"/>
      <w:numFmt w:val="decimal"/>
      <w:lvlText w:val="%1."/>
      <w:lvlJc w:val="left"/>
      <w:pPr>
        <w:ind w:left="720" w:hanging="360"/>
      </w:pPr>
    </w:lvl>
    <w:lvl w:ilvl="1">
      <w:start w:val="1"/>
      <w:numFmt w:val="decimal"/>
      <w:lvlText w:val="%1.%2."/>
      <w:lvlJc w:val="left"/>
      <w:pPr>
        <w:ind w:left="1440" w:hanging="720"/>
      </w:pPr>
    </w:lvl>
    <w:lvl w:ilvl="2">
      <w:start w:val="1"/>
      <w:numFmt w:val="decimal"/>
      <w:lvlText w:val="%1.%2.%3."/>
      <w:lvlJc w:val="left"/>
      <w:pPr>
        <w:ind w:left="2160" w:hanging="1080"/>
      </w:pPr>
    </w:lvl>
    <w:lvl w:ilvl="3">
      <w:start w:val="1"/>
      <w:numFmt w:val="decimal"/>
      <w:lvlText w:val="%1.%2.%3.%4."/>
      <w:lvlJc w:val="left"/>
      <w:pPr>
        <w:ind w:left="2520" w:hanging="1080"/>
      </w:pPr>
    </w:lvl>
    <w:lvl w:ilvl="4">
      <w:start w:val="1"/>
      <w:numFmt w:val="decimal"/>
      <w:lvlText w:val="%1.%2.%3.%4.%5."/>
      <w:lvlJc w:val="left"/>
      <w:pPr>
        <w:ind w:left="3240" w:hanging="1440"/>
      </w:pPr>
    </w:lvl>
    <w:lvl w:ilvl="5">
      <w:start w:val="1"/>
      <w:numFmt w:val="decimal"/>
      <w:lvlText w:val="%1.%2.%3.%4.%5.%6."/>
      <w:lvlJc w:val="left"/>
      <w:pPr>
        <w:ind w:left="3960" w:hanging="1800"/>
      </w:pPr>
    </w:lvl>
    <w:lvl w:ilvl="6">
      <w:start w:val="1"/>
      <w:numFmt w:val="decimal"/>
      <w:lvlText w:val="%1.%2.%3.%4.%5.%6.%7."/>
      <w:lvlJc w:val="left"/>
      <w:pPr>
        <w:ind w:left="4680" w:hanging="2160"/>
      </w:pPr>
    </w:lvl>
    <w:lvl w:ilvl="7">
      <w:start w:val="1"/>
      <w:numFmt w:val="decimal"/>
      <w:lvlText w:val="%1.%2.%3.%4.%5.%6.%7.%8."/>
      <w:lvlJc w:val="left"/>
      <w:pPr>
        <w:ind w:left="5040" w:hanging="2160"/>
      </w:pPr>
    </w:lvl>
    <w:lvl w:ilvl="8">
      <w:start w:val="1"/>
      <w:numFmt w:val="decimal"/>
      <w:lvlText w:val="%1.%2.%3.%4.%5.%6.%7.%8.%9."/>
      <w:lvlJc w:val="left"/>
      <w:pPr>
        <w:ind w:left="5760" w:hanging="2520"/>
      </w:pPr>
    </w:lvl>
  </w:abstractNum>
  <w:abstractNum w:abstractNumId="2" w15:restartNumberingAfterBreak="0">
    <w:nsid w:val="25A1521D"/>
    <w:multiLevelType w:val="multilevel"/>
    <w:tmpl w:val="B1B032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E9F50C2"/>
    <w:multiLevelType w:val="multilevel"/>
    <w:tmpl w:val="E15AE2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1A602A8"/>
    <w:multiLevelType w:val="multilevel"/>
    <w:tmpl w:val="3C62CC4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24A1CA1"/>
    <w:multiLevelType w:val="multilevel"/>
    <w:tmpl w:val="E4E497F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8C552B3"/>
    <w:multiLevelType w:val="multilevel"/>
    <w:tmpl w:val="CD8C0E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4D04670"/>
    <w:multiLevelType w:val="multilevel"/>
    <w:tmpl w:val="00726450"/>
    <w:lvl w:ilvl="0">
      <w:start w:val="1"/>
      <w:numFmt w:val="decimal"/>
      <w:lvlText w:val="%1."/>
      <w:lvlJc w:val="left"/>
      <w:pPr>
        <w:ind w:left="0" w:firstLine="0"/>
      </w:pPr>
      <w:rPr>
        <w:rFonts w:ascii="Times New Roman" w:eastAsia="Calibri" w:hAnsi="Times New Roman" w:cs="Times New Roman" w:hint="default"/>
        <w:b w:val="0"/>
        <w:i w:val="0"/>
        <w:color w:val="000000"/>
        <w:sz w:val="20"/>
        <w:szCs w:val="20"/>
      </w:rPr>
    </w:lvl>
    <w:lvl w:ilvl="1">
      <w:start w:val="1"/>
      <w:numFmt w:val="decimal"/>
      <w:lvlText w:val="%1.%2."/>
      <w:lvlJc w:val="left"/>
      <w:pPr>
        <w:ind w:left="720" w:hanging="360"/>
      </w:pPr>
      <w:rPr>
        <w:rFonts w:ascii="Calibri" w:eastAsia="Calibri" w:hAnsi="Calibri" w:cs="Calibri"/>
        <w:b w:val="0"/>
        <w:color w:val="000000"/>
        <w:sz w:val="21"/>
        <w:szCs w:val="21"/>
      </w:rPr>
    </w:lvl>
    <w:lvl w:ilvl="2">
      <w:start w:val="1"/>
      <w:numFmt w:val="decimal"/>
      <w:lvlText w:val="%1.%2.%3."/>
      <w:lvlJc w:val="left"/>
      <w:pPr>
        <w:ind w:left="1440" w:hanging="720"/>
      </w:pPr>
      <w:rPr>
        <w:rFonts w:ascii="Calibri" w:eastAsia="Calibri" w:hAnsi="Calibri" w:cs="Calibri"/>
        <w:sz w:val="21"/>
        <w:szCs w:val="21"/>
      </w:rPr>
    </w:lvl>
    <w:lvl w:ilvl="3">
      <w:start w:val="1"/>
      <w:numFmt w:val="decimal"/>
      <w:lvlText w:val="%1.%2.%3.%4."/>
      <w:lvlJc w:val="left"/>
      <w:pPr>
        <w:ind w:left="1800" w:hanging="720"/>
      </w:pPr>
      <w:rPr>
        <w:rFonts w:ascii="Calibri" w:eastAsia="Calibri" w:hAnsi="Calibri" w:cs="Calibri"/>
        <w:sz w:val="22"/>
        <w:szCs w:val="22"/>
      </w:rPr>
    </w:lvl>
    <w:lvl w:ilvl="4">
      <w:start w:val="1"/>
      <w:numFmt w:val="decimal"/>
      <w:lvlText w:val="%1.%2.%3.%4.%5."/>
      <w:lvlJc w:val="left"/>
      <w:pPr>
        <w:ind w:left="2520" w:hanging="1080"/>
      </w:pPr>
      <w:rPr>
        <w:rFonts w:ascii="Calibri" w:eastAsia="Calibri" w:hAnsi="Calibri" w:cs="Calibri"/>
        <w:sz w:val="22"/>
        <w:szCs w:val="22"/>
      </w:rPr>
    </w:lvl>
    <w:lvl w:ilvl="5">
      <w:start w:val="1"/>
      <w:numFmt w:val="decimal"/>
      <w:lvlText w:val="%1.%2.%3.%4.%5.%6."/>
      <w:lvlJc w:val="left"/>
      <w:pPr>
        <w:ind w:left="2880" w:hanging="1080"/>
      </w:pPr>
      <w:rPr>
        <w:rFonts w:ascii="Calibri" w:eastAsia="Calibri" w:hAnsi="Calibri" w:cs="Calibri"/>
        <w:sz w:val="22"/>
        <w:szCs w:val="22"/>
      </w:rPr>
    </w:lvl>
    <w:lvl w:ilvl="6">
      <w:start w:val="1"/>
      <w:numFmt w:val="decimal"/>
      <w:lvlText w:val="%1.%2.%3.%4.%5.%6.%7."/>
      <w:lvlJc w:val="left"/>
      <w:pPr>
        <w:ind w:left="3600" w:hanging="1440"/>
      </w:pPr>
      <w:rPr>
        <w:rFonts w:ascii="Calibri" w:eastAsia="Calibri" w:hAnsi="Calibri" w:cs="Calibri"/>
        <w:sz w:val="22"/>
        <w:szCs w:val="22"/>
      </w:rPr>
    </w:lvl>
    <w:lvl w:ilvl="7">
      <w:start w:val="1"/>
      <w:numFmt w:val="decimal"/>
      <w:lvlText w:val="%1.%2.%3.%4.%5.%6.%7.%8."/>
      <w:lvlJc w:val="left"/>
      <w:pPr>
        <w:ind w:left="3960" w:hanging="1440"/>
      </w:pPr>
      <w:rPr>
        <w:rFonts w:ascii="Calibri" w:eastAsia="Calibri" w:hAnsi="Calibri" w:cs="Calibri"/>
        <w:sz w:val="22"/>
        <w:szCs w:val="22"/>
      </w:rPr>
    </w:lvl>
    <w:lvl w:ilvl="8">
      <w:start w:val="1"/>
      <w:numFmt w:val="decimal"/>
      <w:lvlText w:val="%1.%2.%3.%4.%5.%6.%7.%8.%9."/>
      <w:lvlJc w:val="left"/>
      <w:pPr>
        <w:ind w:left="4680" w:hanging="1800"/>
      </w:pPr>
      <w:rPr>
        <w:rFonts w:ascii="Calibri" w:eastAsia="Calibri" w:hAnsi="Calibri" w:cs="Calibri"/>
        <w:sz w:val="22"/>
        <w:szCs w:val="22"/>
      </w:rPr>
    </w:lvl>
  </w:abstractNum>
  <w:num w:numId="1">
    <w:abstractNumId w:val="6"/>
  </w:num>
  <w:num w:numId="2">
    <w:abstractNumId w:val="4"/>
  </w:num>
  <w:num w:numId="3">
    <w:abstractNumId w:val="0"/>
  </w:num>
  <w:num w:numId="4">
    <w:abstractNumId w:val="5"/>
  </w:num>
  <w:num w:numId="5">
    <w:abstractNumId w:val="3"/>
  </w:num>
  <w:num w:numId="6">
    <w:abstractNumId w:val="2"/>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174"/>
    <w:rsid w:val="0020047F"/>
    <w:rsid w:val="00517174"/>
    <w:rsid w:val="005B6C40"/>
    <w:rsid w:val="00971974"/>
    <w:rsid w:val="00C773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42395"/>
  <w15:docId w15:val="{BCC83901-7493-4181-BD4A-DD62C3920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1"/>
        <w:szCs w:val="21"/>
        <w:lang w:val="lt-LT"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1A0108"/>
    <w:rPr>
      <w:rFonts w:eastAsiaTheme="minorEastAsia"/>
      <w:lang w:eastAsia="lt-LT"/>
    </w:rPr>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 w:type="dxa"/>
        <w:right w:w="10"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13" Type="http://schemas.openxmlformats.org/officeDocument/2006/relationships/hyperlink" Target="https://www.registrucentras.lt/jar/p/index.ph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nuorodos/kiti-duomenys/powerbi/nepatikimi-tiekejai-1/" TargetMode="External"/><Relationship Id="rId5" Type="http://schemas.openxmlformats.org/officeDocument/2006/relationships/webSettings" Target="webSettings.xml"/><Relationship Id="rId15" Type="http://schemas.openxmlformats.org/officeDocument/2006/relationships/hyperlink" Target="https://www.vmi.lt/evmi/mokesciu-moketoju-informacija" TargetMode="External"/><Relationship Id="rId10" Type="http://schemas.openxmlformats.org/officeDocument/2006/relationships/hyperlink" Target="https://vpt.lrv.lt/lt/nuorodos/kiti-duomenys/powerbi/melaginga-informacija-pateikusiu-tiekeju-sarasas-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draudejai.sodra.lt/draudeju_viesi_duomenys/" TargetMode="External"/><Relationship Id="rId14" Type="http://schemas.openxmlformats.org/officeDocument/2006/relationships/hyperlink" Target="https://vpt.lrv.lt/lt/naujienos-3/finansiniu-ataskaitu-nepateikimas-gali-tapti-kliutimi-dalyvauti-viesuosiuose-pirkimuo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ptUxMkI7/39zMS/xL08i8wCRPg==">CgMxLjAyCGguZ2pkZ3hzMgppZC4zMGowemxsMgloLjFmb2I5dGU4AHIhMU5WVGNuVE9hX1JGVTQ1N0w4NjA4MndoRFp1SHF5cnVs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3392</Words>
  <Characters>19340</Characters>
  <Application>Microsoft Office Word</Application>
  <DocSecurity>0</DocSecurity>
  <Lines>161</Lines>
  <Paragraphs>45</Paragraphs>
  <ScaleCrop>false</ScaleCrop>
  <Company/>
  <LinksUpToDate>false</LinksUpToDate>
  <CharactersWithSpaces>22687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Markevičienė</dc:creator>
  <cp:lastModifiedBy>Dell</cp:lastModifiedBy>
  <cp:revision>3</cp:revision>
  <dcterms:created xsi:type="dcterms:W3CDTF">2025-01-29T14:43:00Z</dcterms:created>
  <dcterms:modified xsi:type="dcterms:W3CDTF">2025-03-03T08:01:00Z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