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54B0" w14:textId="77777777" w:rsidR="00C80D15" w:rsidRDefault="00C80D15" w:rsidP="004E25E6">
      <w:pPr>
        <w:spacing w:line="240" w:lineRule="auto"/>
        <w:ind w:left="7314" w:hanging="1644"/>
        <w:rPr>
          <w:rFonts w:ascii="Times New Roman" w:hAnsi="Times New Roman" w:cs="Times New Roman"/>
          <w:sz w:val="24"/>
          <w:szCs w:val="24"/>
        </w:rPr>
      </w:pPr>
      <w:r w:rsidRPr="004E25E6">
        <w:rPr>
          <w:rFonts w:ascii="Times New Roman" w:hAnsi="Times New Roman" w:cs="Times New Roman"/>
          <w:sz w:val="24"/>
          <w:szCs w:val="24"/>
        </w:rPr>
        <w:t>Pirkimo sąlygų 1 priedas „Techninė specifikacija“</w:t>
      </w:r>
    </w:p>
    <w:p w14:paraId="55473D2B" w14:textId="77777777" w:rsidR="004E25E6" w:rsidRPr="004E25E6" w:rsidRDefault="004E25E6" w:rsidP="004E25E6">
      <w:pPr>
        <w:spacing w:line="240" w:lineRule="auto"/>
        <w:ind w:left="7314" w:hanging="1644"/>
        <w:rPr>
          <w:rFonts w:ascii="Times New Roman" w:hAnsi="Times New Roman" w:cs="Times New Roman"/>
          <w:sz w:val="24"/>
          <w:szCs w:val="24"/>
        </w:rPr>
      </w:pPr>
    </w:p>
    <w:p w14:paraId="1D21A162" w14:textId="77777777" w:rsidR="00C80D15" w:rsidRPr="000566F9" w:rsidRDefault="00C80D15" w:rsidP="00C80D15">
      <w:pPr>
        <w:spacing w:line="240" w:lineRule="auto"/>
        <w:jc w:val="center"/>
        <w:rPr>
          <w:rFonts w:ascii="Times New Roman" w:eastAsia="Times New Roman" w:hAnsi="Times New Roman" w:cs="Times New Roman"/>
          <w:b/>
          <w:sz w:val="24"/>
          <w:szCs w:val="24"/>
          <w:lang w:eastAsia="en-US"/>
        </w:rPr>
      </w:pPr>
      <w:r w:rsidRPr="000566F9">
        <w:rPr>
          <w:rFonts w:ascii="Times New Roman" w:eastAsia="Times New Roman" w:hAnsi="Times New Roman" w:cs="Times New Roman"/>
          <w:b/>
          <w:sz w:val="24"/>
          <w:szCs w:val="24"/>
          <w:lang w:eastAsia="en-US"/>
        </w:rPr>
        <w:t>TECHNINĖ SPECIFIKACIJA</w:t>
      </w:r>
    </w:p>
    <w:p w14:paraId="56A8B48F"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p>
    <w:p w14:paraId="2123ABA4" w14:textId="77777777" w:rsidR="00C80D15" w:rsidRPr="000566F9" w:rsidRDefault="00C80D15" w:rsidP="00C80D15">
      <w:pPr>
        <w:numPr>
          <w:ilvl w:val="0"/>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Bendri reikalavimai serverių patalpinimui (Įrangos komplektacija Nr.1):</w:t>
      </w:r>
    </w:p>
    <w:p w14:paraId="707C7650"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 xml:space="preserve">Duomenų centras kuriame talpinama įranga turi atitikti </w:t>
      </w:r>
      <w:proofErr w:type="spellStart"/>
      <w:r w:rsidRPr="000566F9">
        <w:rPr>
          <w:rFonts w:ascii="Times New Roman" w:eastAsia="Times New Roman" w:hAnsi="Times New Roman" w:cs="Times New Roman"/>
          <w:sz w:val="24"/>
          <w:szCs w:val="24"/>
          <w:lang w:eastAsia="en-US"/>
        </w:rPr>
        <w:t>Tier</w:t>
      </w:r>
      <w:proofErr w:type="spellEnd"/>
      <w:r w:rsidRPr="000566F9">
        <w:rPr>
          <w:rFonts w:ascii="Times New Roman" w:eastAsia="Times New Roman" w:hAnsi="Times New Roman" w:cs="Times New Roman"/>
          <w:sz w:val="24"/>
          <w:szCs w:val="24"/>
          <w:lang w:eastAsia="en-US"/>
        </w:rPr>
        <w:t xml:space="preserve"> II reikalavimus</w:t>
      </w:r>
      <w:r>
        <w:rPr>
          <w:rFonts w:ascii="Times New Roman" w:eastAsia="Times New Roman" w:hAnsi="Times New Roman" w:cs="Times New Roman"/>
          <w:sz w:val="24"/>
          <w:szCs w:val="24"/>
          <w:lang w:eastAsia="en-US"/>
        </w:rPr>
        <w:t xml:space="preserve"> (sertifikatas neprivalomas)</w:t>
      </w:r>
      <w:r w:rsidRPr="000566F9">
        <w:rPr>
          <w:rFonts w:ascii="Times New Roman" w:eastAsia="Times New Roman" w:hAnsi="Times New Roman" w:cs="Times New Roman"/>
          <w:color w:val="000000"/>
          <w:sz w:val="24"/>
          <w:szCs w:val="24"/>
          <w:lang w:eastAsia="en-US"/>
        </w:rPr>
        <w:t>;</w:t>
      </w:r>
    </w:p>
    <w:p w14:paraId="71D3BCB1"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Perkančiosios organizacijos talpinamai įrangai turi būti užtikrintas nuolatinis 230V elektros energijos tiekimas. Maksimali reikalinga galia 350W. Elektros tiekimas turi būti garantuotas darbiniu ir rezerviniu UPS-</w:t>
      </w:r>
      <w:proofErr w:type="spellStart"/>
      <w:r w:rsidRPr="000566F9">
        <w:rPr>
          <w:rFonts w:ascii="Times New Roman" w:eastAsia="Times New Roman" w:hAnsi="Times New Roman" w:cs="Times New Roman"/>
          <w:sz w:val="24"/>
          <w:szCs w:val="24"/>
          <w:lang w:eastAsia="en-US"/>
        </w:rPr>
        <w:t>ais</w:t>
      </w:r>
      <w:proofErr w:type="spellEnd"/>
      <w:r w:rsidRPr="000566F9">
        <w:rPr>
          <w:rFonts w:ascii="Times New Roman" w:eastAsia="Times New Roman" w:hAnsi="Times New Roman" w:cs="Times New Roman"/>
          <w:sz w:val="24"/>
          <w:szCs w:val="24"/>
          <w:lang w:eastAsia="en-US"/>
        </w:rPr>
        <w:t>;</w:t>
      </w:r>
    </w:p>
    <w:p w14:paraId="62FAC637"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Įrangai reikalinga bent 2U vieta 19 colių komutacinėje spintoje, kuri turi būti tinkama 77 cm ilgio serveriams,  aušinimas tinkamas 2500 BTU/h generuojančiai įrangai;</w:t>
      </w:r>
    </w:p>
    <w:p w14:paraId="499305D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color w:val="000000"/>
          <w:sz w:val="24"/>
          <w:szCs w:val="24"/>
          <w:lang w:eastAsia="en-US"/>
        </w:rPr>
        <w:t>T</w:t>
      </w:r>
      <w:r w:rsidRPr="000566F9">
        <w:rPr>
          <w:rFonts w:ascii="Times New Roman" w:eastAsia="Times New Roman" w:hAnsi="Times New Roman" w:cs="Times New Roman"/>
          <w:sz w:val="24"/>
          <w:szCs w:val="24"/>
          <w:lang w:eastAsia="en-US"/>
        </w:rPr>
        <w:t>uri būti užtikrintas fizinis priėjimas prie įrangos iš priekio ir iš galo;</w:t>
      </w:r>
    </w:p>
    <w:p w14:paraId="28531AF6"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ne mažiau kaip 4 elektros tiekimo lizdai;</w:t>
      </w:r>
    </w:p>
    <w:p w14:paraId="173E28C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Reikalingos bent keturios 100Base-TX/1000Base-TX RJ-45 kompiuterių tinklo jungtys.</w:t>
      </w:r>
    </w:p>
    <w:p w14:paraId="46AE68B4" w14:textId="77777777" w:rsidR="00C80D15" w:rsidRPr="000566F9" w:rsidRDefault="00C80D15" w:rsidP="00C80D15">
      <w:pPr>
        <w:numPr>
          <w:ilvl w:val="0"/>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Reikalavimai kompiuterių tinklui:</w:t>
      </w:r>
    </w:p>
    <w:p w14:paraId="2BF38D25"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Įrangai turi būti užtikrinta bent </w:t>
      </w:r>
      <w:r w:rsidRPr="000566F9">
        <w:rPr>
          <w:rFonts w:ascii="Times New Roman" w:eastAsia="Times New Roman" w:hAnsi="Times New Roman" w:cs="Times New Roman"/>
          <w:b/>
          <w:bCs/>
          <w:sz w:val="24"/>
          <w:szCs w:val="24"/>
          <w:lang w:eastAsia="en-US"/>
        </w:rPr>
        <w:t>1000</w:t>
      </w:r>
      <w:r w:rsidRPr="000566F9">
        <w:rPr>
          <w:rFonts w:ascii="Times New Roman" w:eastAsia="Times New Roman" w:hAnsi="Times New Roman" w:cs="Times New Roman"/>
          <w:sz w:val="24"/>
          <w:szCs w:val="24"/>
          <w:lang w:eastAsia="en-US"/>
        </w:rPr>
        <w:t xml:space="preserve"> Mbps ryšio sparta Lietuvoje ir bent </w:t>
      </w:r>
      <w:r w:rsidRPr="000566F9">
        <w:rPr>
          <w:rFonts w:ascii="Times New Roman" w:eastAsia="Times New Roman" w:hAnsi="Times New Roman" w:cs="Times New Roman"/>
          <w:b/>
          <w:bCs/>
          <w:sz w:val="24"/>
          <w:szCs w:val="24"/>
          <w:lang w:eastAsia="en-US"/>
        </w:rPr>
        <w:t>50</w:t>
      </w:r>
      <w:r w:rsidRPr="000566F9">
        <w:rPr>
          <w:rFonts w:ascii="Times New Roman" w:eastAsia="Times New Roman" w:hAnsi="Times New Roman" w:cs="Times New Roman"/>
          <w:sz w:val="24"/>
          <w:szCs w:val="24"/>
          <w:lang w:eastAsia="en-US"/>
        </w:rPr>
        <w:t xml:space="preserve"> Mbps ryšio sparta su užsienio tinklais (interneto kanalo sutankinimas iki 1:2);</w:t>
      </w:r>
    </w:p>
    <w:p w14:paraId="397A906B"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IPv4 adresai;</w:t>
      </w:r>
    </w:p>
    <w:p w14:paraId="2E0339C1"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IPv6 adresai;</w:t>
      </w:r>
    </w:p>
    <w:p w14:paraId="4CCB75A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Keičiant Perkančiajai organizacijai paskirtus IP adresus, tiekėjas apie keitimą privalo įspėti bent prieš 30 dienų ir bent 20 dienų privalo suteikti galimybę Perkančiajai organizacijai naudoti senus ir naujus IP adresus lygiagrečiai;</w:t>
      </w:r>
    </w:p>
    <w:p w14:paraId="346C9D7F"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BGPv4 sesijos su tiekėjo maršrutizatoriumi Perkančiosios organizacijos AS skelbimui:</w:t>
      </w:r>
    </w:p>
    <w:p w14:paraId="45E2DC37"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Perkančiosios organizacijos AS skelbiamų BGPv4 maršrutų (IPv4 ir IPv6) priėmimas;</w:t>
      </w:r>
    </w:p>
    <w:p w14:paraId="2B2703F9" w14:textId="77777777" w:rsidR="00C80D15" w:rsidRPr="000566F9" w:rsidRDefault="00C80D15" w:rsidP="00C80D15">
      <w:pPr>
        <w:numPr>
          <w:ilvl w:val="2"/>
          <w:numId w:val="1"/>
        </w:numPr>
        <w:spacing w:line="240" w:lineRule="auto"/>
        <w:rPr>
          <w:rFonts w:ascii="Times New Roman" w:eastAsia="Times New Roman" w:hAnsi="Times New Roman" w:cs="Times New Roman"/>
          <w:i/>
          <w:sz w:val="24"/>
          <w:szCs w:val="24"/>
          <w:lang w:eastAsia="en-US"/>
        </w:rPr>
      </w:pPr>
      <w:r w:rsidRPr="000566F9">
        <w:rPr>
          <w:rFonts w:ascii="Times New Roman" w:eastAsia="Times New Roman" w:hAnsi="Times New Roman" w:cs="Times New Roman"/>
          <w:sz w:val="24"/>
          <w:szCs w:val="24"/>
          <w:lang w:eastAsia="en-US"/>
        </w:rPr>
        <w:t xml:space="preserve">Perkančiosios organizacijos skelbiamų AS maršrutų (IPv4 ir IPv6) perskelbimas į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upstream</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autonomines sistemas bei dalyvio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peer'us</w:t>
      </w:r>
      <w:proofErr w:type="spellEnd"/>
      <w:r w:rsidRPr="000566F9">
        <w:rPr>
          <w:rFonts w:ascii="Times New Roman" w:eastAsia="Times New Roman" w:hAnsi="Times New Roman" w:cs="Times New Roman"/>
          <w:i/>
          <w:sz w:val="24"/>
          <w:szCs w:val="24"/>
          <w:lang w:eastAsia="en-US"/>
        </w:rPr>
        <w:t>“;</w:t>
      </w:r>
    </w:p>
    <w:p w14:paraId="12D020B5"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Korektiškas BGPv4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no-export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community</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interpretavimas (neperskelbti AS jeigu Perkančiosios organizacijos maršrutizatorius naudoja šį atributą);</w:t>
      </w:r>
    </w:p>
    <w:p w14:paraId="55836A89"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Turi būti galimybė sudaryti 2 atskiras BGPv4 sesijas su tiekėjo maršrutizatoriumi(-</w:t>
      </w:r>
      <w:proofErr w:type="spellStart"/>
      <w:r w:rsidRPr="000566F9">
        <w:rPr>
          <w:rFonts w:ascii="Times New Roman" w:eastAsia="Times New Roman" w:hAnsi="Times New Roman" w:cs="Times New Roman"/>
          <w:sz w:val="24"/>
          <w:szCs w:val="24"/>
          <w:lang w:eastAsia="en-US"/>
        </w:rPr>
        <w:t>iais</w:t>
      </w:r>
      <w:proofErr w:type="spellEnd"/>
      <w:r w:rsidRPr="000566F9">
        <w:rPr>
          <w:rFonts w:ascii="Times New Roman" w:eastAsia="Times New Roman" w:hAnsi="Times New Roman" w:cs="Times New Roman"/>
          <w:sz w:val="24"/>
          <w:szCs w:val="24"/>
          <w:lang w:eastAsia="en-US"/>
        </w:rPr>
        <w:t>);</w:t>
      </w:r>
    </w:p>
    <w:p w14:paraId="2D9AFF1C"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Tiekėjo maršrutizatorius turi PO įrangai turi skelbti tik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default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route</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maršrutą;</w:t>
      </w:r>
    </w:p>
    <w:p w14:paraId="2E3999E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Paslaugos teikėjas neturi naudoti jokių interneto srauto filtravimo priemonių, nebent tai būtų atskiru susitarimu suderinta su Perkančiąja organizacija;</w:t>
      </w:r>
    </w:p>
    <w:p w14:paraId="72D13C3B" w14:textId="77777777" w:rsidR="00C80D15"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Paslaugos </w:t>
      </w:r>
      <w:proofErr w:type="spellStart"/>
      <w:r w:rsidRPr="000566F9">
        <w:rPr>
          <w:rFonts w:ascii="Times New Roman" w:eastAsia="Times New Roman" w:hAnsi="Times New Roman" w:cs="Times New Roman"/>
          <w:sz w:val="24"/>
          <w:szCs w:val="24"/>
          <w:lang w:eastAsia="en-US"/>
        </w:rPr>
        <w:t>pateikiamumas</w:t>
      </w:r>
      <w:proofErr w:type="spellEnd"/>
      <w:r w:rsidRPr="000566F9">
        <w:rPr>
          <w:rFonts w:ascii="Times New Roman" w:eastAsia="Times New Roman" w:hAnsi="Times New Roman" w:cs="Times New Roman"/>
          <w:sz w:val="24"/>
          <w:szCs w:val="24"/>
          <w:lang w:eastAsia="en-US"/>
        </w:rPr>
        <w:t xml:space="preserve"> turi būti ne mažesnis už 99,5%.</w:t>
      </w:r>
    </w:p>
    <w:p w14:paraId="60008810" w14:textId="36866257" w:rsidR="00C80D15" w:rsidRPr="0009256E"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9256E">
        <w:rPr>
          <w:rFonts w:ascii="Times New Roman" w:eastAsia="Times New Roman" w:hAnsi="Times New Roman" w:cs="Times New Roman"/>
          <w:sz w:val="24"/>
          <w:szCs w:val="24"/>
          <w:lang w:eastAsia="en-US"/>
        </w:rPr>
        <w:t>Paslaugos turi būti teikiam</w:t>
      </w:r>
      <w:r w:rsidR="0011328B" w:rsidRPr="0009256E">
        <w:rPr>
          <w:rFonts w:ascii="Times New Roman" w:eastAsia="Times New Roman" w:hAnsi="Times New Roman" w:cs="Times New Roman"/>
          <w:sz w:val="24"/>
          <w:szCs w:val="24"/>
          <w:lang w:eastAsia="en-US"/>
        </w:rPr>
        <w:t>o</w:t>
      </w:r>
      <w:r w:rsidRPr="0009256E">
        <w:rPr>
          <w:rFonts w:ascii="Times New Roman" w:eastAsia="Times New Roman" w:hAnsi="Times New Roman" w:cs="Times New Roman"/>
          <w:sz w:val="24"/>
          <w:szCs w:val="24"/>
          <w:lang w:eastAsia="en-US"/>
        </w:rPr>
        <w:t xml:space="preserve">s tik Lietuvoje. </w:t>
      </w:r>
    </w:p>
    <w:p w14:paraId="72A06695" w14:textId="21C07A54" w:rsidR="0009256E" w:rsidRPr="0009256E" w:rsidRDefault="0009256E" w:rsidP="00C80D15">
      <w:pPr>
        <w:pStyle w:val="ListParagraph"/>
        <w:numPr>
          <w:ilvl w:val="1"/>
          <w:numId w:val="1"/>
        </w:numPr>
        <w:spacing w:line="240" w:lineRule="auto"/>
        <w:rPr>
          <w:b/>
          <w:bCs/>
        </w:rPr>
      </w:pPr>
      <w:r w:rsidRPr="0009256E">
        <w:rPr>
          <w:rFonts w:ascii="Times New Roman" w:hAnsi="Times New Roman" w:cs="Times New Roman"/>
          <w:sz w:val="24"/>
          <w:szCs w:val="24"/>
        </w:rPr>
        <w:t>Viešasis pirkimas laikomas žaliuoju, kadangi viešojo pirkimo objektas atitinka Aplinkos ministro įsakymu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r w:rsidRPr="00394F48">
        <w:t>.</w:t>
      </w:r>
    </w:p>
    <w:p w14:paraId="0F70A58F" w14:textId="77777777" w:rsidR="00C80D15" w:rsidRPr="000566F9" w:rsidRDefault="00C80D15" w:rsidP="00C80D15">
      <w:pPr>
        <w:widowControl w:val="0"/>
        <w:spacing w:after="20" w:line="240" w:lineRule="auto"/>
        <w:rPr>
          <w:rFonts w:ascii="Times New Roman" w:eastAsia="Times New Roman" w:hAnsi="Times New Roman" w:cs="Times New Roman"/>
          <w:sz w:val="24"/>
          <w:szCs w:val="24"/>
          <w:lang w:eastAsia="en-US"/>
        </w:rPr>
      </w:pPr>
    </w:p>
    <w:p w14:paraId="6F8C06F5" w14:textId="77777777" w:rsidR="00C80D15" w:rsidRPr="000566F9" w:rsidRDefault="00C80D15" w:rsidP="00C80D15">
      <w:pPr>
        <w:keepNext/>
        <w:numPr>
          <w:ilvl w:val="0"/>
          <w:numId w:val="2"/>
        </w:numPr>
        <w:spacing w:line="240" w:lineRule="auto"/>
        <w:ind w:left="0" w:firstLine="0"/>
        <w:outlineLvl w:val="1"/>
        <w:rPr>
          <w:rFonts w:ascii="Times New Roman" w:eastAsia="Times New Roman" w:hAnsi="Times New Roman" w:cs="Times New Roman"/>
          <w:b/>
          <w:bCs/>
          <w:sz w:val="24"/>
          <w:szCs w:val="24"/>
          <w:lang w:eastAsia="en-US"/>
        </w:rPr>
      </w:pPr>
      <w:bookmarkStart w:id="0" w:name="_Toc183077314"/>
      <w:r w:rsidRPr="000566F9">
        <w:rPr>
          <w:rFonts w:ascii="Times New Roman" w:eastAsia="Times New Roman" w:hAnsi="Times New Roman" w:cs="Times New Roman"/>
          <w:b/>
          <w:bCs/>
          <w:sz w:val="24"/>
          <w:szCs w:val="24"/>
          <w:lang w:eastAsia="en-US"/>
        </w:rPr>
        <w:t>Kitos sąlygos</w:t>
      </w:r>
      <w:bookmarkEnd w:id="0"/>
    </w:p>
    <w:p w14:paraId="69F3E50E" w14:textId="77777777" w:rsidR="00C80D15" w:rsidRDefault="00C80D15" w:rsidP="00C80D15">
      <w:pPr>
        <w:autoSpaceDE w:val="0"/>
        <w:autoSpaceDN w:val="0"/>
        <w:adjustRightInd w:val="0"/>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3.1 Perkančioji organizacija tame pačiame duomenų centre (tas pats adresas) talpins tik vieną įrangos komplektą, todėl negali būti siūlomi duomenų centrai, kuriuose jau yra patalpinti įrangos talpinimo komplektai</w:t>
      </w:r>
      <w:r w:rsidRPr="002637B4">
        <w:rPr>
          <w:rFonts w:ascii="Times New Roman" w:eastAsia="Times New Roman" w:hAnsi="Times New Roman" w:cs="Times New Roman"/>
          <w:sz w:val="24"/>
          <w:szCs w:val="24"/>
          <w:lang w:eastAsia="en-US"/>
        </w:rPr>
        <w:t xml:space="preserve">: </w:t>
      </w:r>
    </w:p>
    <w:p w14:paraId="1B12E2C6" w14:textId="6BAA75B1"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Savanorių pr. 135, Kaunas</w:t>
      </w:r>
      <w:r>
        <w:rPr>
          <w:rFonts w:ascii="Times New Roman" w:hAnsi="Times New Roman" w:cs="Times New Roman"/>
          <w:b/>
          <w:sz w:val="24"/>
          <w:szCs w:val="24"/>
        </w:rPr>
        <w:t>;</w:t>
      </w:r>
    </w:p>
    <w:p w14:paraId="3E92974D" w14:textId="66BFEB15" w:rsid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T. Ševčenkos g. 16J, Vilnius</w:t>
      </w:r>
      <w:r>
        <w:rPr>
          <w:rFonts w:ascii="Times New Roman" w:eastAsia="Times New Roman" w:hAnsi="Times New Roman" w:cs="Times New Roman"/>
          <w:b/>
          <w:sz w:val="24"/>
          <w:szCs w:val="24"/>
          <w:lang w:eastAsia="en-US"/>
        </w:rPr>
        <w:t>;</w:t>
      </w:r>
    </w:p>
    <w:p w14:paraId="2977A227" w14:textId="57655D7A" w:rsidR="00C52513" w:rsidRP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sidRPr="002F2221">
        <w:rPr>
          <w:rFonts w:ascii="Times New Roman" w:hAnsi="Times New Roman" w:cs="Times New Roman"/>
          <w:b/>
          <w:bCs/>
          <w:color w:val="000000"/>
          <w:sz w:val="24"/>
          <w:szCs w:val="24"/>
        </w:rPr>
        <w:t>Žemaitės g. 15, Vilnius</w:t>
      </w:r>
      <w:r>
        <w:rPr>
          <w:rFonts w:ascii="Times New Roman" w:hAnsi="Times New Roman" w:cs="Times New Roman"/>
          <w:b/>
          <w:bCs/>
          <w:color w:val="000000"/>
          <w:sz w:val="24"/>
          <w:szCs w:val="24"/>
        </w:rPr>
        <w:t>;</w:t>
      </w:r>
    </w:p>
    <w:p w14:paraId="62309EEA" w14:textId="50B71D7E" w:rsid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J. Ti</w:t>
      </w:r>
      <w:r w:rsidR="000E1FD4">
        <w:rPr>
          <w:rFonts w:ascii="Times New Roman" w:eastAsia="Times New Roman" w:hAnsi="Times New Roman" w:cs="Times New Roman"/>
          <w:b/>
          <w:bCs/>
          <w:sz w:val="24"/>
          <w:szCs w:val="24"/>
          <w:lang w:eastAsia="en-US"/>
        </w:rPr>
        <w:t>š</w:t>
      </w:r>
      <w:r>
        <w:rPr>
          <w:rFonts w:ascii="Times New Roman" w:eastAsia="Times New Roman" w:hAnsi="Times New Roman" w:cs="Times New Roman"/>
          <w:b/>
          <w:bCs/>
          <w:sz w:val="24"/>
          <w:szCs w:val="24"/>
          <w:lang w:eastAsia="en-US"/>
        </w:rPr>
        <w:t>kevičiaus g. 72, Vilnius</w:t>
      </w:r>
      <w:r w:rsidR="00F071B9">
        <w:rPr>
          <w:rFonts w:ascii="Times New Roman" w:eastAsia="Times New Roman" w:hAnsi="Times New Roman" w:cs="Times New Roman"/>
          <w:b/>
          <w:bCs/>
          <w:sz w:val="24"/>
          <w:szCs w:val="24"/>
          <w:lang w:eastAsia="en-US"/>
        </w:rPr>
        <w:t>;</w:t>
      </w:r>
    </w:p>
    <w:p w14:paraId="0BF901E9" w14:textId="5C3FDAC8" w:rsidR="00F071B9" w:rsidRDefault="00F071B9"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Savanorių pr. 28, Vilnius</w:t>
      </w:r>
      <w:r w:rsidR="0009715D">
        <w:rPr>
          <w:rFonts w:ascii="Times New Roman" w:eastAsia="Times New Roman" w:hAnsi="Times New Roman" w:cs="Times New Roman"/>
          <w:b/>
          <w:bCs/>
          <w:sz w:val="24"/>
          <w:szCs w:val="24"/>
          <w:lang w:eastAsia="en-US"/>
        </w:rPr>
        <w:t>;</w:t>
      </w:r>
    </w:p>
    <w:p w14:paraId="329A591B" w14:textId="0EFB9EE5" w:rsidR="0009715D" w:rsidRPr="00B761EB" w:rsidRDefault="0009715D"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lastRenderedPageBreak/>
        <w:t>Žirm</w:t>
      </w:r>
      <w:r>
        <w:rPr>
          <w:rFonts w:ascii="Times New Roman" w:eastAsia="Times New Roman" w:hAnsi="Times New Roman" w:cs="Times New Roman"/>
          <w:b/>
          <w:bCs/>
          <w:sz w:val="24"/>
          <w:szCs w:val="24"/>
          <w:lang w:val="en-US" w:eastAsia="en-US"/>
        </w:rPr>
        <w:t>ūnų</w:t>
      </w:r>
      <w:proofErr w:type="spellEnd"/>
      <w:r>
        <w:rPr>
          <w:rFonts w:ascii="Times New Roman" w:eastAsia="Times New Roman" w:hAnsi="Times New Roman" w:cs="Times New Roman"/>
          <w:b/>
          <w:bCs/>
          <w:sz w:val="24"/>
          <w:szCs w:val="24"/>
          <w:lang w:val="en-US" w:eastAsia="en-US"/>
        </w:rPr>
        <w:t xml:space="preserve"> g. 141, </w:t>
      </w:r>
      <w:proofErr w:type="gramStart"/>
      <w:r>
        <w:rPr>
          <w:rFonts w:ascii="Times New Roman" w:eastAsia="Times New Roman" w:hAnsi="Times New Roman" w:cs="Times New Roman"/>
          <w:b/>
          <w:bCs/>
          <w:sz w:val="24"/>
          <w:szCs w:val="24"/>
          <w:lang w:val="en-US" w:eastAsia="en-US"/>
        </w:rPr>
        <w:t>Vilnius</w:t>
      </w:r>
      <w:r w:rsidR="00B761EB">
        <w:rPr>
          <w:rFonts w:ascii="Times New Roman" w:eastAsia="Times New Roman" w:hAnsi="Times New Roman" w:cs="Times New Roman"/>
          <w:b/>
          <w:bCs/>
          <w:sz w:val="24"/>
          <w:szCs w:val="24"/>
          <w:lang w:val="en-US" w:eastAsia="en-US"/>
        </w:rPr>
        <w:t>;</w:t>
      </w:r>
      <w:proofErr w:type="gramEnd"/>
    </w:p>
    <w:p w14:paraId="5FDF8A18" w14:textId="27554F16" w:rsidR="00B761EB" w:rsidRDefault="00B761EB"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Liepkalnio g. 160 C, Vilnius</w:t>
      </w:r>
      <w:r w:rsidR="00B64730">
        <w:rPr>
          <w:rFonts w:ascii="Times New Roman" w:eastAsia="Times New Roman" w:hAnsi="Times New Roman" w:cs="Times New Roman"/>
          <w:b/>
          <w:bCs/>
          <w:sz w:val="24"/>
          <w:szCs w:val="24"/>
          <w:lang w:eastAsia="en-US"/>
        </w:rPr>
        <w:t>;</w:t>
      </w:r>
    </w:p>
    <w:p w14:paraId="77AB0B67" w14:textId="7E3D3E45" w:rsidR="00B64730" w:rsidRDefault="00B64730" w:rsidP="00E50BA8">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sidRPr="00F94695">
        <w:rPr>
          <w:rFonts w:ascii="Times New Roman" w:eastAsia="Times New Roman" w:hAnsi="Times New Roman" w:cs="Times New Roman"/>
          <w:b/>
          <w:bCs/>
          <w:sz w:val="24"/>
          <w:szCs w:val="24"/>
          <w:lang w:eastAsia="en-US"/>
        </w:rPr>
        <w:t>Parko g. 16, Vilnius</w:t>
      </w:r>
      <w:r w:rsidR="00F94695">
        <w:rPr>
          <w:rFonts w:ascii="Times New Roman" w:eastAsia="Times New Roman" w:hAnsi="Times New Roman" w:cs="Times New Roman"/>
          <w:b/>
          <w:bCs/>
          <w:sz w:val="24"/>
          <w:szCs w:val="24"/>
          <w:lang w:eastAsia="en-US"/>
        </w:rPr>
        <w:t>;</w:t>
      </w:r>
    </w:p>
    <w:p w14:paraId="005A519D" w14:textId="5CB6908C" w:rsidR="00F94695" w:rsidRPr="00E048F4" w:rsidRDefault="00F94695" w:rsidP="00E50BA8">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Juozapavičiaus g. 13, Vilnius.</w:t>
      </w:r>
    </w:p>
    <w:sectPr w:rsidR="00F94695" w:rsidRPr="00E048F4" w:rsidSect="00C80D15">
      <w:headerReference w:type="default" r:id="rId7"/>
      <w:footerReference w:type="default" r:id="rId8"/>
      <w:headerReference w:type="first" r:id="rId9"/>
      <w:footerReference w:type="first" r:id="rId10"/>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431F" w14:textId="77777777" w:rsidR="009A6912" w:rsidRDefault="009A6912">
      <w:pPr>
        <w:spacing w:line="240" w:lineRule="auto"/>
      </w:pPr>
      <w:r>
        <w:separator/>
      </w:r>
    </w:p>
  </w:endnote>
  <w:endnote w:type="continuationSeparator" w:id="0">
    <w:p w14:paraId="5D367D73" w14:textId="77777777" w:rsidR="009A6912" w:rsidRDefault="009A6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9B4AED" w14:textId="77777777" w:rsidTr="0B831528">
      <w:tc>
        <w:tcPr>
          <w:tcW w:w="3600" w:type="dxa"/>
        </w:tcPr>
        <w:p w14:paraId="1C45549B" w14:textId="77777777" w:rsidR="000B2646" w:rsidRDefault="000B2646" w:rsidP="0B831528">
          <w:pPr>
            <w:pStyle w:val="Header"/>
            <w:ind w:left="-115"/>
            <w:jc w:val="left"/>
          </w:pPr>
        </w:p>
      </w:tc>
      <w:tc>
        <w:tcPr>
          <w:tcW w:w="3600" w:type="dxa"/>
        </w:tcPr>
        <w:p w14:paraId="2ACB8E69" w14:textId="77777777" w:rsidR="000B2646" w:rsidRDefault="000B2646" w:rsidP="0B831528">
          <w:pPr>
            <w:pStyle w:val="Header"/>
            <w:jc w:val="center"/>
          </w:pPr>
        </w:p>
      </w:tc>
      <w:tc>
        <w:tcPr>
          <w:tcW w:w="3600" w:type="dxa"/>
        </w:tcPr>
        <w:p w14:paraId="5E230C4A" w14:textId="77777777" w:rsidR="000B2646" w:rsidRDefault="000B2646" w:rsidP="0B831528">
          <w:pPr>
            <w:pStyle w:val="Header"/>
            <w:ind w:right="-115"/>
            <w:jc w:val="right"/>
          </w:pPr>
        </w:p>
      </w:tc>
    </w:tr>
  </w:tbl>
  <w:p w14:paraId="3D9629FC" w14:textId="77777777" w:rsidR="000B2646" w:rsidRDefault="000B26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92B8E50" w14:textId="77777777" w:rsidTr="0B831528">
      <w:tc>
        <w:tcPr>
          <w:tcW w:w="3600" w:type="dxa"/>
        </w:tcPr>
        <w:p w14:paraId="23B6DBCB" w14:textId="77777777" w:rsidR="000B2646" w:rsidRDefault="000B2646" w:rsidP="0B831528">
          <w:pPr>
            <w:pStyle w:val="Header"/>
            <w:ind w:left="-115"/>
            <w:jc w:val="left"/>
          </w:pPr>
        </w:p>
      </w:tc>
      <w:tc>
        <w:tcPr>
          <w:tcW w:w="3600" w:type="dxa"/>
        </w:tcPr>
        <w:p w14:paraId="391AC1A1" w14:textId="77777777" w:rsidR="000B2646" w:rsidRDefault="000B2646" w:rsidP="0B831528">
          <w:pPr>
            <w:pStyle w:val="Header"/>
            <w:jc w:val="center"/>
          </w:pPr>
        </w:p>
      </w:tc>
      <w:tc>
        <w:tcPr>
          <w:tcW w:w="3600" w:type="dxa"/>
        </w:tcPr>
        <w:p w14:paraId="528310E2" w14:textId="77777777" w:rsidR="000B2646" w:rsidRDefault="000B2646" w:rsidP="0B831528">
          <w:pPr>
            <w:pStyle w:val="Header"/>
            <w:ind w:right="-115"/>
            <w:jc w:val="right"/>
          </w:pPr>
        </w:p>
      </w:tc>
    </w:tr>
  </w:tbl>
  <w:p w14:paraId="66FF4F3A" w14:textId="77777777" w:rsidR="000B2646" w:rsidRDefault="000B26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5707" w14:textId="77777777" w:rsidR="009A6912" w:rsidRDefault="009A6912">
      <w:pPr>
        <w:spacing w:line="240" w:lineRule="auto"/>
      </w:pPr>
      <w:r>
        <w:separator/>
      </w:r>
    </w:p>
  </w:footnote>
  <w:footnote w:type="continuationSeparator" w:id="0">
    <w:p w14:paraId="0E08FDE4" w14:textId="77777777" w:rsidR="009A6912" w:rsidRDefault="009A69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B259BEF" w14:textId="77777777" w:rsidR="000B26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C9D0" w14:textId="77777777" w:rsidR="000B26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9D"/>
    <w:multiLevelType w:val="hybridMultilevel"/>
    <w:tmpl w:val="5868E5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5574C0"/>
    <w:multiLevelType w:val="multilevel"/>
    <w:tmpl w:val="D4AEBC3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bCs w:val="0"/>
        <w:sz w:val="24"/>
        <w:szCs w:val="24"/>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983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5631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83138">
    <w:abstractNumId w:val="2"/>
  </w:num>
  <w:num w:numId="4" w16cid:durableId="154259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5"/>
    <w:rsid w:val="00060EAF"/>
    <w:rsid w:val="0009256E"/>
    <w:rsid w:val="0009715D"/>
    <w:rsid w:val="000B24C2"/>
    <w:rsid w:val="000B2646"/>
    <w:rsid w:val="000E1FD4"/>
    <w:rsid w:val="000E480E"/>
    <w:rsid w:val="0011328B"/>
    <w:rsid w:val="00161881"/>
    <w:rsid w:val="00164258"/>
    <w:rsid w:val="001C2495"/>
    <w:rsid w:val="001E1B2E"/>
    <w:rsid w:val="0022514B"/>
    <w:rsid w:val="0023125C"/>
    <w:rsid w:val="002720EB"/>
    <w:rsid w:val="00285E21"/>
    <w:rsid w:val="002A2C0C"/>
    <w:rsid w:val="002F2221"/>
    <w:rsid w:val="00365F91"/>
    <w:rsid w:val="003C57C5"/>
    <w:rsid w:val="003D42DF"/>
    <w:rsid w:val="00421476"/>
    <w:rsid w:val="0042171C"/>
    <w:rsid w:val="004E25E6"/>
    <w:rsid w:val="00513837"/>
    <w:rsid w:val="00535021"/>
    <w:rsid w:val="005B5291"/>
    <w:rsid w:val="00602816"/>
    <w:rsid w:val="00614A53"/>
    <w:rsid w:val="00643C71"/>
    <w:rsid w:val="0067422B"/>
    <w:rsid w:val="006A1B41"/>
    <w:rsid w:val="006A7694"/>
    <w:rsid w:val="006D7FCF"/>
    <w:rsid w:val="007F75CD"/>
    <w:rsid w:val="00823F5D"/>
    <w:rsid w:val="0084395E"/>
    <w:rsid w:val="008A3A3A"/>
    <w:rsid w:val="0097408D"/>
    <w:rsid w:val="009835E7"/>
    <w:rsid w:val="009A6912"/>
    <w:rsid w:val="00A81E66"/>
    <w:rsid w:val="00A82EAD"/>
    <w:rsid w:val="00AC0231"/>
    <w:rsid w:val="00B24D17"/>
    <w:rsid w:val="00B64730"/>
    <w:rsid w:val="00B761EB"/>
    <w:rsid w:val="00B82315"/>
    <w:rsid w:val="00BB6D90"/>
    <w:rsid w:val="00C52513"/>
    <w:rsid w:val="00C80D15"/>
    <w:rsid w:val="00CB0AF4"/>
    <w:rsid w:val="00CF7B29"/>
    <w:rsid w:val="00DB0065"/>
    <w:rsid w:val="00E048F4"/>
    <w:rsid w:val="00EA78CA"/>
    <w:rsid w:val="00F05272"/>
    <w:rsid w:val="00F071B9"/>
    <w:rsid w:val="00F82468"/>
    <w:rsid w:val="00F94695"/>
    <w:rsid w:val="00FA4865"/>
    <w:rsid w:val="00FC5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3E01038"/>
  <w15:chartTrackingRefBased/>
  <w15:docId w15:val="{92862319-8BBE-0041-B7E2-D32AA3DD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1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8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C8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15"/>
    <w:rPr>
      <w:rFonts w:eastAsiaTheme="majorEastAsia" w:cstheme="majorBidi"/>
      <w:color w:val="272727" w:themeColor="text1" w:themeTint="D8"/>
    </w:rPr>
  </w:style>
  <w:style w:type="paragraph" w:styleId="Title">
    <w:name w:val="Title"/>
    <w:basedOn w:val="Normal"/>
    <w:next w:val="Normal"/>
    <w:link w:val="TitleChar"/>
    <w:uiPriority w:val="10"/>
    <w:qFormat/>
    <w:rsid w:val="00C8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1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15"/>
    <w:pPr>
      <w:spacing w:before="160"/>
      <w:jc w:val="center"/>
    </w:pPr>
    <w:rPr>
      <w:i/>
      <w:iCs/>
      <w:color w:val="404040" w:themeColor="text1" w:themeTint="BF"/>
    </w:rPr>
  </w:style>
  <w:style w:type="character" w:customStyle="1" w:styleId="QuoteChar">
    <w:name w:val="Quote Char"/>
    <w:basedOn w:val="DefaultParagraphFont"/>
    <w:link w:val="Quote"/>
    <w:uiPriority w:val="29"/>
    <w:rsid w:val="00C80D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0D15"/>
    <w:pPr>
      <w:ind w:left="720"/>
      <w:contextualSpacing/>
    </w:pPr>
  </w:style>
  <w:style w:type="character" w:styleId="IntenseEmphasis">
    <w:name w:val="Intense Emphasis"/>
    <w:basedOn w:val="DefaultParagraphFont"/>
    <w:uiPriority w:val="21"/>
    <w:qFormat/>
    <w:rsid w:val="00C80D15"/>
    <w:rPr>
      <w:i/>
      <w:iCs/>
      <w:color w:val="0F4761" w:themeColor="accent1" w:themeShade="BF"/>
    </w:rPr>
  </w:style>
  <w:style w:type="paragraph" w:styleId="IntenseQuote">
    <w:name w:val="Intense Quote"/>
    <w:basedOn w:val="Normal"/>
    <w:next w:val="Normal"/>
    <w:link w:val="IntenseQuoteChar"/>
    <w:uiPriority w:val="30"/>
    <w:qFormat/>
    <w:rsid w:val="00C8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15"/>
    <w:rPr>
      <w:i/>
      <w:iCs/>
      <w:color w:val="0F4761" w:themeColor="accent1" w:themeShade="BF"/>
    </w:rPr>
  </w:style>
  <w:style w:type="character" w:styleId="IntenseReference">
    <w:name w:val="Intense Reference"/>
    <w:basedOn w:val="DefaultParagraphFont"/>
    <w:uiPriority w:val="32"/>
    <w:qFormat/>
    <w:rsid w:val="00C80D1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0D15"/>
  </w:style>
  <w:style w:type="paragraph" w:styleId="Header">
    <w:name w:val="header"/>
    <w:basedOn w:val="Normal"/>
    <w:link w:val="HeaderChar"/>
    <w:uiPriority w:val="99"/>
    <w:unhideWhenUsed/>
    <w:rsid w:val="00C80D15"/>
    <w:pPr>
      <w:tabs>
        <w:tab w:val="center" w:pos="4513"/>
        <w:tab w:val="right" w:pos="9026"/>
      </w:tabs>
    </w:pPr>
  </w:style>
  <w:style w:type="character" w:customStyle="1" w:styleId="HeaderChar">
    <w:name w:val="Header Char"/>
    <w:basedOn w:val="DefaultParagraphFont"/>
    <w:link w:val="Header"/>
    <w:uiPriority w:val="99"/>
    <w:rsid w:val="00C80D15"/>
    <w:rPr>
      <w:rFonts w:eastAsiaTheme="minorEastAsia"/>
      <w:kern w:val="0"/>
      <w:sz w:val="21"/>
      <w:szCs w:val="21"/>
      <w:lang w:val="lt-LT" w:eastAsia="lt-LT"/>
      <w14:ligatures w14:val="none"/>
    </w:rPr>
  </w:style>
  <w:style w:type="paragraph" w:styleId="Footer">
    <w:name w:val="footer"/>
    <w:basedOn w:val="Normal"/>
    <w:link w:val="FooterChar"/>
    <w:unhideWhenUsed/>
    <w:rsid w:val="00C80D15"/>
    <w:pPr>
      <w:tabs>
        <w:tab w:val="center" w:pos="4513"/>
        <w:tab w:val="right" w:pos="9026"/>
      </w:tabs>
    </w:pPr>
  </w:style>
  <w:style w:type="character" w:customStyle="1" w:styleId="FooterChar">
    <w:name w:val="Footer Char"/>
    <w:basedOn w:val="DefaultParagraphFont"/>
    <w:link w:val="Footer"/>
    <w:rsid w:val="00C80D1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6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5</cp:revision>
  <dcterms:created xsi:type="dcterms:W3CDTF">2025-02-11T13:41:00Z</dcterms:created>
  <dcterms:modified xsi:type="dcterms:W3CDTF">2025-03-24T08:12:00Z</dcterms:modified>
</cp:coreProperties>
</file>