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28D11" w14:textId="77777777" w:rsidR="008A1DD1" w:rsidRDefault="008A1DD1" w:rsidP="008A1DD1">
                            <w:pPr>
                              <w:spacing w:line="276" w:lineRule="auto"/>
                              <w:ind w:firstLine="0"/>
                              <w:rPr>
                                <w:i/>
                                <w:iCs/>
                                <w:sz w:val="24"/>
                                <w:szCs w:val="24"/>
                              </w:rPr>
                            </w:pPr>
                          </w:p>
                          <w:p w14:paraId="0426A115" w14:textId="77777777" w:rsidR="008A1DD1" w:rsidRDefault="008A1DD1" w:rsidP="008A1DD1">
                            <w:pPr>
                              <w:spacing w:line="276" w:lineRule="auto"/>
                              <w:ind w:firstLine="0"/>
                              <w:rPr>
                                <w:i/>
                                <w:iCs/>
                                <w:sz w:val="24"/>
                                <w:szCs w:val="24"/>
                              </w:rPr>
                            </w:pPr>
                          </w:p>
                          <w:p w14:paraId="74AD7FD1" w14:textId="2D5A817F" w:rsidR="008A1DD1" w:rsidRPr="00CC1E62" w:rsidRDefault="008A1DD1" w:rsidP="008A1DD1">
                            <w:pPr>
                              <w:spacing w:line="276" w:lineRule="auto"/>
                              <w:ind w:firstLine="0"/>
                              <w:rPr>
                                <w:i/>
                                <w:iCs/>
                                <w:sz w:val="24"/>
                                <w:szCs w:val="24"/>
                              </w:rPr>
                            </w:pPr>
                            <w:r w:rsidRPr="00CC1E62">
                              <w:rPr>
                                <w:i/>
                                <w:iCs/>
                                <w:sz w:val="24"/>
                                <w:szCs w:val="24"/>
                              </w:rPr>
                              <w:t>Siunčiama per CVP IS</w:t>
                            </w:r>
                          </w:p>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0B328D11" w14:textId="77777777" w:rsidR="008A1DD1" w:rsidRDefault="008A1DD1" w:rsidP="008A1DD1">
                      <w:pPr>
                        <w:spacing w:line="276" w:lineRule="auto"/>
                        <w:ind w:firstLine="0"/>
                        <w:rPr>
                          <w:i/>
                          <w:iCs/>
                          <w:sz w:val="24"/>
                          <w:szCs w:val="24"/>
                        </w:rPr>
                      </w:pPr>
                    </w:p>
                    <w:p w14:paraId="0426A115" w14:textId="77777777" w:rsidR="008A1DD1" w:rsidRDefault="008A1DD1" w:rsidP="008A1DD1">
                      <w:pPr>
                        <w:spacing w:line="276" w:lineRule="auto"/>
                        <w:ind w:firstLine="0"/>
                        <w:rPr>
                          <w:i/>
                          <w:iCs/>
                          <w:sz w:val="24"/>
                          <w:szCs w:val="24"/>
                        </w:rPr>
                      </w:pPr>
                    </w:p>
                    <w:p w14:paraId="74AD7FD1" w14:textId="2D5A817F" w:rsidR="008A1DD1" w:rsidRPr="00CC1E62" w:rsidRDefault="008A1DD1" w:rsidP="008A1DD1">
                      <w:pPr>
                        <w:spacing w:line="276" w:lineRule="auto"/>
                        <w:ind w:firstLine="0"/>
                        <w:rPr>
                          <w:i/>
                          <w:iCs/>
                          <w:sz w:val="24"/>
                          <w:szCs w:val="24"/>
                        </w:rPr>
                      </w:pPr>
                      <w:r w:rsidRPr="00CC1E62">
                        <w:rPr>
                          <w:i/>
                          <w:iCs/>
                          <w:sz w:val="24"/>
                          <w:szCs w:val="24"/>
                        </w:rPr>
                        <w:t>Siunčiama per CVP IS</w:t>
                      </w:r>
                    </w:p>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9317CBF"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227C7297"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w:t>
                            </w:r>
                            <w:r w:rsidR="00711324">
                              <w:rPr>
                                <w:rFonts w:cs="Arial"/>
                                <w:sz w:val="24"/>
                                <w:szCs w:val="24"/>
                              </w:rPr>
                              <w:t>3</w:t>
                            </w:r>
                            <w:r w:rsidRPr="00093F9E">
                              <w:rPr>
                                <w:rFonts w:cs="Arial"/>
                                <w:sz w:val="24"/>
                                <w:szCs w:val="24"/>
                              </w:rPr>
                              <w:t>-</w:t>
                            </w:r>
                            <w:r w:rsidR="00711324">
                              <w:rPr>
                                <w:rFonts w:cs="Arial"/>
                                <w:sz w:val="24"/>
                                <w:szCs w:val="24"/>
                              </w:rPr>
                              <w:t>26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227C7297"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w:t>
                      </w:r>
                      <w:r w:rsidR="00711324">
                        <w:rPr>
                          <w:rFonts w:cs="Arial"/>
                          <w:sz w:val="24"/>
                          <w:szCs w:val="24"/>
                        </w:rPr>
                        <w:t>3</w:t>
                      </w:r>
                      <w:r w:rsidRPr="00093F9E">
                        <w:rPr>
                          <w:rFonts w:cs="Arial"/>
                          <w:sz w:val="24"/>
                          <w:szCs w:val="24"/>
                        </w:rPr>
                        <w:t>-</w:t>
                      </w:r>
                      <w:r w:rsidR="00711324">
                        <w:rPr>
                          <w:rFonts w:cs="Arial"/>
                          <w:sz w:val="24"/>
                          <w:szCs w:val="24"/>
                        </w:rPr>
                        <w:t>26</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F97680">
        <w:rPr>
          <w:rFonts w:cs="Arial"/>
          <w:sz w:val="24"/>
          <w:szCs w:val="24"/>
        </w:rPr>
        <w:t>1501</w:t>
      </w:r>
      <w:r w:rsidR="00D52D67">
        <w:rPr>
          <w:rFonts w:cs="Arial"/>
          <w:sz w:val="24"/>
          <w:szCs w:val="24"/>
        </w:rPr>
        <w:t xml:space="preserve"> </w:t>
      </w:r>
      <w:r w:rsidRPr="00093F9E">
        <w:rPr>
          <w:rFonts w:cs="Arial"/>
          <w:sz w:val="24"/>
          <w:szCs w:val="24"/>
        </w:rPr>
        <w:t>(26.</w:t>
      </w:r>
      <w:r w:rsidR="00423B2C">
        <w:rPr>
          <w:rFonts w:cs="Arial"/>
          <w:sz w:val="24"/>
          <w:szCs w:val="24"/>
        </w:rPr>
        <w:t>3</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562A0105" w14:textId="77777777" w:rsidR="00711324" w:rsidRDefault="00711324"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43B6C82B"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018C0FFA">
                <wp:simplePos x="0" y="0"/>
                <wp:positionH relativeFrom="column">
                  <wp:posOffset>70485</wp:posOffset>
                </wp:positionH>
                <wp:positionV relativeFrom="paragraph">
                  <wp:posOffset>44450</wp:posOffset>
                </wp:positionV>
                <wp:extent cx="6053455" cy="7391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39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2886954F"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711324" w:rsidRPr="00711324">
                              <w:rPr>
                                <w:b/>
                                <w:caps/>
                                <w:sz w:val="24"/>
                                <w:lang w:eastAsia="ar-SA"/>
                              </w:rPr>
                              <w:t>Mokymo priemonės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w:t>
                            </w:r>
                            <w:r w:rsidR="00A03F84">
                              <w:rPr>
                                <w:b/>
                                <w:caps/>
                                <w:sz w:val="24"/>
                                <w:lang w:eastAsia="ar-SA"/>
                              </w:rPr>
                              <w:t>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8.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SG+gEAAN4DAAAOAAAAZHJzL2Uyb0RvYy54bWysU9uO0zAQfUfiHyy/06Td7QJR09XSVRHS&#10;siAtfIDjOImF4zFjt0n5esZO0+XyhsiDNb7MmTlnTja3Y2/YUaHXYEu+XOScKSuh1rYt+dcv+1dv&#10;OPNB2FoYsKrkJ+X57fbli83gCrWCDkytkBGI9cXgSt6F4Ios87JTvfALcMrSZQPYi0BbbLMaxUDo&#10;vclWeX6TDYC1Q5DKezq9ny75NuE3jZLhU9N4FZgpOfUW0oppreKabTeiaFG4TstzG+IfuuiFtlT0&#10;AnUvgmAH1H9B9VoieGjCQkKfQdNoqRIHYrPM/2Dz1AmnEhcSx7uLTP7/wcrH45P7jCyM72CkASYS&#10;3j2A/OaZhV0nbKvuEGHolKip8DJKlg3OF+fUKLUvfASpho9Q05DFIUACGhvsoyrEkxE6DeB0EV2N&#10;gUk6vMnXV9frNWeS7l5fvV1ep6lkopizHfrwXkHPYlBypKEmdHF88CF2I4r5SSzmweh6r41JG2yr&#10;nUF2FGSAffqmXOM6MZ3O5fz0NOH9hmFsRLIQMady8SRpEGlPAoSxGpmuS76KAkVJKqhPJArCZDr6&#10;SSjoAH9wNpDhSu6/HwQqzswHS8JGd84BzkE1B8JKSi154GwKd2Fy8cGhbjtCnkZn4Y7Eb3TS5bmL&#10;c7tkokTvbPjo0l/36dXzb7n9CQAA//8DAFBLAwQUAAYACAAAACEA8UcHldwAAAAIAQAADwAAAGRy&#10;cy9kb3ducmV2LnhtbEyPzU7DMBCE70i8g7VI3KiTNOpPiFNBEVwRAalXN97GUeJ1FLtteHuWExxn&#10;ZzT7Tbmb3SAuOIXOk4J0kYBAarzpqFXw9fn6sAERoiajB0+o4BsD7Krbm1IXxl/pAy91bAWXUCi0&#10;AhvjWEgZGotOh4Ufkdg7+cnpyHJqpZn0lcvdILMkWUmnO+IPVo+4t9j09dkpWL5n60N4q1/24wG3&#10;/SY89yeySt3fzU+PICLO8S8Mv/iMDhUzHf2ZTBAD6zTlpII1L2J7u8pzEEe+Z8scZFXK/wOqHwAA&#10;AP//AwBQSwECLQAUAAYACAAAACEAtoM4kv4AAADhAQAAEwAAAAAAAAAAAAAAAAAAAAAAW0NvbnRl&#10;bnRfVHlwZXNdLnhtbFBLAQItABQABgAIAAAAIQA4/SH/1gAAAJQBAAALAAAAAAAAAAAAAAAAAC8B&#10;AABfcmVscy8ucmVsc1BLAQItABQABgAIAAAAIQCgkKSG+gEAAN4DAAAOAAAAAAAAAAAAAAAAAC4C&#10;AABkcnMvZTJvRG9jLnhtbFBLAQItABQABgAIAAAAIQDxRweV3AAAAAgBAAAPAAAAAAAAAAAAAAAA&#10;AFQEAABkcnMvZG93bnJldi54bWxQSwUGAAAAAAQABADzAAAAXQUAAAAA&#10;" stroked="f">
                <v:fill opacity="0"/>
                <v:textbox inset="0,0,0,0">
                  <w:txbxContent>
                    <w:p w14:paraId="080B9C61" w14:textId="2886954F"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711324" w:rsidRPr="00711324">
                        <w:rPr>
                          <w:b/>
                          <w:caps/>
                          <w:sz w:val="24"/>
                          <w:lang w:eastAsia="ar-SA"/>
                        </w:rPr>
                        <w:t>Mokymo priemonės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w:t>
                      </w:r>
                      <w:r w:rsidR="00A03F84">
                        <w:rPr>
                          <w:b/>
                          <w:caps/>
                          <w:sz w:val="24"/>
                          <w:lang w:eastAsia="ar-SA"/>
                        </w:rPr>
                        <w:t>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21354E37" w14:textId="77777777" w:rsidR="00711324" w:rsidRDefault="00711324" w:rsidP="00711324">
      <w:pPr>
        <w:suppressAutoHyphens/>
        <w:spacing w:line="276" w:lineRule="auto"/>
        <w:ind w:firstLine="0"/>
        <w:rPr>
          <w:sz w:val="24"/>
          <w:szCs w:val="24"/>
          <w:lang w:eastAsia="ar-SA"/>
        </w:rPr>
      </w:pPr>
    </w:p>
    <w:p w14:paraId="439AD80E" w14:textId="47A85E45" w:rsidR="00711324" w:rsidRDefault="00711324" w:rsidP="00711324">
      <w:pPr>
        <w:suppressAutoHyphens/>
        <w:spacing w:line="276" w:lineRule="auto"/>
        <w:ind w:firstLine="0"/>
        <w:rPr>
          <w:sz w:val="24"/>
          <w:szCs w:val="24"/>
          <w:lang w:eastAsia="ar-SA"/>
        </w:rPr>
      </w:pPr>
      <w:r>
        <w:rPr>
          <w:sz w:val="24"/>
          <w:szCs w:val="24"/>
          <w:lang w:eastAsia="ar-SA"/>
        </w:rPr>
        <w:t>Panevėžio miesto savivaldybės administracijos v</w:t>
      </w:r>
      <w:r w:rsidRPr="00711324">
        <w:rPr>
          <w:sz w:val="24"/>
          <w:szCs w:val="24"/>
          <w:lang w:eastAsia="ar-SA"/>
        </w:rPr>
        <w:t>iešųjų pirkimų komisija,</w:t>
      </w:r>
      <w:r>
        <w:rPr>
          <w:sz w:val="24"/>
          <w:szCs w:val="24"/>
          <w:lang w:eastAsia="ar-SA"/>
        </w:rPr>
        <w:t xml:space="preserve"> </w:t>
      </w:r>
      <w:r w:rsidRPr="00711324">
        <w:rPr>
          <w:sz w:val="24"/>
          <w:szCs w:val="24"/>
          <w:lang w:eastAsia="ar-SA"/>
        </w:rPr>
        <w:t xml:space="preserve">atsakydama į pirkimo dalyvio prašymą patikslinti </w:t>
      </w:r>
      <w:r w:rsidRPr="00711324">
        <w:rPr>
          <w:sz w:val="24"/>
          <w:szCs w:val="24"/>
        </w:rPr>
        <w:t>tarptautinio viešojo pirkimo „</w:t>
      </w:r>
      <w:bookmarkStart w:id="0" w:name="_Hlk193895199"/>
      <w:r w:rsidRPr="00711324">
        <w:rPr>
          <w:sz w:val="24"/>
          <w:szCs w:val="24"/>
        </w:rPr>
        <w:t>Mokymo priemonės TŪM</w:t>
      </w:r>
      <w:bookmarkEnd w:id="0"/>
      <w:r w:rsidRPr="00711324">
        <w:rPr>
          <w:sz w:val="24"/>
          <w:szCs w:val="24"/>
        </w:rPr>
        <w:t>“, vykdomo atviro konkurso būdu (toliau – Pirkimas)</w:t>
      </w:r>
      <w:r w:rsidRPr="00711324">
        <w:rPr>
          <w:sz w:val="24"/>
          <w:szCs w:val="24"/>
          <w:lang w:eastAsia="ar-SA"/>
        </w:rPr>
        <w:t>, sąlygas, paaiškina:</w:t>
      </w:r>
    </w:p>
    <w:p w14:paraId="4AB4FEED" w14:textId="77777777" w:rsidR="00711324" w:rsidRDefault="00711324" w:rsidP="00711324">
      <w:pPr>
        <w:spacing w:line="276" w:lineRule="auto"/>
        <w:ind w:firstLine="0"/>
        <w:rPr>
          <w:sz w:val="24"/>
          <w:szCs w:val="24"/>
          <w:lang w:eastAsia="ar-SA"/>
        </w:rPr>
      </w:pPr>
    </w:p>
    <w:p w14:paraId="265F5B7E" w14:textId="1087F454" w:rsidR="00711324" w:rsidRPr="00711324" w:rsidRDefault="00711324" w:rsidP="00711324">
      <w:pPr>
        <w:spacing w:line="276" w:lineRule="auto"/>
        <w:ind w:firstLine="0"/>
        <w:rPr>
          <w:sz w:val="24"/>
          <w:szCs w:val="24"/>
        </w:rPr>
      </w:pPr>
      <w:r w:rsidRPr="00711324">
        <w:rPr>
          <w:b/>
          <w:bCs/>
          <w:sz w:val="24"/>
          <w:szCs w:val="24"/>
        </w:rPr>
        <w:t>Klausimas.</w:t>
      </w:r>
      <w:r w:rsidRPr="00711324">
        <w:rPr>
          <w:sz w:val="24"/>
          <w:szCs w:val="24"/>
        </w:rPr>
        <w:t xml:space="preserve"> „Susipažinę su pirkimo dokumentais pamatėme, kad perkančioji organizacija pasiūlyme prašo nurodyti tik siūlomų priemonių bendrą kainą ir niekur neprašo nurodyti siūlomų priemonių gamintoją/tiekėją ir modelį, užpildyti siūlomų priemonių atitikimą techninei specifikacijai - be šios informacijos patikrinti siūlomų priemonių atitikimą nustatytiems reikalavimams nėra įmanoma. Pirkimo sąlygų skyriuje PASIŪLYMŲ NAGRINĖJIMAS 10.1.3 punkte nurodyta, kad Komisija tikrina ar tiekėjo pasiūlymas atitinka pirkimo sąlygų techninės specifikacijos reikalavimus (įskaitant prekių pavyzdžius, jei taikoma). Be anksčiau minėtos informacijos pateikimo nėra aišku kas yra siūloma/perkama - nėra pirkimo objekto.</w:t>
      </w:r>
    </w:p>
    <w:p w14:paraId="3345B269" w14:textId="77777777" w:rsidR="00711324" w:rsidRPr="00711324" w:rsidRDefault="00711324" w:rsidP="00711324">
      <w:pPr>
        <w:spacing w:line="276" w:lineRule="auto"/>
        <w:ind w:firstLine="0"/>
        <w:rPr>
          <w:sz w:val="24"/>
          <w:szCs w:val="24"/>
        </w:rPr>
      </w:pPr>
      <w:r w:rsidRPr="00711324">
        <w:rPr>
          <w:sz w:val="24"/>
          <w:szCs w:val="24"/>
        </w:rPr>
        <w:t>Perkančioji organizacija priimdama sprendimą apie konkurso laimėtoją privalo įsitikinti, kad pirkimo objektas atitinka keliamus reikalavimus, be to neprašant nurodyti priemonių gamintojų/tiekėjų, kodų/modelių sudaroma galimybė bet kuriuo metu pakeisti pasiūlymą t. y. iš neatitinkančio pirkimo sąlygoms paversti atitinkančiu. Konkurso dalyviai praranda galimybę ginti savo teisėtą interesą, nes neaiškus, o tiksliau nėra Pirkimo objekto - yra tik kaina.</w:t>
      </w:r>
    </w:p>
    <w:p w14:paraId="13DA447B" w14:textId="77777777" w:rsidR="00711324" w:rsidRPr="00711324" w:rsidRDefault="00711324" w:rsidP="00711324">
      <w:pPr>
        <w:spacing w:line="276" w:lineRule="auto"/>
        <w:ind w:firstLine="0"/>
        <w:rPr>
          <w:sz w:val="24"/>
          <w:szCs w:val="24"/>
        </w:rPr>
      </w:pPr>
      <w:r w:rsidRPr="00711324">
        <w:rPr>
          <w:sz w:val="24"/>
          <w:szCs w:val="24"/>
        </w:rPr>
        <w:t>Prašome įpareigoti konkurso dalyvius nurodyti siūlomų priemonių gamintojus/tiekėjus, prekių kodus/modelius, nurodyti siūlomų priemonių charakteristikas - užpildyti atitikimą reikalaujamoms techninėms specifikacijoms.“</w:t>
      </w:r>
    </w:p>
    <w:p w14:paraId="310F15B7" w14:textId="77777777" w:rsidR="00711324" w:rsidRDefault="00711324" w:rsidP="00711324">
      <w:pPr>
        <w:spacing w:line="276" w:lineRule="auto"/>
        <w:ind w:firstLine="0"/>
        <w:rPr>
          <w:b/>
          <w:bCs/>
          <w:sz w:val="24"/>
          <w:szCs w:val="24"/>
        </w:rPr>
      </w:pPr>
    </w:p>
    <w:p w14:paraId="3781F076" w14:textId="150662F5" w:rsidR="00711324" w:rsidRPr="00711324" w:rsidRDefault="00711324" w:rsidP="00711324">
      <w:pPr>
        <w:spacing w:line="276" w:lineRule="auto"/>
        <w:ind w:firstLine="0"/>
        <w:rPr>
          <w:sz w:val="24"/>
          <w:szCs w:val="24"/>
        </w:rPr>
      </w:pPr>
      <w:r w:rsidRPr="00711324">
        <w:rPr>
          <w:b/>
          <w:bCs/>
          <w:sz w:val="24"/>
          <w:szCs w:val="24"/>
        </w:rPr>
        <w:t xml:space="preserve">Atsakymas. </w:t>
      </w:r>
      <w:r w:rsidRPr="00711324">
        <w:rPr>
          <w:sz w:val="24"/>
          <w:szCs w:val="24"/>
        </w:rPr>
        <w:t xml:space="preserve">Informuojame, kad atsižvelgiant į tai, kad pirkimo objektas nėra sudėtingas, perkančioji organizacija nereikalauja tiekėjų užpildyti techninės specifikacijos lentelės, nurodant siūlomų prekių atitiktį techninėms charakteristikoms. Paaiškiname, kad tiekėjai kartu su pasiūlymu turi pateikti pirkimo sąlygų 3 priedo „Techninė specifikacija pirkimo I-ai daliai STEAM mokomosios priemonės 3–4 klasėms“ lentelės eilutėje Nr. 2.15 nurodytus </w:t>
      </w:r>
      <w:r w:rsidRPr="00711324">
        <w:rPr>
          <w:sz w:val="24"/>
          <w:szCs w:val="24"/>
        </w:rPr>
        <w:lastRenderedPageBreak/>
        <w:t>dokumentus; pirkimo sąlygų 4 priedo „Techninė specifikacija pirkimo II-ai daliai STEAM mokomosios priemonės 5–8 klasėms“ lentelės eilutėse Nr.: 9.8, 18.7, 19.6, 20.6, 21.7, 21.8) nurodytus dokumentus -</w:t>
      </w:r>
      <w:r w:rsidRPr="00711324">
        <w:rPr>
          <w:rFonts w:eastAsia="Calibri"/>
          <w:sz w:val="24"/>
          <w:szCs w:val="24"/>
        </w:rPr>
        <w:t xml:space="preserve"> </w:t>
      </w:r>
      <w:r w:rsidRPr="00711324">
        <w:rPr>
          <w:rFonts w:eastAsia="Calibri"/>
          <w:b/>
          <w:bCs/>
          <w:sz w:val="24"/>
          <w:szCs w:val="24"/>
        </w:rPr>
        <w:t>gamintojo</w:t>
      </w:r>
      <w:r w:rsidRPr="00711324">
        <w:rPr>
          <w:rFonts w:eastAsia="Calibri"/>
          <w:sz w:val="24"/>
          <w:szCs w:val="24"/>
        </w:rPr>
        <w:t xml:space="preserve"> pateikiamos eksperimentų knygos turinio skenuotą kopiją</w:t>
      </w:r>
      <w:r w:rsidRPr="00711324">
        <w:rPr>
          <w:sz w:val="24"/>
          <w:szCs w:val="24"/>
        </w:rPr>
        <w:t>. Pažymime, kad tiekėjai, teikdami pasiūlymus, kaip numatyta pasiūlymo formose (pirkimo sąlygų 1 priedas (pasiūlymas pirkimo I-ai daliai), 2 priedas (pasiūlymas pirkimo II-ai daliai)) įsipareigoja, kad jų siūlomos prekės visiškai atitiks pirkimo dokumentuose (tame tarpe ir techninėse specifikacijose) nurodytus reikalavimus, taip pat patvirtina, kad visa pasiūlyme pateikta informacija yra teisinga, atitinka tikrovę ir apima viską, ko reikia visiškam ir tinkamam sutarties įvykdymui.</w:t>
      </w:r>
    </w:p>
    <w:p w14:paraId="0EF2A72D" w14:textId="77777777" w:rsidR="00711324" w:rsidRPr="00711324" w:rsidRDefault="00711324" w:rsidP="00711324">
      <w:pPr>
        <w:spacing w:line="276" w:lineRule="auto"/>
        <w:ind w:firstLine="709"/>
        <w:rPr>
          <w:sz w:val="24"/>
          <w:szCs w:val="24"/>
        </w:rPr>
      </w:pPr>
      <w:r w:rsidRPr="00711324">
        <w:rPr>
          <w:sz w:val="24"/>
          <w:szCs w:val="24"/>
        </w:rPr>
        <w:t>Vadovaujantis Sutarties projekto (pirkimo sąlygų 5 ir 6 priedai) 4.5. punktu, prekių atitikimas techninėms charakteristikoms bus tikrinamas sutarties vykdymo metu - k</w:t>
      </w:r>
      <w:r w:rsidRPr="00711324">
        <w:rPr>
          <w:kern w:val="2"/>
          <w:sz w:val="24"/>
          <w:szCs w:val="24"/>
        </w:rPr>
        <w:t>artu su prekėmis tiekėjas turi pateikti p</w:t>
      </w:r>
      <w:r w:rsidRPr="00711324">
        <w:rPr>
          <w:color w:val="000000"/>
          <w:sz w:val="24"/>
          <w:szCs w:val="24"/>
          <w:shd w:val="clear" w:color="auto" w:fill="FFFFFF"/>
        </w:rPr>
        <w:t>rekių techninius dokumentus</w:t>
      </w:r>
      <w:r w:rsidRPr="00711324">
        <w:rPr>
          <w:sz w:val="24"/>
          <w:szCs w:val="24"/>
        </w:rPr>
        <w:t xml:space="preserve">. Tiekėjui nepateikus nurodytų dokumentų, bus laikoma, kad prekės neatitinka nustatytų reikalavimų. Lietuvos Respublikos viešųjų pirkimų įstatymo 18 straipsnio 8 dalyje įtvirtinta, kad pirkimo sutarties sąlygos sutarties galiojimo laikotarpiu negali būti keičiamos. Teismai, formuodami praktiką dėl pirkimo objekto techninės specifikacijos privalomumo, pažymi, kad </w:t>
      </w:r>
      <w:r w:rsidRPr="00711324">
        <w:rPr>
          <w:sz w:val="24"/>
          <w:szCs w:val="24"/>
          <w:u w:val="single"/>
        </w:rPr>
        <w:t>pirkimo dokumentuose nustatyta techninė specifikacija negali būti keičiama ir vykdant pirkimo sutartį</w:t>
      </w:r>
      <w:r w:rsidRPr="00711324">
        <w:rPr>
          <w:sz w:val="24"/>
          <w:szCs w:val="24"/>
        </w:rPr>
        <w:t xml:space="preserve"> (</w:t>
      </w:r>
      <w:r w:rsidRPr="00711324">
        <w:rPr>
          <w:i/>
          <w:iCs/>
          <w:sz w:val="24"/>
          <w:szCs w:val="24"/>
        </w:rPr>
        <w:t>Lietuvos apeliacinio teismo 2006 m. balandžio 24 d. byloje Nr. 2A-196/2006</w:t>
      </w:r>
      <w:r w:rsidRPr="00711324">
        <w:rPr>
          <w:sz w:val="24"/>
          <w:szCs w:val="24"/>
        </w:rPr>
        <w:t>).</w:t>
      </w:r>
    </w:p>
    <w:p w14:paraId="0E0427B1" w14:textId="77777777" w:rsidR="00711324" w:rsidRPr="00711324" w:rsidRDefault="00711324" w:rsidP="00711324">
      <w:pPr>
        <w:suppressAutoHyphens/>
        <w:spacing w:line="276" w:lineRule="auto"/>
        <w:ind w:firstLine="709"/>
        <w:rPr>
          <w:sz w:val="24"/>
          <w:szCs w:val="24"/>
        </w:rPr>
      </w:pPr>
      <w:r w:rsidRPr="00711324">
        <w:rPr>
          <w:sz w:val="24"/>
          <w:szCs w:val="24"/>
        </w:rPr>
        <w:t>Taigi tiekėjo prašymas: „&lt;...&gt; įpareigoti konkurso dalyvius nurodyti siūlomų priemonių gamintojus/tiekėjus, prekių kodus/modelius, nurodyti siūlomų priemonių charakteristikas - užpildyti atitikimą reikalaujamoms techninėms specifikacijoms.“ netenkinamas.</w:t>
      </w:r>
    </w:p>
    <w:p w14:paraId="523C9BC7" w14:textId="77777777" w:rsidR="00711324" w:rsidRDefault="00711324" w:rsidP="00711324">
      <w:pPr>
        <w:suppressAutoHyphens/>
        <w:spacing w:line="276" w:lineRule="auto"/>
        <w:ind w:firstLine="0"/>
        <w:rPr>
          <w:sz w:val="24"/>
          <w:szCs w:val="24"/>
        </w:rPr>
      </w:pPr>
    </w:p>
    <w:p w14:paraId="2B8B1BCC" w14:textId="7A3115E1" w:rsidR="00423B2C" w:rsidRPr="00711324" w:rsidRDefault="00711324" w:rsidP="00711324">
      <w:pPr>
        <w:suppressAutoHyphens/>
        <w:spacing w:line="276" w:lineRule="auto"/>
        <w:ind w:firstLine="0"/>
        <w:rPr>
          <w:rFonts w:cs="Arial"/>
          <w:sz w:val="24"/>
          <w:szCs w:val="24"/>
          <w:lang w:eastAsia="ar-SA"/>
        </w:rPr>
      </w:pPr>
      <w:r w:rsidRPr="00711324">
        <w:rPr>
          <w:sz w:val="24"/>
          <w:szCs w:val="24"/>
        </w:rPr>
        <w:t>Patikslinta informacija paskelbta CVP IS sistemoje.</w:t>
      </w:r>
    </w:p>
    <w:p w14:paraId="2BC96B86" w14:textId="77777777" w:rsidR="00711324" w:rsidRDefault="00711324" w:rsidP="007873D4">
      <w:pPr>
        <w:suppressAutoHyphens/>
        <w:spacing w:line="240" w:lineRule="auto"/>
        <w:ind w:firstLine="0"/>
        <w:rPr>
          <w:rFonts w:cs="Arial"/>
          <w:sz w:val="24"/>
          <w:szCs w:val="24"/>
          <w:lang w:eastAsia="ar-SA"/>
        </w:rPr>
      </w:pPr>
    </w:p>
    <w:p w14:paraId="784541D7" w14:textId="77777777" w:rsidR="00711324" w:rsidRDefault="00711324" w:rsidP="007873D4">
      <w:pPr>
        <w:suppressAutoHyphens/>
        <w:spacing w:line="240" w:lineRule="auto"/>
        <w:ind w:firstLine="0"/>
        <w:rPr>
          <w:rFonts w:cs="Arial"/>
          <w:sz w:val="24"/>
          <w:szCs w:val="24"/>
          <w:lang w:eastAsia="ar-SA"/>
        </w:rPr>
      </w:pPr>
    </w:p>
    <w:p w14:paraId="3B7B942E" w14:textId="77777777" w:rsidR="00711324" w:rsidRDefault="00711324" w:rsidP="007873D4">
      <w:pPr>
        <w:suppressAutoHyphens/>
        <w:spacing w:line="240" w:lineRule="auto"/>
        <w:ind w:firstLine="0"/>
        <w:rPr>
          <w:rFonts w:cs="Arial"/>
          <w:sz w:val="24"/>
          <w:szCs w:val="24"/>
          <w:lang w:eastAsia="ar-SA"/>
        </w:rPr>
      </w:pPr>
    </w:p>
    <w:p w14:paraId="392F6B07" w14:textId="77777777" w:rsidR="00711324" w:rsidRDefault="00711324" w:rsidP="007873D4">
      <w:pPr>
        <w:suppressAutoHyphens/>
        <w:spacing w:line="240" w:lineRule="auto"/>
        <w:ind w:firstLine="0"/>
        <w:rPr>
          <w:rFonts w:cs="Arial"/>
          <w:sz w:val="24"/>
          <w:szCs w:val="24"/>
          <w:lang w:eastAsia="ar-SA"/>
        </w:rPr>
      </w:pPr>
    </w:p>
    <w:p w14:paraId="198C13E7" w14:textId="0EF07118" w:rsidR="00423B2C" w:rsidRDefault="00093F9E" w:rsidP="007873D4">
      <w:pPr>
        <w:suppressAutoHyphens/>
        <w:spacing w:line="240" w:lineRule="auto"/>
        <w:ind w:firstLine="0"/>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2842E1A2" w14:textId="77777777" w:rsidR="00423B2C" w:rsidRDefault="00423B2C" w:rsidP="006510C9">
      <w:pPr>
        <w:suppressAutoHyphens/>
        <w:spacing w:line="240" w:lineRule="auto"/>
        <w:ind w:firstLine="0"/>
        <w:jc w:val="both"/>
        <w:rPr>
          <w:rFonts w:cs="Arial"/>
          <w:b/>
          <w:sz w:val="24"/>
          <w:szCs w:val="24"/>
          <w:lang w:eastAsia="ar-SA"/>
        </w:rPr>
      </w:pPr>
    </w:p>
    <w:p w14:paraId="3C9FF11C" w14:textId="77777777" w:rsidR="00711324" w:rsidRDefault="00711324" w:rsidP="006510C9">
      <w:pPr>
        <w:suppressAutoHyphens/>
        <w:spacing w:line="240" w:lineRule="auto"/>
        <w:ind w:firstLine="0"/>
        <w:jc w:val="both"/>
        <w:rPr>
          <w:rFonts w:cs="Arial"/>
          <w:b/>
          <w:sz w:val="24"/>
          <w:szCs w:val="24"/>
          <w:lang w:eastAsia="ar-SA"/>
        </w:rPr>
      </w:pPr>
    </w:p>
    <w:p w14:paraId="75AA5835" w14:textId="77777777" w:rsidR="00711324" w:rsidRDefault="00711324" w:rsidP="006510C9">
      <w:pPr>
        <w:suppressAutoHyphens/>
        <w:spacing w:line="240" w:lineRule="auto"/>
        <w:ind w:firstLine="0"/>
        <w:jc w:val="both"/>
        <w:rPr>
          <w:rFonts w:cs="Arial"/>
          <w:b/>
          <w:sz w:val="24"/>
          <w:szCs w:val="24"/>
          <w:lang w:eastAsia="ar-SA"/>
        </w:rPr>
      </w:pPr>
    </w:p>
    <w:p w14:paraId="597C532A" w14:textId="77777777" w:rsidR="00711324" w:rsidRDefault="00711324" w:rsidP="006510C9">
      <w:pPr>
        <w:suppressAutoHyphens/>
        <w:spacing w:line="240" w:lineRule="auto"/>
        <w:ind w:firstLine="0"/>
        <w:jc w:val="both"/>
        <w:rPr>
          <w:rFonts w:cs="Arial"/>
          <w:b/>
          <w:sz w:val="24"/>
          <w:szCs w:val="24"/>
          <w:lang w:eastAsia="ar-SA"/>
        </w:rPr>
      </w:pPr>
    </w:p>
    <w:p w14:paraId="62C72E9C" w14:textId="77777777" w:rsidR="00711324" w:rsidRDefault="00711324" w:rsidP="006510C9">
      <w:pPr>
        <w:suppressAutoHyphens/>
        <w:spacing w:line="240" w:lineRule="auto"/>
        <w:ind w:firstLine="0"/>
        <w:jc w:val="both"/>
        <w:rPr>
          <w:rFonts w:cs="Arial"/>
          <w:b/>
          <w:sz w:val="24"/>
          <w:szCs w:val="24"/>
          <w:lang w:eastAsia="ar-SA"/>
        </w:rPr>
      </w:pPr>
    </w:p>
    <w:p w14:paraId="46C591AC" w14:textId="77777777" w:rsidR="00711324" w:rsidRDefault="00711324" w:rsidP="006510C9">
      <w:pPr>
        <w:suppressAutoHyphens/>
        <w:spacing w:line="240" w:lineRule="auto"/>
        <w:ind w:firstLine="0"/>
        <w:jc w:val="both"/>
        <w:rPr>
          <w:rFonts w:cs="Arial"/>
          <w:b/>
          <w:sz w:val="24"/>
          <w:szCs w:val="24"/>
          <w:lang w:eastAsia="ar-SA"/>
        </w:rPr>
      </w:pPr>
    </w:p>
    <w:p w14:paraId="523AE1BC" w14:textId="77777777" w:rsidR="00711324" w:rsidRDefault="00711324" w:rsidP="006510C9">
      <w:pPr>
        <w:suppressAutoHyphens/>
        <w:spacing w:line="240" w:lineRule="auto"/>
        <w:ind w:firstLine="0"/>
        <w:jc w:val="both"/>
        <w:rPr>
          <w:rFonts w:cs="Arial"/>
          <w:b/>
          <w:sz w:val="24"/>
          <w:szCs w:val="24"/>
          <w:lang w:eastAsia="ar-SA"/>
        </w:rPr>
      </w:pPr>
    </w:p>
    <w:p w14:paraId="780F5D8E" w14:textId="77777777" w:rsidR="00711324" w:rsidRDefault="00711324" w:rsidP="006510C9">
      <w:pPr>
        <w:suppressAutoHyphens/>
        <w:spacing w:line="240" w:lineRule="auto"/>
        <w:ind w:firstLine="0"/>
        <w:jc w:val="both"/>
        <w:rPr>
          <w:rFonts w:cs="Arial"/>
          <w:b/>
          <w:sz w:val="24"/>
          <w:szCs w:val="24"/>
          <w:lang w:eastAsia="ar-SA"/>
        </w:rPr>
      </w:pPr>
    </w:p>
    <w:p w14:paraId="0ADF32C6" w14:textId="77777777" w:rsidR="00711324" w:rsidRDefault="00711324" w:rsidP="006510C9">
      <w:pPr>
        <w:suppressAutoHyphens/>
        <w:spacing w:line="240" w:lineRule="auto"/>
        <w:ind w:firstLine="0"/>
        <w:jc w:val="both"/>
        <w:rPr>
          <w:rFonts w:cs="Arial"/>
          <w:b/>
          <w:sz w:val="24"/>
          <w:szCs w:val="24"/>
          <w:lang w:eastAsia="ar-SA"/>
        </w:rPr>
      </w:pPr>
    </w:p>
    <w:p w14:paraId="61D4A2B0" w14:textId="77777777" w:rsidR="00711324" w:rsidRDefault="00711324" w:rsidP="006510C9">
      <w:pPr>
        <w:suppressAutoHyphens/>
        <w:spacing w:line="240" w:lineRule="auto"/>
        <w:ind w:firstLine="0"/>
        <w:jc w:val="both"/>
        <w:rPr>
          <w:rFonts w:cs="Arial"/>
          <w:b/>
          <w:sz w:val="24"/>
          <w:szCs w:val="24"/>
          <w:lang w:eastAsia="ar-SA"/>
        </w:rPr>
      </w:pPr>
    </w:p>
    <w:p w14:paraId="7612A7FA" w14:textId="77777777" w:rsidR="00711324" w:rsidRDefault="00711324" w:rsidP="006510C9">
      <w:pPr>
        <w:suppressAutoHyphens/>
        <w:spacing w:line="240" w:lineRule="auto"/>
        <w:ind w:firstLine="0"/>
        <w:jc w:val="both"/>
        <w:rPr>
          <w:rFonts w:cs="Arial"/>
          <w:b/>
          <w:sz w:val="24"/>
          <w:szCs w:val="24"/>
          <w:lang w:eastAsia="ar-SA"/>
        </w:rPr>
      </w:pPr>
    </w:p>
    <w:p w14:paraId="0DE8C753" w14:textId="77777777" w:rsidR="00711324" w:rsidRDefault="00711324" w:rsidP="006510C9">
      <w:pPr>
        <w:suppressAutoHyphens/>
        <w:spacing w:line="240" w:lineRule="auto"/>
        <w:ind w:firstLine="0"/>
        <w:jc w:val="both"/>
        <w:rPr>
          <w:rFonts w:cs="Arial"/>
          <w:b/>
          <w:sz w:val="24"/>
          <w:szCs w:val="24"/>
          <w:lang w:eastAsia="ar-SA"/>
        </w:rPr>
      </w:pPr>
    </w:p>
    <w:p w14:paraId="703BB03B" w14:textId="77777777" w:rsidR="00711324" w:rsidRDefault="00711324" w:rsidP="006510C9">
      <w:pPr>
        <w:suppressAutoHyphens/>
        <w:spacing w:line="240" w:lineRule="auto"/>
        <w:ind w:firstLine="0"/>
        <w:jc w:val="both"/>
        <w:rPr>
          <w:rFonts w:cs="Arial"/>
          <w:b/>
          <w:sz w:val="24"/>
          <w:szCs w:val="24"/>
          <w:lang w:eastAsia="ar-SA"/>
        </w:rPr>
      </w:pPr>
    </w:p>
    <w:p w14:paraId="30752268" w14:textId="77777777" w:rsidR="00711324" w:rsidRDefault="00711324" w:rsidP="006510C9">
      <w:pPr>
        <w:suppressAutoHyphens/>
        <w:spacing w:line="240" w:lineRule="auto"/>
        <w:ind w:firstLine="0"/>
        <w:jc w:val="both"/>
        <w:rPr>
          <w:rFonts w:cs="Arial"/>
          <w:b/>
          <w:sz w:val="24"/>
          <w:szCs w:val="24"/>
          <w:lang w:eastAsia="ar-SA"/>
        </w:rPr>
      </w:pPr>
    </w:p>
    <w:p w14:paraId="00519C61" w14:textId="3CE4CC0F"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45805D8D" w14:textId="77777777" w:rsidR="00711324" w:rsidRDefault="00711324" w:rsidP="009128B3">
      <w:pPr>
        <w:tabs>
          <w:tab w:val="left" w:pos="1560"/>
          <w:tab w:val="left" w:pos="5245"/>
        </w:tabs>
        <w:suppressAutoHyphens/>
        <w:spacing w:line="240" w:lineRule="auto"/>
        <w:ind w:firstLine="0"/>
        <w:rPr>
          <w:rFonts w:cs="Arial"/>
          <w:sz w:val="24"/>
          <w:szCs w:val="24"/>
          <w:lang w:eastAsia="en-GB"/>
        </w:rPr>
      </w:pPr>
    </w:p>
    <w:p w14:paraId="39D69A19" w14:textId="77777777" w:rsidR="00711324" w:rsidRDefault="00711324" w:rsidP="009128B3">
      <w:pPr>
        <w:tabs>
          <w:tab w:val="left" w:pos="1560"/>
          <w:tab w:val="left" w:pos="5245"/>
        </w:tabs>
        <w:suppressAutoHyphens/>
        <w:spacing w:line="240" w:lineRule="auto"/>
        <w:ind w:firstLine="0"/>
        <w:rPr>
          <w:rFonts w:cs="Arial"/>
          <w:sz w:val="24"/>
          <w:szCs w:val="24"/>
          <w:lang w:eastAsia="en-GB"/>
        </w:rPr>
      </w:pPr>
    </w:p>
    <w:p w14:paraId="26B32900" w14:textId="77777777" w:rsidR="00711324" w:rsidRDefault="00711324" w:rsidP="009128B3">
      <w:pPr>
        <w:tabs>
          <w:tab w:val="left" w:pos="1560"/>
          <w:tab w:val="left" w:pos="5245"/>
        </w:tabs>
        <w:suppressAutoHyphens/>
        <w:spacing w:line="240" w:lineRule="auto"/>
        <w:ind w:firstLine="0"/>
        <w:rPr>
          <w:rFonts w:cs="Arial"/>
          <w:sz w:val="24"/>
          <w:szCs w:val="24"/>
          <w:lang w:eastAsia="en-GB"/>
        </w:rPr>
      </w:pPr>
    </w:p>
    <w:p w14:paraId="16098F43" w14:textId="77777777" w:rsidR="00711324" w:rsidRDefault="00711324" w:rsidP="009128B3">
      <w:pPr>
        <w:tabs>
          <w:tab w:val="left" w:pos="1560"/>
          <w:tab w:val="left" w:pos="5245"/>
        </w:tabs>
        <w:suppressAutoHyphens/>
        <w:spacing w:line="240" w:lineRule="auto"/>
        <w:ind w:firstLine="0"/>
        <w:rPr>
          <w:rFonts w:cs="Arial"/>
          <w:sz w:val="24"/>
          <w:szCs w:val="24"/>
          <w:lang w:eastAsia="en-GB"/>
        </w:rPr>
      </w:pPr>
    </w:p>
    <w:p w14:paraId="0D7E92B9" w14:textId="4238BF24"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23CE"/>
    <w:rsid w:val="000D5744"/>
    <w:rsid w:val="000E5B99"/>
    <w:rsid w:val="000F6C2A"/>
    <w:rsid w:val="000F7A70"/>
    <w:rsid w:val="00102B27"/>
    <w:rsid w:val="001041E6"/>
    <w:rsid w:val="00105898"/>
    <w:rsid w:val="00114425"/>
    <w:rsid w:val="001156A4"/>
    <w:rsid w:val="00125F2E"/>
    <w:rsid w:val="00127050"/>
    <w:rsid w:val="00131BF9"/>
    <w:rsid w:val="00132EDA"/>
    <w:rsid w:val="00133DEC"/>
    <w:rsid w:val="00146611"/>
    <w:rsid w:val="00150128"/>
    <w:rsid w:val="001517B7"/>
    <w:rsid w:val="00154371"/>
    <w:rsid w:val="00162BF3"/>
    <w:rsid w:val="001713EB"/>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80887"/>
    <w:rsid w:val="00282882"/>
    <w:rsid w:val="00285682"/>
    <w:rsid w:val="00290BA0"/>
    <w:rsid w:val="002A0523"/>
    <w:rsid w:val="002A238E"/>
    <w:rsid w:val="002A44AC"/>
    <w:rsid w:val="002C6FAF"/>
    <w:rsid w:val="002D3163"/>
    <w:rsid w:val="002E3099"/>
    <w:rsid w:val="002E4BC4"/>
    <w:rsid w:val="002F1FD0"/>
    <w:rsid w:val="002F3402"/>
    <w:rsid w:val="002F50A7"/>
    <w:rsid w:val="002F5342"/>
    <w:rsid w:val="002F7C50"/>
    <w:rsid w:val="00323C45"/>
    <w:rsid w:val="003332EF"/>
    <w:rsid w:val="003361C2"/>
    <w:rsid w:val="003428D6"/>
    <w:rsid w:val="003431EB"/>
    <w:rsid w:val="00344870"/>
    <w:rsid w:val="0034605F"/>
    <w:rsid w:val="00346EF8"/>
    <w:rsid w:val="003578D8"/>
    <w:rsid w:val="00366E5B"/>
    <w:rsid w:val="00367C65"/>
    <w:rsid w:val="00370E74"/>
    <w:rsid w:val="00370EB0"/>
    <w:rsid w:val="003766A1"/>
    <w:rsid w:val="0038799D"/>
    <w:rsid w:val="00390360"/>
    <w:rsid w:val="00394CDD"/>
    <w:rsid w:val="003957DD"/>
    <w:rsid w:val="003A006E"/>
    <w:rsid w:val="003A6EC6"/>
    <w:rsid w:val="003D015C"/>
    <w:rsid w:val="003D028D"/>
    <w:rsid w:val="003D100E"/>
    <w:rsid w:val="003E10AC"/>
    <w:rsid w:val="003E1903"/>
    <w:rsid w:val="003F7407"/>
    <w:rsid w:val="00402093"/>
    <w:rsid w:val="00406C7A"/>
    <w:rsid w:val="00407DE0"/>
    <w:rsid w:val="00410300"/>
    <w:rsid w:val="00411668"/>
    <w:rsid w:val="00423B2C"/>
    <w:rsid w:val="00424872"/>
    <w:rsid w:val="00427E50"/>
    <w:rsid w:val="004300F0"/>
    <w:rsid w:val="00431AE1"/>
    <w:rsid w:val="0043463D"/>
    <w:rsid w:val="0043507F"/>
    <w:rsid w:val="00455013"/>
    <w:rsid w:val="00461E44"/>
    <w:rsid w:val="00463967"/>
    <w:rsid w:val="00471D54"/>
    <w:rsid w:val="0047254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36078"/>
    <w:rsid w:val="0054674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1324"/>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873D4"/>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23E5"/>
    <w:rsid w:val="00814F82"/>
    <w:rsid w:val="00822F45"/>
    <w:rsid w:val="00834DAD"/>
    <w:rsid w:val="00842A0E"/>
    <w:rsid w:val="00847527"/>
    <w:rsid w:val="008514E1"/>
    <w:rsid w:val="0085307B"/>
    <w:rsid w:val="008530D5"/>
    <w:rsid w:val="00855F2C"/>
    <w:rsid w:val="00872C3F"/>
    <w:rsid w:val="00872D35"/>
    <w:rsid w:val="00877CFF"/>
    <w:rsid w:val="0088147B"/>
    <w:rsid w:val="00892BA5"/>
    <w:rsid w:val="00892F93"/>
    <w:rsid w:val="00893F51"/>
    <w:rsid w:val="008945BA"/>
    <w:rsid w:val="00895951"/>
    <w:rsid w:val="00897CFE"/>
    <w:rsid w:val="008A1DD1"/>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C70DE"/>
    <w:rsid w:val="009D251B"/>
    <w:rsid w:val="009D7508"/>
    <w:rsid w:val="009E19BB"/>
    <w:rsid w:val="009F62CA"/>
    <w:rsid w:val="009F6D15"/>
    <w:rsid w:val="00A013CF"/>
    <w:rsid w:val="00A03F84"/>
    <w:rsid w:val="00A05312"/>
    <w:rsid w:val="00A15B2E"/>
    <w:rsid w:val="00A1797F"/>
    <w:rsid w:val="00A227D1"/>
    <w:rsid w:val="00A2778C"/>
    <w:rsid w:val="00A31AAD"/>
    <w:rsid w:val="00A458C2"/>
    <w:rsid w:val="00A523CB"/>
    <w:rsid w:val="00A56D01"/>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473"/>
    <w:rsid w:val="00AB6E60"/>
    <w:rsid w:val="00AD17EB"/>
    <w:rsid w:val="00AF6966"/>
    <w:rsid w:val="00B03AA8"/>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C1E7A"/>
    <w:rsid w:val="00BC2886"/>
    <w:rsid w:val="00BC4C14"/>
    <w:rsid w:val="00BD020C"/>
    <w:rsid w:val="00BD284A"/>
    <w:rsid w:val="00BD35D7"/>
    <w:rsid w:val="00BD4D10"/>
    <w:rsid w:val="00BD7104"/>
    <w:rsid w:val="00BE15CF"/>
    <w:rsid w:val="00BE7DD1"/>
    <w:rsid w:val="00BF0EFB"/>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9D7"/>
    <w:rsid w:val="00CF28C5"/>
    <w:rsid w:val="00CF3945"/>
    <w:rsid w:val="00D00BD3"/>
    <w:rsid w:val="00D024A0"/>
    <w:rsid w:val="00D06125"/>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329A"/>
    <w:rsid w:val="00E240AB"/>
    <w:rsid w:val="00E3344F"/>
    <w:rsid w:val="00E336C3"/>
    <w:rsid w:val="00E35379"/>
    <w:rsid w:val="00E541A8"/>
    <w:rsid w:val="00E61A0F"/>
    <w:rsid w:val="00E62798"/>
    <w:rsid w:val="00E6526C"/>
    <w:rsid w:val="00E65DC8"/>
    <w:rsid w:val="00E73407"/>
    <w:rsid w:val="00E754F0"/>
    <w:rsid w:val="00E8224A"/>
    <w:rsid w:val="00E8532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97680"/>
    <w:rsid w:val="00FA4300"/>
    <w:rsid w:val="00FB7C88"/>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84607449">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8302392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2A87B09A-AB46-432D-A51D-829362819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2787</Words>
  <Characters>1590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4369</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2025-03-26T13:25:00Z</dcterms:created>
  <dcterms:modified xsi:type="dcterms:W3CDTF">2025-03-26T14:12:00Z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