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2326C6" w:rsidRDefault="002326C6" w:rsidP="002326C6">
      <w:pPr>
        <w:spacing w:after="0" w:line="240" w:lineRule="auto"/>
        <w:rPr>
          <w:rFonts w:ascii="Times New Roman" w:hAnsi="Times New Roman" w:cs="Times New Roman"/>
          <w:b/>
          <w:bCs/>
          <w:sz w:val="24"/>
          <w:szCs w:val="24"/>
        </w:rPr>
      </w:pPr>
    </w:p>
    <w:p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2326C6" w:rsidRPr="002326C6" w:rsidRDefault="002326C6" w:rsidP="002326C6">
      <w:pPr>
        <w:pStyle w:val="Paantrat"/>
        <w:spacing w:after="0" w:line="240" w:lineRule="auto"/>
        <w:jc w:val="center"/>
        <w:rPr>
          <w:rFonts w:ascii="Times New Roman" w:hAnsi="Times New Roman" w:cs="Times New Roman"/>
          <w:i/>
          <w:iCs/>
          <w:caps w:val="0"/>
          <w:color w:val="auto"/>
        </w:rPr>
      </w:pPr>
      <w:r w:rsidRPr="006B29C2">
        <w:rPr>
          <w:rFonts w:ascii="Times New Roman" w:hAnsi="Times New Roman" w:cs="Times New Roman"/>
          <w:b/>
          <w:bCs/>
          <w:color w:val="auto"/>
        </w:rPr>
        <w:t xml:space="preserve">DĖL  </w:t>
      </w:r>
      <w:r w:rsidR="00C7001F">
        <w:rPr>
          <w:rFonts w:ascii="Times New Roman" w:hAnsi="Times New Roman" w:cs="Times New Roman"/>
          <w:b/>
          <w:color w:val="auto"/>
        </w:rPr>
        <w:t>NAUJOSIOS GATVĖS KT8061</w:t>
      </w:r>
      <w:r w:rsidRPr="002326C6">
        <w:rPr>
          <w:rFonts w:ascii="Times New Roman" w:hAnsi="Times New Roman" w:cs="Times New Roman"/>
          <w:b/>
          <w:color w:val="auto"/>
        </w:rPr>
        <w:t>, KRETINGOS MIESTE, KRETINGOS M. SEN., KRETINGOS R., ASFALTBETONIO DANGOS ĮRENGIMO SU PROJEKTAVIMU</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rPr>
          <w:trHeight w:val="116"/>
        </w:trPr>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rsidTr="002326C6">
        <w:trPr>
          <w:trHeight w:val="317"/>
        </w:trPr>
        <w:tc>
          <w:tcPr>
            <w:tcW w:w="5524" w:type="dxa"/>
            <w:tcBorders>
              <w:top w:val="nil"/>
              <w:left w:val="nil"/>
              <w:bottom w:val="single" w:sz="4" w:space="0" w:color="auto"/>
              <w:right w:val="nil"/>
            </w:tcBorders>
            <w:vAlign w:val="center"/>
            <w:hideMark/>
          </w:tcPr>
          <w:p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rsidTr="002326C6">
        <w:tc>
          <w:tcPr>
            <w:tcW w:w="5524" w:type="dxa"/>
            <w:tcBorders>
              <w:top w:val="single" w:sz="4" w:space="0" w:color="auto"/>
              <w:left w:val="nil"/>
              <w:bottom w:val="nil"/>
              <w:right w:val="nil"/>
            </w:tcBorders>
            <w:hideMark/>
          </w:tcPr>
          <w:p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bl>
    <w:p w:rsidR="002326C6" w:rsidRDefault="002326C6" w:rsidP="002326C6">
      <w:pPr>
        <w:spacing w:after="0" w:line="240" w:lineRule="auto"/>
        <w:rPr>
          <w:rFonts w:ascii="Times New Roman" w:hAnsi="Times New Roman" w:cs="Times New Roman"/>
          <w:iCs/>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eastAsia="Calibri" w:hAnsi="Times New Roman" w:cs="Times New Roman"/>
          <w:color w:val="000000" w:themeColor="text1"/>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jc w:val="right"/>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susiję su Prekių tiekimu,</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su dokumentų, kurių reikalauja Pirkėjas, rengimu ir pateikimu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p>
    <w:p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2326C6" w:rsidRPr="00A93AA9" w:rsidRDefault="002326C6" w:rsidP="002326C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Pr="009E1D5E">
        <w:rPr>
          <w:rFonts w:ascii="Times New Roman" w:hAnsi="Times New Roman"/>
          <w:sz w:val="24"/>
          <w:szCs w:val="24"/>
        </w:rPr>
        <w:t xml:space="preserve"> </w:t>
      </w:r>
      <w:proofErr w:type="spellStart"/>
      <w:r w:rsidRPr="009E1D5E">
        <w:rPr>
          <w:rFonts w:ascii="Times New Roman" w:hAnsi="Times New Roman"/>
          <w:b/>
          <w:sz w:val="24"/>
          <w:szCs w:val="24"/>
        </w:rPr>
        <w:t>Eur</w:t>
      </w:r>
      <w:proofErr w:type="spellEnd"/>
      <w:r w:rsidRPr="009E1D5E">
        <w:rPr>
          <w:rFonts w:ascii="Times New Roman" w:hAnsi="Times New Roman"/>
          <w:sz w:val="24"/>
          <w:szCs w:val="24"/>
        </w:rPr>
        <w:t xml:space="preserve"> </w:t>
      </w:r>
      <w:r>
        <w:rPr>
          <w:rFonts w:ascii="Times New Roman" w:hAnsi="Times New Roman"/>
          <w:b/>
          <w:sz w:val="24"/>
          <w:szCs w:val="24"/>
        </w:rPr>
        <w:t xml:space="preserve">su PVM </w:t>
      </w:r>
      <w:r w:rsidR="00C7001F">
        <w:rPr>
          <w:rFonts w:ascii="Times New Roman" w:hAnsi="Times New Roman"/>
          <w:sz w:val="24"/>
          <w:szCs w:val="24"/>
        </w:rPr>
        <w:t>(lentelės 8</w:t>
      </w:r>
      <w:bookmarkStart w:id="2" w:name="_GoBack"/>
      <w:bookmarkEnd w:id="2"/>
      <w:r w:rsidRPr="005E495D">
        <w:rPr>
          <w:rFonts w:ascii="Times New Roman" w:hAnsi="Times New Roman"/>
          <w:sz w:val="24"/>
          <w:szCs w:val="24"/>
        </w:rPr>
        <w:t xml:space="preserve"> eilutės suma), </w:t>
      </w:r>
      <w:r w:rsidRPr="00A93AA9">
        <w:rPr>
          <w:rFonts w:ascii="Times New Roman" w:hAnsi="Times New Roman"/>
          <w:sz w:val="24"/>
          <w:szCs w:val="24"/>
        </w:rPr>
        <w:t>kurią sudaro:</w:t>
      </w:r>
    </w:p>
    <w:p w:rsidR="002326C6" w:rsidRPr="00A93AA9" w:rsidRDefault="002326C6" w:rsidP="002326C6">
      <w:pPr>
        <w:pStyle w:val="Sraopastraipa"/>
        <w:spacing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sz w:val="24"/>
                <w:szCs w:val="24"/>
              </w:rPr>
              <w:t>1.</w:t>
            </w:r>
          </w:p>
        </w:tc>
        <w:tc>
          <w:tcPr>
            <w:tcW w:w="4742" w:type="dxa"/>
          </w:tcPr>
          <w:p w:rsidR="002326C6" w:rsidRPr="002326C6" w:rsidRDefault="002326C6" w:rsidP="002326C6">
            <w:pPr>
              <w:tabs>
                <w:tab w:val="left" w:pos="8175"/>
              </w:tabs>
              <w:jc w:val="both"/>
              <w:rPr>
                <w:rFonts w:ascii="Times New Roman" w:hAnsi="Times New Roman"/>
                <w:sz w:val="24"/>
                <w:szCs w:val="24"/>
              </w:rPr>
            </w:pPr>
            <w:r>
              <w:rPr>
                <w:rFonts w:ascii="Times New Roman" w:eastAsiaTheme="minorHAnsi" w:hAnsi="Times New Roman" w:cs="Times New Roman"/>
                <w:sz w:val="24"/>
                <w:szCs w:val="24"/>
                <w:lang w:eastAsia="en-US"/>
              </w:rPr>
              <w:t>Kapitalinio remonto aprašo parengimas</w:t>
            </w:r>
          </w:p>
        </w:tc>
        <w:tc>
          <w:tcPr>
            <w:tcW w:w="4335"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p w:rsidR="002326C6" w:rsidRPr="007E1143" w:rsidRDefault="002326C6" w:rsidP="002326C6">
            <w:pPr>
              <w:tabs>
                <w:tab w:val="left" w:pos="8175"/>
              </w:tabs>
              <w:rPr>
                <w:rFonts w:ascii="Times New Roman" w:hAnsi="Times New Roman"/>
                <w:sz w:val="24"/>
                <w:szCs w:val="24"/>
              </w:rPr>
            </w:pPr>
          </w:p>
        </w:tc>
      </w:tr>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Pr>
                <w:rFonts w:ascii="Times New Roman" w:hAnsi="Times New Roman"/>
                <w:sz w:val="24"/>
                <w:szCs w:val="24"/>
              </w:rPr>
              <w:t>2.</w:t>
            </w:r>
          </w:p>
        </w:tc>
        <w:tc>
          <w:tcPr>
            <w:tcW w:w="4742" w:type="dxa"/>
          </w:tcPr>
          <w:p w:rsidR="002326C6" w:rsidRDefault="002326C6" w:rsidP="002326C6">
            <w:pPr>
              <w:tabs>
                <w:tab w:val="left" w:pos="8175"/>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Asfaltbetonio dangos įrengimas</w:t>
            </w:r>
          </w:p>
        </w:tc>
        <w:tc>
          <w:tcPr>
            <w:tcW w:w="4335" w:type="dxa"/>
          </w:tcPr>
          <w:p w:rsidR="002326C6" w:rsidRPr="00064A30" w:rsidRDefault="00064A30"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3</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shd w:val="clear" w:color="auto" w:fill="FFFFFF"/>
              </w:rPr>
            </w:pPr>
            <w:r w:rsidRPr="005E495D">
              <w:rPr>
                <w:sz w:val="24"/>
                <w:szCs w:val="24"/>
              </w:rPr>
              <w:t>Inžinerinės paslaugos (</w:t>
            </w:r>
            <w:r w:rsidRPr="005E495D">
              <w:rPr>
                <w:sz w:val="24"/>
                <w:szCs w:val="24"/>
                <w:shd w:val="clear" w:color="auto" w:fill="FFFFFF"/>
              </w:rPr>
              <w:t>išpildomųjų geodezini</w:t>
            </w:r>
            <w:r>
              <w:rPr>
                <w:sz w:val="24"/>
                <w:szCs w:val="24"/>
                <w:shd w:val="clear" w:color="auto" w:fill="FFFFFF"/>
              </w:rPr>
              <w:t>ų nuotraukų parengimas; žemės sklypo kadastrinės bylos patikslinimas, statinio kadastrinės</w:t>
            </w:r>
            <w:r w:rsidR="008C3284">
              <w:rPr>
                <w:sz w:val="24"/>
                <w:szCs w:val="24"/>
                <w:shd w:val="clear" w:color="auto" w:fill="FFFFFF"/>
              </w:rPr>
              <w:t xml:space="preserve"> matavimų bylos, suderintos</w:t>
            </w:r>
            <w:r w:rsidRPr="005E495D">
              <w:rPr>
                <w:sz w:val="24"/>
                <w:szCs w:val="24"/>
                <w:shd w:val="clear" w:color="auto" w:fill="FFFFFF"/>
              </w:rPr>
              <w:t xml:space="preserve"> su VĮ </w:t>
            </w:r>
            <w:r w:rsidRPr="005E495D">
              <w:rPr>
                <w:sz w:val="24"/>
                <w:szCs w:val="24"/>
                <w:shd w:val="clear" w:color="auto" w:fill="FFFFFF"/>
              </w:rPr>
              <w:lastRenderedPageBreak/>
              <w:t>Registrų centru (teisinei registracijai) parengimas)</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lastRenderedPageBreak/>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sz w:val="24"/>
                <w:szCs w:val="24"/>
              </w:rPr>
            </w:pP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4</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rPr>
            </w:pPr>
            <w:r w:rsidRPr="005E495D">
              <w:rPr>
                <w:sz w:val="24"/>
                <w:szCs w:val="24"/>
                <w:shd w:val="clear" w:color="auto" w:fill="FFFFFF"/>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baigtų statyti statinių užregistravimas  Kretingos rajono savivaldybės vardu Nekilnojamojo turto registre)</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i/>
                <w:sz w:val="24"/>
                <w:szCs w:val="24"/>
              </w:rPr>
            </w:pPr>
          </w:p>
        </w:tc>
      </w:tr>
      <w:tr w:rsidR="008C3284" w:rsidRPr="005E495D" w:rsidTr="002326C6">
        <w:tc>
          <w:tcPr>
            <w:tcW w:w="551" w:type="dxa"/>
          </w:tcPr>
          <w:p w:rsidR="008C3284" w:rsidRDefault="008C3284" w:rsidP="002326C6">
            <w:pPr>
              <w:tabs>
                <w:tab w:val="left" w:pos="8175"/>
              </w:tabs>
              <w:rPr>
                <w:rFonts w:ascii="Times New Roman" w:hAnsi="Times New Roman"/>
                <w:sz w:val="24"/>
                <w:szCs w:val="24"/>
              </w:rPr>
            </w:pPr>
            <w:r>
              <w:rPr>
                <w:rFonts w:ascii="Times New Roman" w:hAnsi="Times New Roman"/>
                <w:sz w:val="24"/>
                <w:szCs w:val="24"/>
              </w:rPr>
              <w:t>5.</w:t>
            </w:r>
          </w:p>
        </w:tc>
        <w:tc>
          <w:tcPr>
            <w:tcW w:w="4742" w:type="dxa"/>
          </w:tcPr>
          <w:p w:rsidR="008C3284" w:rsidRPr="005E495D" w:rsidRDefault="008C3284" w:rsidP="002326C6">
            <w:pPr>
              <w:pStyle w:val="Stilius3"/>
              <w:spacing w:before="0"/>
              <w:ind w:right="57"/>
              <w:rPr>
                <w:sz w:val="24"/>
                <w:szCs w:val="24"/>
                <w:shd w:val="clear" w:color="auto" w:fill="FFFFFF"/>
              </w:rPr>
            </w:pPr>
            <w:r w:rsidRPr="000C5B15">
              <w:rPr>
                <w:sz w:val="24"/>
                <w:szCs w:val="24"/>
              </w:rPr>
              <w:t>Elektroninio statybos darbų žurnalo įsigijimo paslauga statytojo (užsakovo) vardu</w:t>
            </w:r>
          </w:p>
        </w:tc>
        <w:tc>
          <w:tcPr>
            <w:tcW w:w="4335" w:type="dxa"/>
          </w:tcPr>
          <w:p w:rsidR="008C3284" w:rsidRPr="002D2E31" w:rsidRDefault="002D2E31"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6</w:t>
            </w:r>
            <w:r w:rsidR="002326C6" w:rsidRPr="00960CB7">
              <w:rPr>
                <w:rFonts w:ascii="Times New Roman" w:hAnsi="Times New Roman"/>
                <w:b/>
                <w:sz w:val="24"/>
                <w:szCs w:val="24"/>
              </w:rPr>
              <w:t>.</w:t>
            </w:r>
          </w:p>
        </w:tc>
        <w:tc>
          <w:tcPr>
            <w:tcW w:w="4742" w:type="dxa"/>
          </w:tcPr>
          <w:p w:rsidR="002326C6" w:rsidRPr="00960CB7" w:rsidRDefault="002326C6" w:rsidP="002326C6">
            <w:pPr>
              <w:pStyle w:val="Stilius3"/>
              <w:spacing w:before="0"/>
              <w:ind w:right="420"/>
              <w:rPr>
                <w:b/>
                <w:sz w:val="24"/>
                <w:szCs w:val="24"/>
              </w:rPr>
            </w:pPr>
            <w:r w:rsidRPr="00960CB7">
              <w:rPr>
                <w:b/>
                <w:sz w:val="24"/>
                <w:szCs w:val="24"/>
              </w:rPr>
              <w:t>Bendra kaina be 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7</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jc w:val="both"/>
              <w:rPr>
                <w:rFonts w:ascii="Times New Roman" w:hAnsi="Times New Roman"/>
                <w:b/>
                <w:sz w:val="24"/>
                <w:szCs w:val="24"/>
              </w:rPr>
            </w:pPr>
            <w:r w:rsidRPr="00960CB7">
              <w:rPr>
                <w:rFonts w:ascii="Times New Roman" w:hAnsi="Times New Roman"/>
                <w:b/>
                <w:sz w:val="24"/>
                <w:szCs w:val="24"/>
              </w:rPr>
              <w:t>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8</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sz w:val="24"/>
                <w:szCs w:val="24"/>
              </w:rPr>
              <w:t xml:space="preserve">Bendra kaina su PVM </w:t>
            </w:r>
          </w:p>
        </w:tc>
        <w:tc>
          <w:tcPr>
            <w:tcW w:w="4335"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i/>
                <w:sz w:val="24"/>
                <w:szCs w:val="24"/>
              </w:rPr>
              <w:t>................(nurodyti sumą skaičiais)</w:t>
            </w:r>
            <w:r w:rsidRPr="00960CB7">
              <w:rPr>
                <w:rFonts w:ascii="Times New Roman" w:hAnsi="Times New Roman"/>
                <w:b/>
                <w:sz w:val="24"/>
                <w:szCs w:val="24"/>
              </w:rPr>
              <w:t xml:space="preserve"> </w:t>
            </w:r>
            <w:proofErr w:type="spellStart"/>
            <w:r w:rsidRPr="00960CB7">
              <w:rPr>
                <w:rFonts w:ascii="Times New Roman" w:hAnsi="Times New Roman"/>
                <w:b/>
                <w:sz w:val="24"/>
                <w:szCs w:val="24"/>
              </w:rPr>
              <w:t>Eur</w:t>
            </w:r>
            <w:proofErr w:type="spellEnd"/>
            <w:r w:rsidRPr="00960CB7">
              <w:rPr>
                <w:rFonts w:ascii="Times New Roman" w:hAnsi="Times New Roman"/>
                <w:b/>
                <w:sz w:val="24"/>
                <w:szCs w:val="24"/>
              </w:rPr>
              <w:t xml:space="preserve"> </w:t>
            </w:r>
          </w:p>
          <w:p w:rsidR="002326C6" w:rsidRPr="00960CB7" w:rsidRDefault="002326C6" w:rsidP="002326C6">
            <w:pPr>
              <w:tabs>
                <w:tab w:val="left" w:pos="8175"/>
              </w:tabs>
              <w:rPr>
                <w:rFonts w:ascii="Times New Roman" w:hAnsi="Times New Roman"/>
                <w:b/>
                <w:sz w:val="24"/>
                <w:szCs w:val="24"/>
              </w:rPr>
            </w:pPr>
          </w:p>
        </w:tc>
      </w:tr>
    </w:tbl>
    <w:p w:rsidR="002326C6" w:rsidRDefault="002326C6" w:rsidP="002326C6">
      <w:pPr>
        <w:pStyle w:val="Sraopastraipa"/>
        <w:tabs>
          <w:tab w:val="left" w:pos="993"/>
        </w:tabs>
        <w:spacing w:after="0" w:line="240" w:lineRule="auto"/>
        <w:ind w:left="567"/>
        <w:jc w:val="both"/>
        <w:rPr>
          <w:rFonts w:ascii="Times New Roman" w:hAnsi="Times New Roman" w:cs="Times New Roman"/>
          <w:iCs/>
          <w:sz w:val="24"/>
          <w:szCs w:val="24"/>
        </w:rPr>
      </w:pPr>
    </w:p>
    <w:p w:rsidR="002326C6" w:rsidRDefault="002326C6" w:rsidP="002326C6">
      <w:pPr>
        <w:spacing w:after="0" w:line="240" w:lineRule="auto"/>
        <w:rPr>
          <w:rFonts w:ascii="Times New Roman" w:hAnsi="Times New Roman" w:cs="Times New Roman"/>
          <w:b/>
          <w:bCs/>
          <w:sz w:val="24"/>
          <w:szCs w:val="24"/>
        </w:rPr>
      </w:pPr>
    </w:p>
    <w:p w:rsidR="002326C6" w:rsidRPr="00DA60C1" w:rsidRDefault="002326C6" w:rsidP="002326C6">
      <w:pPr>
        <w:pStyle w:val="Sraopastraipa"/>
        <w:numPr>
          <w:ilvl w:val="0"/>
          <w:numId w:val="4"/>
        </w:numPr>
        <w:spacing w:after="0" w:line="240" w:lineRule="auto"/>
        <w:jc w:val="center"/>
        <w:rPr>
          <w:rFonts w:ascii="Times New Roman" w:hAnsi="Times New Roman" w:cs="Times New Roman"/>
          <w:b/>
          <w:bCs/>
          <w:sz w:val="24"/>
          <w:szCs w:val="24"/>
        </w:rPr>
      </w:pPr>
      <w:r w:rsidRPr="00DA60C1">
        <w:rPr>
          <w:rFonts w:ascii="Times New Roman" w:hAnsi="Times New Roman" w:cs="Times New Roman"/>
          <w:b/>
          <w:bCs/>
          <w:sz w:val="24"/>
          <w:szCs w:val="24"/>
        </w:rPr>
        <w:t>PRIDEDAMI DOKUMENTAI IR INFORMACIJA APIE KONFIDENCIALUMĄ</w:t>
      </w:r>
    </w:p>
    <w:p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Eil.</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Nr.9</w:t>
            </w:r>
            <w:r w:rsidRPr="00836076">
              <w:rPr>
                <w:rFonts w:hAnsi="Times New Roman" w:cs="Times New Roman"/>
                <w:sz w:val="24"/>
                <w:szCs w:val="24"/>
              </w:rPr>
              <w:t>)</w:t>
            </w:r>
          </w:p>
          <w:p w:rsidR="0072432E" w:rsidRPr="0067302B" w:rsidRDefault="0072432E" w:rsidP="0072432E">
            <w:pPr>
              <w:pStyle w:val="Betarp"/>
              <w:tabs>
                <w:tab w:val="left" w:pos="331"/>
              </w:tabs>
              <w:ind w:left="32" w:hanging="32"/>
              <w:jc w:val="both"/>
              <w:rPr>
                <w:rFonts w:hAnsi="Times New Roman" w:cs="Times New Roman"/>
                <w:bCs/>
                <w:sz w:val="24"/>
                <w:szCs w:val="24"/>
              </w:rPr>
            </w:pPr>
            <w:r>
              <w:rPr>
                <w:rFonts w:hAnsi="Times New Roman" w:cs="Times New Roman"/>
                <w:bCs/>
                <w:sz w:val="24"/>
                <w:szCs w:val="24"/>
              </w:rPr>
              <w:t>*Atskirą deklaraciją</w:t>
            </w:r>
            <w:r w:rsidRPr="0067302B">
              <w:rPr>
                <w:rFonts w:hAnsi="Times New Roman" w:cs="Times New Roman"/>
                <w:bCs/>
                <w:sz w:val="24"/>
                <w:szCs w:val="24"/>
              </w:rPr>
              <w:t xml:space="preserve"> pildo:</w:t>
            </w:r>
          </w:p>
          <w:p w:rsidR="00DF0479" w:rsidRPr="00147888" w:rsidRDefault="0072432E" w:rsidP="00147888">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tiekėjas;</w:t>
            </w:r>
          </w:p>
          <w:p w:rsidR="0072432E" w:rsidRPr="0067302B" w:rsidRDefault="0072432E" w:rsidP="0072432E">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kiekvienas tiekėjų grupės narys (jeigu pasiūlymą teikia tiekėjų grupė);</w:t>
            </w:r>
          </w:p>
          <w:p w:rsidR="0072432E" w:rsidRDefault="0072432E" w:rsidP="0072432E">
            <w:pPr>
              <w:jc w:val="both"/>
              <w:rPr>
                <w:rFonts w:hAnsi="Times New Roman" w:cs="Times New Roman"/>
                <w:bCs/>
                <w:sz w:val="24"/>
                <w:szCs w:val="24"/>
              </w:rPr>
            </w:pPr>
            <w:r>
              <w:rPr>
                <w:rFonts w:hAnsi="Times New Roman" w:cs="Times New Roman"/>
                <w:bCs/>
                <w:sz w:val="24"/>
                <w:szCs w:val="24"/>
              </w:rPr>
              <w:t>3)</w:t>
            </w:r>
            <w:r w:rsidRPr="0067302B">
              <w:rPr>
                <w:rFonts w:hAnsi="Times New Roman" w:cs="Times New Roman"/>
                <w:bCs/>
                <w:sz w:val="24"/>
                <w:szCs w:val="24"/>
              </w:rPr>
              <w:t>kiekvienas ūkio subjektas, kurio pajėgumais remiasi tiekė</w:t>
            </w:r>
            <w:r>
              <w:rPr>
                <w:rFonts w:hAnsi="Times New Roman" w:cs="Times New Roman"/>
                <w:bCs/>
                <w:sz w:val="24"/>
                <w:szCs w:val="24"/>
              </w:rPr>
              <w:t>jas pagal VPĮ 49 str. (jei yra)</w:t>
            </w:r>
          </w:p>
          <w:p w:rsidR="00DF0479" w:rsidRPr="00836076" w:rsidRDefault="00DF0479" w:rsidP="0072432E">
            <w:pPr>
              <w:jc w:val="both"/>
              <w:rPr>
                <w:rFonts w:hAnsi="Times New Roman" w:cs="Times New Roman"/>
                <w:bCs/>
                <w:sz w:val="24"/>
                <w:szCs w:val="24"/>
              </w:rPr>
            </w:pPr>
            <w:r>
              <w:rPr>
                <w:rFonts w:hAnsi="Times New Roman" w:cs="Times New Roman"/>
                <w:bCs/>
                <w:sz w:val="24"/>
                <w:szCs w:val="24"/>
              </w:rPr>
              <w:t>4) subtiekėjai</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Pr>
                <w:rFonts w:hAnsi="Times New Roman" w:cs="Times New Roman"/>
                <w:sz w:val="24"/>
                <w:szCs w:val="24"/>
              </w:rPr>
              <w:t>3</w:t>
            </w:r>
            <w:r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sz w:val="24"/>
                <w:szCs w:val="24"/>
              </w:rPr>
            </w:pPr>
            <w:r>
              <w:rPr>
                <w:rFonts w:eastAsia="Calibri" w:hAnsi="Times New Roman" w:cs="Times New Roman"/>
                <w:sz w:val="24"/>
                <w:szCs w:val="24"/>
              </w:rPr>
              <w:lastRenderedPageBreak/>
              <w:t>4</w:t>
            </w:r>
            <w:r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5</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6</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rsidR="00F9580C" w:rsidRPr="0067302B" w:rsidRDefault="00F9580C" w:rsidP="00A66591">
            <w:pPr>
              <w:pStyle w:val="Betarp"/>
              <w:tabs>
                <w:tab w:val="left" w:pos="331"/>
              </w:tabs>
              <w:ind w:left="32" w:hanging="32"/>
              <w:jc w:val="both"/>
              <w:rPr>
                <w:rFonts w:hAnsi="Times New Roman" w:cs="Times New Roman"/>
                <w:bCs/>
                <w:sz w:val="24"/>
                <w:szCs w:val="24"/>
              </w:rPr>
            </w:pPr>
            <w:r w:rsidRPr="0067302B">
              <w:rPr>
                <w:rFonts w:hAnsi="Times New Roman" w:cs="Times New Roman"/>
                <w:bCs/>
                <w:sz w:val="24"/>
                <w:szCs w:val="24"/>
              </w:rPr>
              <w:t>*Atskirą EBVPD pildo:</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1)</w:t>
            </w:r>
            <w:r w:rsidR="00F9580C" w:rsidRPr="0067302B">
              <w:rPr>
                <w:rFonts w:hAnsi="Times New Roman" w:cs="Times New Roman"/>
                <w:bCs/>
                <w:sz w:val="24"/>
                <w:szCs w:val="24"/>
              </w:rPr>
              <w:t>tiekėjas;</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2)</w:t>
            </w:r>
            <w:r w:rsidR="00F9580C" w:rsidRPr="0067302B">
              <w:rPr>
                <w:rFonts w:hAnsi="Times New Roman" w:cs="Times New Roman"/>
                <w:bCs/>
                <w:sz w:val="24"/>
                <w:szCs w:val="24"/>
              </w:rPr>
              <w:t>kiekvienas tiekėjų grupės narys (jeigu pasiūlymą teikia tiekėjų grupė);</w:t>
            </w:r>
          </w:p>
          <w:p w:rsidR="00F9580C" w:rsidRPr="002102EF" w:rsidRDefault="00F9580C" w:rsidP="002102EF">
            <w:pPr>
              <w:pStyle w:val="Sraopastraipa"/>
              <w:numPr>
                <w:ilvl w:val="0"/>
                <w:numId w:val="2"/>
              </w:numPr>
              <w:tabs>
                <w:tab w:val="left" w:pos="0"/>
                <w:tab w:val="left" w:pos="331"/>
              </w:tabs>
              <w:spacing w:line="20" w:lineRule="atLeast"/>
              <w:ind w:left="0" w:hanging="32"/>
              <w:jc w:val="both"/>
              <w:rPr>
                <w:rFonts w:hAnsi="Times New Roman" w:cs="Times New Roman"/>
                <w:bCs/>
                <w:sz w:val="24"/>
                <w:szCs w:val="24"/>
              </w:rPr>
            </w:pPr>
            <w:r w:rsidRPr="0067302B">
              <w:rPr>
                <w:rFonts w:hAnsi="Times New Roman" w:cs="Times New Roman"/>
                <w:bCs/>
                <w:sz w:val="24"/>
                <w:szCs w:val="24"/>
              </w:rPr>
              <w:t>kiekvienas ūkio subjektas, kurio pajėgumais remiasi tiekė</w:t>
            </w:r>
            <w:r w:rsidR="002102EF">
              <w:rPr>
                <w:rFonts w:hAnsi="Times New Roman" w:cs="Times New Roman"/>
                <w:bCs/>
                <w:sz w:val="24"/>
                <w:szCs w:val="24"/>
              </w:rPr>
              <w:t>jas pagal VPĮ 49 str. (jei yra)</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bl>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2326C6" w:rsidRDefault="002326C6" w:rsidP="002326C6">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2326C6" w:rsidTr="002326C6">
        <w:trPr>
          <w:trHeight w:val="186"/>
        </w:trPr>
        <w:tc>
          <w:tcPr>
            <w:tcW w:w="3870" w:type="dxa"/>
            <w:tcBorders>
              <w:top w:val="single" w:sz="4" w:space="0" w:color="auto"/>
              <w:left w:val="nil"/>
              <w:bottom w:val="nil"/>
              <w:right w:val="nil"/>
            </w:tcBorders>
            <w:hideMark/>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2326C6" w:rsidRDefault="002326C6" w:rsidP="002326C6">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2326C6" w:rsidRDefault="002326C6" w:rsidP="002326C6">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2326C6" w:rsidRDefault="002326C6" w:rsidP="002326C6">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br w:type="page"/>
      </w:r>
    </w:p>
    <w:p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BD"/>
    <w:rsid w:val="00064A30"/>
    <w:rsid w:val="00147888"/>
    <w:rsid w:val="002102EF"/>
    <w:rsid w:val="002326C6"/>
    <w:rsid w:val="002D2E31"/>
    <w:rsid w:val="0071111F"/>
    <w:rsid w:val="0072432E"/>
    <w:rsid w:val="0079277B"/>
    <w:rsid w:val="008C3284"/>
    <w:rsid w:val="009328CD"/>
    <w:rsid w:val="009E48B6"/>
    <w:rsid w:val="00B301BD"/>
    <w:rsid w:val="00C7001F"/>
    <w:rsid w:val="00DF0479"/>
    <w:rsid w:val="00F9580C"/>
    <w:rsid w:val="00FA2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F3129698</Template>
  <TotalTime>3</TotalTime>
  <Pages>5</Pages>
  <Words>5006</Words>
  <Characters>2854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dcterms:created xsi:type="dcterms:W3CDTF">2025-03-25T08:23:00Z</dcterms:created>
  <dcterms:modified xsi:type="dcterms:W3CDTF">2025-03-25T08:47:00Z</dcterms:modified>
</cp:coreProperties>
</file>