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4DA6" w14:textId="77777777" w:rsidR="007A2C32" w:rsidRPr="004F733D" w:rsidRDefault="007A2C32" w:rsidP="00650FA4">
      <w:pPr>
        <w:pStyle w:val="Betarp"/>
        <w:ind w:right="-456"/>
        <w:rPr>
          <w:szCs w:val="20"/>
        </w:rPr>
      </w:pPr>
      <w:bookmarkStart w:id="0" w:name="_Hlk158885686"/>
    </w:p>
    <w:p w14:paraId="6D1CB1D4" w14:textId="43B7B587" w:rsidR="00AD0CE7" w:rsidRPr="00F14D49" w:rsidRDefault="00F14D49" w:rsidP="00650FA4">
      <w:pPr>
        <w:pStyle w:val="Betarp"/>
        <w:jc w:val="both"/>
        <w:rPr>
          <w:szCs w:val="20"/>
        </w:rPr>
      </w:pPr>
      <w:r w:rsidRPr="00F14D49">
        <w:rPr>
          <w:rFonts w:cs="Calibri"/>
          <w:bCs/>
          <w:szCs w:val="20"/>
          <w:lang w:eastAsia="lt-LT"/>
        </w:rPr>
        <w:t>Lentelė Nr. 1</w:t>
      </w:r>
      <w:r w:rsidR="00AD0CE7" w:rsidRPr="00F14D49">
        <w:rPr>
          <w:szCs w:val="20"/>
        </w:rPr>
        <w:t xml:space="preserve"> </w:t>
      </w:r>
      <w:r w:rsidR="00E8251F" w:rsidRPr="00F14D49">
        <w:rPr>
          <w:rFonts w:cs="Calibri"/>
          <w:bCs/>
          <w:szCs w:val="20"/>
          <w:lang w:eastAsia="lt-LT"/>
        </w:rPr>
        <w:t xml:space="preserve">Kvalifikacijos reikalavimai </w:t>
      </w:r>
      <w:r w:rsidR="00E8251F" w:rsidRPr="00F14D49">
        <w:rPr>
          <w:szCs w:val="20"/>
        </w:rPr>
        <w:t xml:space="preserve">Valstybinės reikšmės kelių saugumo audito paslaugų </w:t>
      </w:r>
      <w:r>
        <w:rPr>
          <w:szCs w:val="20"/>
        </w:rPr>
        <w:t>t</w:t>
      </w:r>
      <w:r w:rsidR="00E8251F" w:rsidRPr="00F14D49">
        <w:rPr>
          <w:szCs w:val="20"/>
        </w:rPr>
        <w:t>iekėjui</w:t>
      </w:r>
    </w:p>
    <w:tbl>
      <w:tblPr>
        <w:tblStyle w:val="Lentelstinklelis"/>
        <w:tblW w:w="15021" w:type="dxa"/>
        <w:tblInd w:w="0" w:type="dxa"/>
        <w:tblLayout w:type="fixed"/>
        <w:tblLook w:val="04A0" w:firstRow="1" w:lastRow="0" w:firstColumn="1" w:lastColumn="0" w:noHBand="0" w:noVBand="1"/>
      </w:tblPr>
      <w:tblGrid>
        <w:gridCol w:w="846"/>
        <w:gridCol w:w="6520"/>
        <w:gridCol w:w="4962"/>
        <w:gridCol w:w="2693"/>
      </w:tblGrid>
      <w:tr w:rsidR="00650FA4" w:rsidRPr="004F733D" w14:paraId="783B711F" w14:textId="77777777" w:rsidTr="00650FA4">
        <w:trPr>
          <w:trHeight w:val="567"/>
          <w:tblHeader/>
        </w:trPr>
        <w:tc>
          <w:tcPr>
            <w:tcW w:w="846" w:type="dxa"/>
            <w:tcBorders>
              <w:top w:val="single" w:sz="4" w:space="0" w:color="auto"/>
              <w:left w:val="single" w:sz="4" w:space="0" w:color="auto"/>
              <w:bottom w:val="single" w:sz="4" w:space="0" w:color="auto"/>
              <w:right w:val="single" w:sz="4" w:space="0" w:color="auto"/>
            </w:tcBorders>
            <w:shd w:val="clear" w:color="auto" w:fill="005063"/>
            <w:vAlign w:val="center"/>
            <w:hideMark/>
          </w:tcPr>
          <w:p w14:paraId="00DEFA52" w14:textId="77777777" w:rsidR="00650FA4" w:rsidRPr="004F733D" w:rsidRDefault="00650FA4" w:rsidP="00650FA4">
            <w:pPr>
              <w:jc w:val="center"/>
              <w:rPr>
                <w:rFonts w:ascii="Arial Narrow" w:hAnsi="Arial Narrow"/>
                <w:b/>
                <w:caps/>
                <w:color w:val="FFFFFF" w:themeColor="background1"/>
                <w:sz w:val="20"/>
                <w:szCs w:val="20"/>
              </w:rPr>
            </w:pPr>
            <w:r w:rsidRPr="004F733D">
              <w:rPr>
                <w:rFonts w:ascii="Arial Narrow" w:hAnsi="Arial Narrow"/>
                <w:b/>
                <w:color w:val="FFFFFF" w:themeColor="background1"/>
                <w:sz w:val="20"/>
                <w:szCs w:val="20"/>
              </w:rPr>
              <w:t>EIL. NR.</w:t>
            </w:r>
          </w:p>
        </w:tc>
        <w:tc>
          <w:tcPr>
            <w:tcW w:w="6520" w:type="dxa"/>
            <w:tcBorders>
              <w:top w:val="single" w:sz="4" w:space="0" w:color="auto"/>
              <w:left w:val="single" w:sz="4" w:space="0" w:color="auto"/>
              <w:bottom w:val="single" w:sz="4" w:space="0" w:color="auto"/>
              <w:right w:val="single" w:sz="4" w:space="0" w:color="auto"/>
            </w:tcBorders>
            <w:shd w:val="clear" w:color="auto" w:fill="005063"/>
            <w:vAlign w:val="center"/>
            <w:hideMark/>
          </w:tcPr>
          <w:p w14:paraId="6A73FD04" w14:textId="77777777" w:rsidR="00650FA4" w:rsidRDefault="00650FA4" w:rsidP="00650FA4">
            <w:pPr>
              <w:jc w:val="center"/>
              <w:rPr>
                <w:rFonts w:ascii="Arial Narrow" w:hAnsi="Arial Narrow" w:cs="Calibri"/>
                <w:b/>
                <w:bCs/>
                <w:color w:val="FFFFFF" w:themeColor="background1"/>
                <w:sz w:val="22"/>
                <w:lang w:eastAsia="lt-LT"/>
              </w:rPr>
            </w:pPr>
            <w:r w:rsidRPr="00396FAE">
              <w:rPr>
                <w:rFonts w:ascii="Arial Narrow" w:hAnsi="Arial Narrow" w:cs="Calibri"/>
                <w:b/>
                <w:bCs/>
                <w:color w:val="FFFFFF" w:themeColor="background1"/>
                <w:sz w:val="22"/>
                <w:lang w:eastAsia="lt-LT"/>
              </w:rPr>
              <w:t>KVALIFIKACIJOS REIKALAVIMAI</w:t>
            </w:r>
          </w:p>
          <w:p w14:paraId="7B773FB8" w14:textId="72EC332B" w:rsidR="00650FA4" w:rsidRPr="004F733D" w:rsidRDefault="00650FA4" w:rsidP="00650FA4">
            <w:pPr>
              <w:jc w:val="center"/>
              <w:rPr>
                <w:rFonts w:ascii="Arial Narrow" w:hAnsi="Arial Narrow" w:cs="Calibri"/>
                <w:b/>
                <w:color w:val="FFFFFF" w:themeColor="background1"/>
                <w:sz w:val="20"/>
                <w:szCs w:val="20"/>
                <w:lang w:eastAsia="lt-LT"/>
              </w:rPr>
            </w:pPr>
            <w:r w:rsidRPr="00396FAE">
              <w:rPr>
                <w:rFonts w:ascii="Arial Narrow" w:hAnsi="Arial Narrow" w:cs="Calibri"/>
                <w:b/>
                <w:bCs/>
                <w:i/>
                <w:iCs/>
                <w:color w:val="FFFFFF" w:themeColor="background1"/>
                <w:sz w:val="22"/>
                <w:lang w:eastAsia="lt-LT"/>
              </w:rPr>
              <w:t>(jei reikalavimai netaikomi, įrašyti „netaikoma“)</w:t>
            </w:r>
          </w:p>
        </w:tc>
        <w:tc>
          <w:tcPr>
            <w:tcW w:w="4962" w:type="dxa"/>
            <w:tcBorders>
              <w:top w:val="single" w:sz="4" w:space="0" w:color="auto"/>
              <w:left w:val="single" w:sz="4" w:space="0" w:color="auto"/>
              <w:bottom w:val="single" w:sz="4" w:space="0" w:color="auto"/>
              <w:right w:val="single" w:sz="4" w:space="0" w:color="auto"/>
            </w:tcBorders>
            <w:shd w:val="clear" w:color="auto" w:fill="005063"/>
            <w:vAlign w:val="center"/>
            <w:hideMark/>
          </w:tcPr>
          <w:p w14:paraId="28D47183" w14:textId="77777777" w:rsidR="00650FA4" w:rsidRPr="004F733D" w:rsidRDefault="00650FA4" w:rsidP="00650FA4">
            <w:pPr>
              <w:jc w:val="center"/>
              <w:rPr>
                <w:rFonts w:ascii="Arial Narrow" w:hAnsi="Arial Narrow"/>
                <w:b/>
                <w:caps/>
                <w:color w:val="FFFFFF" w:themeColor="background1"/>
                <w:sz w:val="20"/>
                <w:szCs w:val="20"/>
              </w:rPr>
            </w:pPr>
            <w:r w:rsidRPr="004F733D">
              <w:rPr>
                <w:rFonts w:ascii="Arial Narrow" w:hAnsi="Arial Narrow" w:cs="Calibri"/>
                <w:b/>
                <w:color w:val="FFFFFF" w:themeColor="background1"/>
                <w:sz w:val="20"/>
                <w:szCs w:val="20"/>
                <w:lang w:eastAsia="lt-LT"/>
              </w:rPr>
              <w:t>PATVIRTINANČIŲ DOKUMENTŲ SĄRAŠAS</w:t>
            </w:r>
          </w:p>
        </w:tc>
        <w:tc>
          <w:tcPr>
            <w:tcW w:w="2693" w:type="dxa"/>
            <w:tcBorders>
              <w:top w:val="single" w:sz="4" w:space="0" w:color="auto"/>
              <w:left w:val="single" w:sz="4" w:space="0" w:color="auto"/>
              <w:bottom w:val="single" w:sz="4" w:space="0" w:color="auto"/>
              <w:right w:val="single" w:sz="4" w:space="0" w:color="auto"/>
            </w:tcBorders>
            <w:shd w:val="clear" w:color="auto" w:fill="005063"/>
            <w:vAlign w:val="center"/>
            <w:hideMark/>
          </w:tcPr>
          <w:p w14:paraId="791365F5" w14:textId="77777777" w:rsidR="00650FA4" w:rsidRPr="004F733D" w:rsidRDefault="00650FA4" w:rsidP="00650FA4">
            <w:pPr>
              <w:jc w:val="center"/>
              <w:rPr>
                <w:rFonts w:ascii="Arial Narrow" w:hAnsi="Arial Narrow"/>
                <w:b/>
                <w:caps/>
                <w:color w:val="FFFFFF" w:themeColor="background1"/>
                <w:sz w:val="20"/>
                <w:szCs w:val="20"/>
              </w:rPr>
            </w:pPr>
            <w:r w:rsidRPr="004F733D">
              <w:rPr>
                <w:rFonts w:ascii="Arial Narrow" w:hAnsi="Arial Narrow"/>
                <w:b/>
                <w:caps/>
                <w:color w:val="FFFFFF" w:themeColor="background1"/>
                <w:sz w:val="20"/>
                <w:szCs w:val="20"/>
              </w:rPr>
              <w:t>Pagrindas</w:t>
            </w:r>
          </w:p>
        </w:tc>
      </w:tr>
      <w:tr w:rsidR="00650FA4" w:rsidRPr="004F733D" w14:paraId="5D77A86A" w14:textId="77777777" w:rsidTr="00650FA4">
        <w:trPr>
          <w:trHeight w:val="567"/>
        </w:trPr>
        <w:tc>
          <w:tcPr>
            <w:tcW w:w="12328" w:type="dxa"/>
            <w:gridSpan w:val="3"/>
            <w:tcBorders>
              <w:top w:val="single" w:sz="4" w:space="0" w:color="auto"/>
              <w:left w:val="single" w:sz="4" w:space="0" w:color="auto"/>
              <w:bottom w:val="single" w:sz="4" w:space="0" w:color="auto"/>
              <w:right w:val="single" w:sz="4" w:space="0" w:color="auto"/>
            </w:tcBorders>
            <w:shd w:val="clear" w:color="auto" w:fill="B7BEC4"/>
            <w:vAlign w:val="center"/>
            <w:hideMark/>
          </w:tcPr>
          <w:p w14:paraId="1B6F9BB0" w14:textId="2BD2A822" w:rsidR="00650FA4" w:rsidRPr="004F733D" w:rsidRDefault="00650FA4" w:rsidP="00650FA4">
            <w:pPr>
              <w:jc w:val="left"/>
              <w:rPr>
                <w:rFonts w:ascii="Arial Narrow" w:hAnsi="Arial Narrow"/>
                <w:bCs/>
                <w:caps/>
                <w:sz w:val="20"/>
                <w:szCs w:val="20"/>
              </w:rPr>
            </w:pPr>
            <w:r w:rsidRPr="004F733D">
              <w:rPr>
                <w:rFonts w:ascii="Arial Narrow" w:hAnsi="Arial Narrow" w:cs="Calibri"/>
                <w:b/>
                <w:bCs/>
                <w:iCs/>
                <w:color w:val="FFFFFF"/>
                <w:sz w:val="20"/>
                <w:szCs w:val="20"/>
                <w:lang w:eastAsia="lt-LT"/>
              </w:rPr>
              <w:t xml:space="preserve">REIKALAVIMAI DĖL TEISĖS VERSTIS VEIKLA </w:t>
            </w:r>
          </w:p>
        </w:tc>
        <w:tc>
          <w:tcPr>
            <w:tcW w:w="2693" w:type="dxa"/>
            <w:tcBorders>
              <w:top w:val="single" w:sz="4" w:space="0" w:color="auto"/>
              <w:left w:val="single" w:sz="4" w:space="0" w:color="auto"/>
              <w:bottom w:val="single" w:sz="4" w:space="0" w:color="auto"/>
              <w:right w:val="single" w:sz="4" w:space="0" w:color="auto"/>
            </w:tcBorders>
            <w:shd w:val="clear" w:color="auto" w:fill="B7BEC4"/>
            <w:vAlign w:val="center"/>
          </w:tcPr>
          <w:p w14:paraId="23B4784B" w14:textId="77777777" w:rsidR="00650FA4" w:rsidRPr="004F733D" w:rsidRDefault="00650FA4" w:rsidP="00650FA4">
            <w:pPr>
              <w:jc w:val="left"/>
              <w:rPr>
                <w:rFonts w:ascii="Arial Narrow" w:hAnsi="Arial Narrow"/>
                <w:bCs/>
                <w:caps/>
                <w:sz w:val="20"/>
                <w:szCs w:val="20"/>
              </w:rPr>
            </w:pPr>
          </w:p>
        </w:tc>
      </w:tr>
      <w:tr w:rsidR="00650FA4" w:rsidRPr="004F733D" w14:paraId="0B9BEE0F" w14:textId="77777777" w:rsidTr="00650FA4">
        <w:trPr>
          <w:trHeight w:val="542"/>
        </w:trPr>
        <w:tc>
          <w:tcPr>
            <w:tcW w:w="846" w:type="dxa"/>
            <w:tcBorders>
              <w:top w:val="single" w:sz="4" w:space="0" w:color="auto"/>
              <w:left w:val="single" w:sz="4" w:space="0" w:color="auto"/>
              <w:bottom w:val="single" w:sz="4" w:space="0" w:color="auto"/>
              <w:right w:val="single" w:sz="4" w:space="0" w:color="auto"/>
            </w:tcBorders>
            <w:vAlign w:val="center"/>
            <w:hideMark/>
          </w:tcPr>
          <w:p w14:paraId="5284DC2C" w14:textId="77777777" w:rsidR="00650FA4" w:rsidRPr="004F733D" w:rsidRDefault="00650FA4" w:rsidP="00650FA4">
            <w:pPr>
              <w:jc w:val="center"/>
              <w:rPr>
                <w:rFonts w:ascii="Arial Narrow" w:hAnsi="Arial Narrow"/>
                <w:bCs/>
                <w:caps/>
                <w:sz w:val="20"/>
                <w:szCs w:val="20"/>
              </w:rPr>
            </w:pPr>
            <w:r w:rsidRPr="004F733D">
              <w:rPr>
                <w:rFonts w:ascii="Arial Narrow" w:hAnsi="Arial Narrow"/>
                <w:bCs/>
                <w:caps/>
                <w:sz w:val="20"/>
                <w:szCs w:val="20"/>
              </w:rPr>
              <w:t>1.</w:t>
            </w:r>
          </w:p>
        </w:tc>
        <w:tc>
          <w:tcPr>
            <w:tcW w:w="6520" w:type="dxa"/>
            <w:tcBorders>
              <w:top w:val="single" w:sz="4" w:space="0" w:color="auto"/>
              <w:left w:val="single" w:sz="4" w:space="0" w:color="auto"/>
              <w:bottom w:val="single" w:sz="4" w:space="0" w:color="auto"/>
              <w:right w:val="single" w:sz="4" w:space="0" w:color="auto"/>
            </w:tcBorders>
          </w:tcPr>
          <w:p w14:paraId="62491F55" w14:textId="04C40DA2" w:rsidR="00650FA4" w:rsidRPr="004F733D" w:rsidRDefault="00650FA4" w:rsidP="00650FA4">
            <w:pPr>
              <w:tabs>
                <w:tab w:val="left" w:pos="331"/>
              </w:tabs>
              <w:rPr>
                <w:rFonts w:ascii="Arial Narrow" w:hAnsi="Arial Narrow"/>
                <w:color w:val="000000"/>
                <w:sz w:val="20"/>
                <w:szCs w:val="20"/>
                <w:lang w:eastAsia="lt-LT"/>
              </w:rPr>
            </w:pPr>
            <w:r w:rsidRPr="004F733D">
              <w:rPr>
                <w:rFonts w:ascii="Arial Narrow" w:hAnsi="Arial Narrow"/>
                <w:color w:val="000000"/>
                <w:sz w:val="20"/>
                <w:szCs w:val="20"/>
                <w:lang w:eastAsia="lt-LT"/>
              </w:rPr>
              <w:t>Pirkimo sutartį turi vykdyti kvalifikuoti specialistai (1-a audito grupė), t. y. auditą turi atlikti ne mažesnė kaip dviejų asmenų grupė, kurios bent 1 (vienas) narys turi būti auditorius, turintis galiojantį auditoriaus pažymėjimą. Vienas iš auditą atliekančių asmenų, kuris turi galiojantį auditoriaus pažymėjimą, turi būti audito grupės vadovas, kuris yra atsakingas už audito atitiktį teisės aktų ir normatyvinių statybos techninių dokumentų reikalavimams.</w:t>
            </w:r>
          </w:p>
          <w:p w14:paraId="2ECEC4BF" w14:textId="77777777" w:rsidR="00650FA4" w:rsidRPr="004F733D" w:rsidRDefault="00650FA4" w:rsidP="00650FA4">
            <w:pPr>
              <w:tabs>
                <w:tab w:val="left" w:pos="331"/>
              </w:tabs>
              <w:rPr>
                <w:rFonts w:ascii="Arial Narrow" w:hAnsi="Arial Narrow"/>
                <w:color w:val="000000"/>
                <w:sz w:val="20"/>
                <w:szCs w:val="20"/>
                <w:lang w:eastAsia="lt-LT"/>
              </w:rPr>
            </w:pPr>
          </w:p>
          <w:p w14:paraId="065A7DA3" w14:textId="6035ABD3" w:rsidR="00650FA4" w:rsidRPr="004F733D" w:rsidRDefault="00650FA4" w:rsidP="00650FA4">
            <w:pPr>
              <w:tabs>
                <w:tab w:val="left" w:pos="331"/>
              </w:tabs>
              <w:rPr>
                <w:rFonts w:ascii="Arial Narrow" w:hAnsi="Arial Narrow"/>
                <w:color w:val="000000"/>
                <w:sz w:val="20"/>
                <w:szCs w:val="20"/>
                <w:lang w:eastAsia="lt-LT"/>
              </w:rPr>
            </w:pPr>
          </w:p>
        </w:tc>
        <w:tc>
          <w:tcPr>
            <w:tcW w:w="4962" w:type="dxa"/>
            <w:tcBorders>
              <w:top w:val="single" w:sz="4" w:space="0" w:color="auto"/>
              <w:left w:val="single" w:sz="4" w:space="0" w:color="auto"/>
              <w:bottom w:val="single" w:sz="4" w:space="0" w:color="auto"/>
              <w:right w:val="single" w:sz="4" w:space="0" w:color="auto"/>
            </w:tcBorders>
          </w:tcPr>
          <w:p w14:paraId="32167A4D" w14:textId="2DDBC1D4" w:rsidR="00650FA4" w:rsidRPr="004F733D" w:rsidRDefault="00650FA4" w:rsidP="00F14D49">
            <w:pPr>
              <w:pStyle w:val="Sraopastraipa"/>
              <w:numPr>
                <w:ilvl w:val="0"/>
                <w:numId w:val="9"/>
              </w:numPr>
              <w:tabs>
                <w:tab w:val="left" w:pos="331"/>
              </w:tabs>
              <w:ind w:left="320" w:hanging="283"/>
              <w:jc w:val="both"/>
              <w:rPr>
                <w:bCs/>
                <w:caps/>
                <w:szCs w:val="20"/>
              </w:rPr>
            </w:pPr>
            <w:r w:rsidRPr="004F733D">
              <w:rPr>
                <w:bCs/>
                <w:szCs w:val="20"/>
              </w:rPr>
              <w:t>Siūlomų specialistų sąrašas (</w:t>
            </w:r>
            <w:r w:rsidR="00BF09B1">
              <w:rPr>
                <w:color w:val="000000"/>
                <w:szCs w:val="20"/>
              </w:rPr>
              <w:t>Lentelė Nr. 3</w:t>
            </w:r>
            <w:r w:rsidRPr="004F733D">
              <w:rPr>
                <w:bCs/>
                <w:color w:val="000000"/>
                <w:szCs w:val="20"/>
              </w:rPr>
              <w:t>)</w:t>
            </w:r>
            <w:r w:rsidRPr="004F733D">
              <w:rPr>
                <w:bCs/>
                <w:szCs w:val="20"/>
              </w:rPr>
              <w:t>.</w:t>
            </w:r>
          </w:p>
          <w:p w14:paraId="76404722" w14:textId="77777777" w:rsidR="00650FA4" w:rsidRPr="004F733D" w:rsidRDefault="00650FA4" w:rsidP="00650FA4">
            <w:pPr>
              <w:pStyle w:val="Sraopastraipa"/>
              <w:tabs>
                <w:tab w:val="left" w:pos="331"/>
              </w:tabs>
              <w:ind w:left="320"/>
              <w:rPr>
                <w:bCs/>
                <w:caps/>
                <w:szCs w:val="20"/>
              </w:rPr>
            </w:pPr>
          </w:p>
          <w:p w14:paraId="7AE2B16C" w14:textId="7693DB4B" w:rsidR="00650FA4" w:rsidRPr="004F733D" w:rsidRDefault="00650FA4" w:rsidP="00F14D49">
            <w:pPr>
              <w:pStyle w:val="Sraopastraipa"/>
              <w:numPr>
                <w:ilvl w:val="0"/>
                <w:numId w:val="9"/>
              </w:numPr>
              <w:tabs>
                <w:tab w:val="left" w:pos="331"/>
              </w:tabs>
              <w:ind w:left="320" w:hanging="283"/>
              <w:jc w:val="both"/>
              <w:rPr>
                <w:bCs/>
                <w:szCs w:val="20"/>
              </w:rPr>
            </w:pPr>
            <w:r w:rsidRPr="004F733D">
              <w:rPr>
                <w:bCs/>
                <w:szCs w:val="20"/>
              </w:rPr>
              <w:t>Perkančioji organizacija, naudodamasi viešosios įstaigos Transporto kompetencijų  agentūros (https://www.tka.lt) auditorių duomenų registru, patikrins atitiktį nustatytam reikalavimui dėl galiojančio auditoriaus pažymėjimo.</w:t>
            </w:r>
          </w:p>
          <w:p w14:paraId="39586C02" w14:textId="77777777" w:rsidR="00650FA4" w:rsidRPr="004F733D" w:rsidRDefault="00650FA4" w:rsidP="00650FA4">
            <w:pPr>
              <w:pStyle w:val="Sraopastraipa"/>
              <w:rPr>
                <w:bCs/>
                <w:szCs w:val="20"/>
              </w:rPr>
            </w:pPr>
          </w:p>
          <w:p w14:paraId="65BD6475" w14:textId="77777777" w:rsidR="00650FA4" w:rsidRPr="004F733D" w:rsidRDefault="00650FA4" w:rsidP="00F14D49">
            <w:pPr>
              <w:pStyle w:val="Sraopastraipa"/>
              <w:numPr>
                <w:ilvl w:val="0"/>
                <w:numId w:val="9"/>
              </w:numPr>
              <w:tabs>
                <w:tab w:val="left" w:pos="331"/>
              </w:tabs>
              <w:ind w:left="320" w:hanging="283"/>
              <w:jc w:val="both"/>
              <w:rPr>
                <w:bCs/>
                <w:szCs w:val="20"/>
              </w:rPr>
            </w:pPr>
            <w:r w:rsidRPr="004F733D">
              <w:rPr>
                <w:bCs/>
                <w:szCs w:val="20"/>
              </w:rPr>
              <w:t>Jeigu siūlomo specialisto atitikties kvalifikacijos reikalavimams neįmanoma patikrinti nurodytame registre, pateikiama atitinkamo pažymėjimo kopija.</w:t>
            </w:r>
          </w:p>
          <w:p w14:paraId="53DC78B3" w14:textId="683A41BB" w:rsidR="00650FA4" w:rsidRPr="004F733D" w:rsidRDefault="00650FA4" w:rsidP="00650FA4">
            <w:pPr>
              <w:tabs>
                <w:tab w:val="left" w:pos="331"/>
              </w:tabs>
              <w:rPr>
                <w:rFonts w:ascii="Arial Narrow" w:hAnsi="Arial Narrow"/>
                <w:bCs/>
                <w:caps/>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EE625A9" w14:textId="77777777" w:rsidR="00650FA4" w:rsidRPr="004F733D" w:rsidRDefault="00650FA4" w:rsidP="00650FA4">
            <w:pPr>
              <w:rPr>
                <w:rFonts w:ascii="Arial Narrow" w:hAnsi="Arial Narrow"/>
                <w:sz w:val="20"/>
                <w:szCs w:val="20"/>
              </w:rPr>
            </w:pPr>
            <w:r w:rsidRPr="004F733D">
              <w:rPr>
                <w:rFonts w:ascii="Arial Narrow" w:hAnsi="Arial Narrow"/>
                <w:sz w:val="20"/>
                <w:szCs w:val="20"/>
              </w:rPr>
              <w:t xml:space="preserve">Kvalifikacijos reikalavimo pagrindas: </w:t>
            </w:r>
          </w:p>
          <w:p w14:paraId="4F631388" w14:textId="77777777" w:rsidR="00650FA4" w:rsidRPr="004F733D" w:rsidRDefault="00650FA4" w:rsidP="00650FA4">
            <w:pPr>
              <w:rPr>
                <w:rFonts w:ascii="Arial Narrow" w:hAnsi="Arial Narrow"/>
                <w:sz w:val="20"/>
                <w:szCs w:val="20"/>
              </w:rPr>
            </w:pPr>
          </w:p>
          <w:p w14:paraId="0E5F1E2C" w14:textId="77777777" w:rsidR="00650FA4" w:rsidRPr="004F733D" w:rsidRDefault="00650FA4" w:rsidP="00650FA4">
            <w:pPr>
              <w:rPr>
                <w:rFonts w:ascii="Arial Narrow" w:hAnsi="Arial Narrow"/>
                <w:sz w:val="20"/>
                <w:szCs w:val="20"/>
              </w:rPr>
            </w:pPr>
            <w:r w:rsidRPr="004F733D">
              <w:rPr>
                <w:rFonts w:ascii="Arial Narrow" w:hAnsi="Arial Narrow"/>
                <w:sz w:val="20"/>
                <w:szCs w:val="20"/>
              </w:rPr>
              <w:t>Kelių saugumo audito atlikimo reikalavimų ir tvarkos aprašo, patvirtinto LR susisiekimo ministro 2022-02-17 įsakymu Nr. 3-97, 4 punktas.</w:t>
            </w:r>
          </w:p>
          <w:p w14:paraId="309EBE7B" w14:textId="77777777" w:rsidR="00650FA4" w:rsidRPr="004F733D" w:rsidRDefault="00650FA4" w:rsidP="00650FA4">
            <w:pPr>
              <w:rPr>
                <w:rFonts w:ascii="Arial Narrow" w:hAnsi="Arial Narrow"/>
                <w:sz w:val="20"/>
                <w:szCs w:val="20"/>
              </w:rPr>
            </w:pPr>
          </w:p>
          <w:p w14:paraId="0D51865A" w14:textId="3CCCBC32" w:rsidR="00650FA4" w:rsidRPr="004F733D" w:rsidRDefault="00650FA4" w:rsidP="00650FA4">
            <w:pPr>
              <w:rPr>
                <w:rFonts w:ascii="Arial Narrow" w:hAnsi="Arial Narrow"/>
                <w:sz w:val="20"/>
                <w:szCs w:val="20"/>
              </w:rPr>
            </w:pPr>
            <w:r w:rsidRPr="004F733D">
              <w:rPr>
                <w:rFonts w:ascii="Arial Narrow" w:hAnsi="Arial Narrow"/>
                <w:sz w:val="20"/>
                <w:szCs w:val="20"/>
              </w:rPr>
              <w:t>LR saugaus eismo automobilių keliais įstatymo 11</w:t>
            </w:r>
            <w:r w:rsidRPr="004F733D">
              <w:rPr>
                <w:rFonts w:ascii="Arial Narrow" w:hAnsi="Arial Narrow"/>
                <w:sz w:val="20"/>
                <w:szCs w:val="20"/>
                <w:vertAlign w:val="superscript"/>
              </w:rPr>
              <w:t>2</w:t>
            </w:r>
            <w:r w:rsidRPr="004F733D">
              <w:rPr>
                <w:rFonts w:ascii="Arial Narrow" w:hAnsi="Arial Narrow"/>
                <w:sz w:val="20"/>
                <w:szCs w:val="20"/>
              </w:rPr>
              <w:t xml:space="preserve"> straipsnis.</w:t>
            </w:r>
          </w:p>
        </w:tc>
      </w:tr>
      <w:tr w:rsidR="00650FA4" w:rsidRPr="004F733D" w14:paraId="23277B04" w14:textId="77777777" w:rsidTr="00650FA4">
        <w:trPr>
          <w:trHeight w:val="542"/>
        </w:trPr>
        <w:tc>
          <w:tcPr>
            <w:tcW w:w="15021" w:type="dxa"/>
            <w:gridSpan w:val="4"/>
            <w:tcBorders>
              <w:top w:val="single" w:sz="4" w:space="0" w:color="auto"/>
              <w:left w:val="single" w:sz="4" w:space="0" w:color="auto"/>
              <w:bottom w:val="single" w:sz="4" w:space="0" w:color="auto"/>
              <w:right w:val="single" w:sz="4" w:space="0" w:color="auto"/>
            </w:tcBorders>
            <w:shd w:val="clear" w:color="auto" w:fill="B7BEC4"/>
            <w:vAlign w:val="center"/>
          </w:tcPr>
          <w:p w14:paraId="71B40B6E" w14:textId="18B1DBF0" w:rsidR="00650FA4" w:rsidRPr="004F733D" w:rsidRDefault="00650FA4" w:rsidP="00650FA4">
            <w:pPr>
              <w:rPr>
                <w:rFonts w:ascii="Arial Narrow" w:hAnsi="Arial Narrow"/>
                <w:sz w:val="20"/>
                <w:szCs w:val="20"/>
              </w:rPr>
            </w:pPr>
            <w:r w:rsidRPr="00396FAE">
              <w:rPr>
                <w:rFonts w:ascii="Arial Narrow" w:hAnsi="Arial Narrow" w:cs="Calibri"/>
                <w:b/>
                <w:bCs/>
                <w:iCs/>
                <w:color w:val="FFFFFF"/>
                <w:sz w:val="22"/>
                <w:lang w:eastAsia="lt-LT"/>
              </w:rPr>
              <w:t>FINANSINIO IR EKONOMINIO PAJĖGUMO REIKALAVIMAI</w:t>
            </w:r>
          </w:p>
        </w:tc>
      </w:tr>
      <w:tr w:rsidR="00650FA4" w:rsidRPr="004F733D" w14:paraId="1A70F5FA" w14:textId="77777777" w:rsidTr="00D339EC">
        <w:trPr>
          <w:trHeight w:val="542"/>
        </w:trPr>
        <w:tc>
          <w:tcPr>
            <w:tcW w:w="846" w:type="dxa"/>
            <w:tcBorders>
              <w:top w:val="single" w:sz="4" w:space="0" w:color="auto"/>
              <w:left w:val="single" w:sz="4" w:space="0" w:color="auto"/>
              <w:bottom w:val="single" w:sz="4" w:space="0" w:color="auto"/>
              <w:right w:val="single" w:sz="4" w:space="0" w:color="auto"/>
            </w:tcBorders>
            <w:vAlign w:val="center"/>
          </w:tcPr>
          <w:p w14:paraId="41EB6F6F" w14:textId="00BBB044" w:rsidR="00650FA4" w:rsidRPr="004F733D" w:rsidRDefault="00EF1C88" w:rsidP="00650FA4">
            <w:pPr>
              <w:jc w:val="center"/>
              <w:rPr>
                <w:rFonts w:ascii="Arial Narrow" w:hAnsi="Arial Narrow"/>
                <w:bCs/>
                <w:caps/>
                <w:sz w:val="20"/>
              </w:rPr>
            </w:pPr>
            <w:r>
              <w:rPr>
                <w:rFonts w:ascii="Arial Narrow" w:hAnsi="Arial Narrow"/>
                <w:bCs/>
                <w:caps/>
                <w:sz w:val="20"/>
              </w:rPr>
              <w:t>1</w:t>
            </w:r>
            <w:r w:rsidR="00650FA4">
              <w:rPr>
                <w:rFonts w:ascii="Arial Narrow" w:hAnsi="Arial Narrow"/>
                <w:bCs/>
                <w:caps/>
                <w:sz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001EC367" w14:textId="061EEBF6" w:rsidR="00650FA4" w:rsidRPr="004F733D" w:rsidRDefault="00650FA4" w:rsidP="00D339EC">
            <w:pPr>
              <w:tabs>
                <w:tab w:val="left" w:pos="331"/>
              </w:tabs>
              <w:jc w:val="left"/>
              <w:rPr>
                <w:rFonts w:ascii="Arial Narrow" w:hAnsi="Arial Narrow"/>
                <w:color w:val="000000"/>
                <w:sz w:val="20"/>
                <w:lang w:eastAsia="lt-LT"/>
              </w:rPr>
            </w:pPr>
            <w:r>
              <w:rPr>
                <w:rFonts w:ascii="Arial Narrow" w:hAnsi="Arial Narrow"/>
                <w:color w:val="000000"/>
                <w:sz w:val="20"/>
                <w:lang w:eastAsia="lt-LT"/>
              </w:rPr>
              <w:t>Netaikoma</w:t>
            </w:r>
          </w:p>
        </w:tc>
        <w:tc>
          <w:tcPr>
            <w:tcW w:w="4962" w:type="dxa"/>
            <w:tcBorders>
              <w:top w:val="single" w:sz="4" w:space="0" w:color="auto"/>
              <w:left w:val="single" w:sz="4" w:space="0" w:color="auto"/>
              <w:bottom w:val="single" w:sz="4" w:space="0" w:color="auto"/>
              <w:right w:val="single" w:sz="4" w:space="0" w:color="auto"/>
            </w:tcBorders>
            <w:vAlign w:val="center"/>
          </w:tcPr>
          <w:p w14:paraId="373B043C" w14:textId="6B4EF935" w:rsidR="00650FA4" w:rsidRPr="004F733D" w:rsidRDefault="00650FA4" w:rsidP="00D339EC">
            <w:pPr>
              <w:pStyle w:val="Sraopastraipa"/>
              <w:tabs>
                <w:tab w:val="left" w:pos="331"/>
              </w:tabs>
              <w:ind w:left="320"/>
              <w:rPr>
                <w:bCs/>
                <w:szCs w:val="20"/>
              </w:rPr>
            </w:pPr>
            <w:r>
              <w:rPr>
                <w:bCs/>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6E1E4604" w14:textId="0566B40A" w:rsidR="00650FA4" w:rsidRPr="004F733D" w:rsidRDefault="00650FA4" w:rsidP="00D339EC">
            <w:pPr>
              <w:jc w:val="left"/>
              <w:rPr>
                <w:rFonts w:ascii="Arial Narrow" w:hAnsi="Arial Narrow"/>
                <w:sz w:val="20"/>
              </w:rPr>
            </w:pPr>
            <w:r>
              <w:rPr>
                <w:rFonts w:ascii="Arial Narrow" w:hAnsi="Arial Narrow"/>
                <w:sz w:val="20"/>
              </w:rPr>
              <w:t>–</w:t>
            </w:r>
          </w:p>
        </w:tc>
      </w:tr>
      <w:tr w:rsidR="00650FA4" w:rsidRPr="004F733D" w14:paraId="5E79DBC6" w14:textId="77777777" w:rsidTr="00650FA4">
        <w:trPr>
          <w:trHeight w:val="567"/>
        </w:trPr>
        <w:tc>
          <w:tcPr>
            <w:tcW w:w="12328" w:type="dxa"/>
            <w:gridSpan w:val="3"/>
            <w:tcBorders>
              <w:top w:val="single" w:sz="4" w:space="0" w:color="auto"/>
              <w:left w:val="single" w:sz="4" w:space="0" w:color="auto"/>
              <w:bottom w:val="single" w:sz="4" w:space="0" w:color="auto"/>
              <w:right w:val="single" w:sz="4" w:space="0" w:color="auto"/>
            </w:tcBorders>
            <w:shd w:val="clear" w:color="auto" w:fill="B7BEC4"/>
            <w:vAlign w:val="center"/>
            <w:hideMark/>
          </w:tcPr>
          <w:p w14:paraId="78087FBD" w14:textId="77777777" w:rsidR="00650FA4" w:rsidRPr="004F733D" w:rsidRDefault="00650FA4" w:rsidP="00650FA4">
            <w:pPr>
              <w:jc w:val="left"/>
              <w:rPr>
                <w:rFonts w:ascii="Arial Narrow" w:hAnsi="Arial Narrow"/>
                <w:bCs/>
                <w:caps/>
                <w:sz w:val="20"/>
                <w:szCs w:val="20"/>
              </w:rPr>
            </w:pPr>
            <w:r w:rsidRPr="004F733D">
              <w:rPr>
                <w:rFonts w:ascii="Arial Narrow" w:hAnsi="Arial Narrow" w:cs="Calibri"/>
                <w:b/>
                <w:bCs/>
                <w:color w:val="FFFFFF"/>
                <w:sz w:val="20"/>
                <w:szCs w:val="20"/>
                <w:lang w:eastAsia="lt-LT"/>
              </w:rPr>
              <w:t>TECHNINIO IR PROFESINIO PAJĖGUMO REIKALAVIMAI</w:t>
            </w:r>
          </w:p>
        </w:tc>
        <w:tc>
          <w:tcPr>
            <w:tcW w:w="2693" w:type="dxa"/>
            <w:tcBorders>
              <w:top w:val="single" w:sz="4" w:space="0" w:color="auto"/>
              <w:left w:val="single" w:sz="4" w:space="0" w:color="auto"/>
              <w:bottom w:val="single" w:sz="4" w:space="0" w:color="auto"/>
              <w:right w:val="single" w:sz="4" w:space="0" w:color="auto"/>
            </w:tcBorders>
            <w:shd w:val="clear" w:color="auto" w:fill="B7BEC4"/>
            <w:vAlign w:val="center"/>
          </w:tcPr>
          <w:p w14:paraId="79196663" w14:textId="77777777" w:rsidR="00650FA4" w:rsidRPr="004F733D" w:rsidRDefault="00650FA4" w:rsidP="00650FA4">
            <w:pPr>
              <w:jc w:val="left"/>
              <w:rPr>
                <w:rFonts w:ascii="Arial Narrow" w:hAnsi="Arial Narrow"/>
                <w:bCs/>
                <w:caps/>
                <w:sz w:val="20"/>
                <w:szCs w:val="20"/>
              </w:rPr>
            </w:pPr>
          </w:p>
        </w:tc>
      </w:tr>
      <w:tr w:rsidR="00650FA4" w:rsidRPr="004F733D" w14:paraId="4B5AD43B" w14:textId="77777777" w:rsidTr="00650FA4">
        <w:trPr>
          <w:trHeight w:val="684"/>
        </w:trPr>
        <w:tc>
          <w:tcPr>
            <w:tcW w:w="846" w:type="dxa"/>
            <w:tcBorders>
              <w:top w:val="single" w:sz="4" w:space="0" w:color="auto"/>
              <w:left w:val="single" w:sz="4" w:space="0" w:color="auto"/>
              <w:bottom w:val="single" w:sz="4" w:space="0" w:color="auto"/>
              <w:right w:val="single" w:sz="4" w:space="0" w:color="auto"/>
            </w:tcBorders>
            <w:vAlign w:val="center"/>
            <w:hideMark/>
          </w:tcPr>
          <w:p w14:paraId="03F125DB" w14:textId="4ED42000" w:rsidR="00650FA4" w:rsidRPr="004F733D" w:rsidRDefault="00EF1C88" w:rsidP="00650FA4">
            <w:pPr>
              <w:jc w:val="center"/>
              <w:rPr>
                <w:rFonts w:ascii="Arial Narrow" w:hAnsi="Arial Narrow"/>
                <w:bCs/>
                <w:caps/>
                <w:sz w:val="20"/>
                <w:szCs w:val="20"/>
              </w:rPr>
            </w:pPr>
            <w:r>
              <w:rPr>
                <w:rFonts w:ascii="Arial Narrow" w:hAnsi="Arial Narrow"/>
                <w:bCs/>
                <w:caps/>
                <w:sz w:val="20"/>
                <w:szCs w:val="20"/>
              </w:rPr>
              <w:t>1</w:t>
            </w:r>
            <w:r w:rsidR="00650FA4" w:rsidRPr="004F733D">
              <w:rPr>
                <w:rFonts w:ascii="Arial Narrow" w:hAnsi="Arial Narrow"/>
                <w:bCs/>
                <w:caps/>
                <w:sz w:val="20"/>
                <w:szCs w:val="20"/>
              </w:rPr>
              <w:t>.</w:t>
            </w:r>
          </w:p>
        </w:tc>
        <w:tc>
          <w:tcPr>
            <w:tcW w:w="6520" w:type="dxa"/>
            <w:tcBorders>
              <w:top w:val="single" w:sz="4" w:space="0" w:color="auto"/>
              <w:left w:val="single" w:sz="4" w:space="0" w:color="auto"/>
              <w:bottom w:val="single" w:sz="4" w:space="0" w:color="auto"/>
              <w:right w:val="single" w:sz="4" w:space="0" w:color="auto"/>
            </w:tcBorders>
          </w:tcPr>
          <w:p w14:paraId="060D94B9" w14:textId="52818B3C" w:rsidR="00650FA4" w:rsidRPr="004F733D" w:rsidRDefault="00650FA4" w:rsidP="00650FA4">
            <w:pPr>
              <w:tabs>
                <w:tab w:val="left" w:pos="331"/>
              </w:tabs>
              <w:rPr>
                <w:rFonts w:ascii="Arial Narrow" w:hAnsi="Arial Narrow"/>
                <w:color w:val="000000"/>
                <w:sz w:val="20"/>
                <w:szCs w:val="20"/>
                <w:lang w:eastAsia="lt-LT"/>
              </w:rPr>
            </w:pPr>
            <w:r w:rsidRPr="004F733D">
              <w:rPr>
                <w:rFonts w:ascii="Arial Narrow" w:hAnsi="Arial Narrow"/>
                <w:color w:val="000000"/>
                <w:sz w:val="20"/>
                <w:szCs w:val="20"/>
                <w:lang w:eastAsia="lt-LT"/>
              </w:rPr>
              <w:t>Bent 1 (vienas) audito grupės narys, per pastaruosius 3 metus (iki pasiūlymų pateikimo termino pabaigos), turi būti įgijęs ne mažesnę kaip 12 mėnesių dalyvavimo atliekant kelių saugumo auditus patirtį, rengiant kelių saugumo audito ataskaitas ypatingųjų statinių grupei priskiriamuose statiniuose (užsienio lygiaverčiuose statiniuose):</w:t>
            </w:r>
          </w:p>
          <w:p w14:paraId="08D49BE1" w14:textId="76BB17A1" w:rsidR="00650FA4" w:rsidRPr="004F733D" w:rsidRDefault="00650FA4" w:rsidP="00650FA4">
            <w:pPr>
              <w:tabs>
                <w:tab w:val="left" w:pos="331"/>
              </w:tabs>
              <w:rPr>
                <w:rFonts w:ascii="Arial Narrow" w:hAnsi="Arial Narrow"/>
                <w:color w:val="000000"/>
                <w:sz w:val="20"/>
                <w:szCs w:val="20"/>
                <w:lang w:eastAsia="lt-LT"/>
              </w:rPr>
            </w:pPr>
            <w:r w:rsidRPr="004F733D">
              <w:rPr>
                <w:rFonts w:ascii="Arial Narrow" w:hAnsi="Arial Narrow"/>
                <w:color w:val="000000"/>
                <w:sz w:val="20"/>
                <w:szCs w:val="20"/>
                <w:lang w:eastAsia="lt-LT"/>
              </w:rPr>
              <w:t xml:space="preserve">– valstybinės reikšmės keliuose, priklausomai nuo jų suskirstymo pagal reikšmę (magistraliniai ar (ir) krašto, ar (ir) rajoniniai keliai) </w:t>
            </w:r>
          </w:p>
          <w:p w14:paraId="520F333B" w14:textId="3850A4F2" w:rsidR="00650FA4" w:rsidRPr="004F733D" w:rsidRDefault="00650FA4" w:rsidP="00650FA4">
            <w:pPr>
              <w:tabs>
                <w:tab w:val="left" w:pos="331"/>
              </w:tabs>
              <w:rPr>
                <w:rFonts w:ascii="Arial Narrow" w:hAnsi="Arial Narrow"/>
                <w:color w:val="000000"/>
                <w:sz w:val="20"/>
                <w:szCs w:val="20"/>
                <w:lang w:eastAsia="lt-LT"/>
              </w:rPr>
            </w:pPr>
            <w:r w:rsidRPr="004F733D">
              <w:rPr>
                <w:rFonts w:ascii="Arial Narrow" w:hAnsi="Arial Narrow"/>
                <w:color w:val="000000"/>
                <w:sz w:val="20"/>
                <w:szCs w:val="20"/>
                <w:lang w:eastAsia="lt-LT"/>
              </w:rPr>
              <w:t xml:space="preserve">arba (ir) </w:t>
            </w:r>
          </w:p>
          <w:p w14:paraId="7FF3B35F" w14:textId="797E06EA" w:rsidR="00650FA4" w:rsidRPr="004F733D" w:rsidRDefault="00650FA4" w:rsidP="00650FA4">
            <w:pPr>
              <w:spacing w:line="256" w:lineRule="auto"/>
              <w:rPr>
                <w:rFonts w:ascii="Arial Narrow" w:hAnsi="Arial Narrow"/>
                <w:color w:val="000000"/>
                <w:sz w:val="20"/>
                <w:szCs w:val="20"/>
                <w:lang w:eastAsia="lt-LT"/>
              </w:rPr>
            </w:pPr>
            <w:r w:rsidRPr="004F733D">
              <w:rPr>
                <w:rFonts w:ascii="Arial Narrow" w:hAnsi="Arial Narrow"/>
                <w:color w:val="000000"/>
                <w:sz w:val="20"/>
                <w:szCs w:val="20"/>
                <w:lang w:eastAsia="lt-LT"/>
              </w:rPr>
              <w:t>– miestų, miestelių gatvėse su indeksu A ar (ir) B, ar (ir) C (greito eismo ar (ir) pagrindinės, ar (ir) aptarnaujančios gatvės), ar (ir) D, ar (ir) jų sankryžose.</w:t>
            </w:r>
          </w:p>
          <w:p w14:paraId="6A7137E2" w14:textId="77777777" w:rsidR="00650FA4" w:rsidRPr="004F733D" w:rsidRDefault="00650FA4" w:rsidP="00650FA4">
            <w:pPr>
              <w:spacing w:line="256" w:lineRule="auto"/>
              <w:rPr>
                <w:rFonts w:ascii="Arial Narrow" w:hAnsi="Arial Narrow"/>
                <w:color w:val="000000"/>
                <w:sz w:val="20"/>
                <w:szCs w:val="20"/>
                <w:lang w:eastAsia="lt-LT"/>
              </w:rPr>
            </w:pPr>
          </w:p>
          <w:p w14:paraId="5E62CD20" w14:textId="50141B2C" w:rsidR="00650FA4" w:rsidRPr="004F733D" w:rsidRDefault="00650FA4" w:rsidP="00650FA4">
            <w:pPr>
              <w:spacing w:line="256" w:lineRule="auto"/>
              <w:rPr>
                <w:rFonts w:ascii="Arial Narrow" w:hAnsi="Arial Narrow" w:cs="Arial"/>
                <w:b/>
                <w:caps/>
                <w:sz w:val="20"/>
                <w:szCs w:val="20"/>
              </w:rPr>
            </w:pPr>
            <w:r w:rsidRPr="004F733D">
              <w:rPr>
                <w:rFonts w:ascii="Arial Narrow" w:hAnsi="Arial Narrow" w:cs="Arial"/>
                <w:b/>
                <w:sz w:val="20"/>
                <w:szCs w:val="20"/>
              </w:rPr>
              <w:t>Pastabos:</w:t>
            </w:r>
          </w:p>
          <w:p w14:paraId="0F642775" w14:textId="2D46B238" w:rsidR="00650FA4" w:rsidRPr="004F733D" w:rsidRDefault="00650FA4" w:rsidP="00650FA4">
            <w:pPr>
              <w:spacing w:line="256" w:lineRule="auto"/>
              <w:rPr>
                <w:rFonts w:ascii="Arial Narrow" w:hAnsi="Arial Narrow" w:cs="Arial"/>
                <w:bCs/>
                <w:caps/>
                <w:sz w:val="20"/>
                <w:szCs w:val="20"/>
              </w:rPr>
            </w:pPr>
            <w:r w:rsidRPr="004F733D">
              <w:rPr>
                <w:rFonts w:ascii="Arial Narrow" w:hAnsi="Arial Narrow" w:cs="Arial"/>
                <w:bCs/>
                <w:caps/>
                <w:sz w:val="20"/>
                <w:szCs w:val="20"/>
              </w:rPr>
              <w:t>1. A</w:t>
            </w:r>
            <w:r w:rsidRPr="004F733D">
              <w:rPr>
                <w:rFonts w:ascii="Arial Narrow" w:hAnsi="Arial Narrow" w:cs="Arial"/>
                <w:bCs/>
                <w:sz w:val="20"/>
                <w:szCs w:val="20"/>
              </w:rPr>
              <w:t>udito grupės nario pastarųjų 3 metų (iki pasiūlymų pateikimo termino pabaigos) 12 mėnesių patirtis bus skaičiuojama pagal nurodytų kelių saugumo auditų, kuriuose dalyvavo,  ataskaitų datas (nuo sąraše nurodytos pirmosios ataskaitos datos iki paskutinės ataskaitos datos). Audito ataskaitos turi būti su siūlomo specialisto parašu.</w:t>
            </w:r>
          </w:p>
          <w:p w14:paraId="704361D3" w14:textId="48BACC6E" w:rsidR="00650FA4" w:rsidRPr="004F733D" w:rsidRDefault="00650FA4" w:rsidP="00650FA4">
            <w:pPr>
              <w:spacing w:line="256" w:lineRule="auto"/>
              <w:rPr>
                <w:rFonts w:ascii="Arial Narrow" w:hAnsi="Arial Narrow" w:cs="Arial"/>
                <w:bCs/>
                <w:caps/>
                <w:sz w:val="20"/>
                <w:szCs w:val="20"/>
              </w:rPr>
            </w:pPr>
            <w:r w:rsidRPr="004F733D">
              <w:rPr>
                <w:rFonts w:ascii="Arial Narrow" w:hAnsi="Arial Narrow" w:cs="Arial"/>
                <w:bCs/>
                <w:sz w:val="20"/>
                <w:szCs w:val="20"/>
              </w:rPr>
              <w:lastRenderedPageBreak/>
              <w:t>2. Kelių saugumo auditorius negali dalyvauti audituojamo kelių infrastruktūros projekto rengimo ar įgyvendinimo darbuose, turi vengti viešųjų ir privačių interesų konflikto, kad būtų užtikrintas nešališkumas ir objektyvumas.</w:t>
            </w:r>
          </w:p>
        </w:tc>
        <w:tc>
          <w:tcPr>
            <w:tcW w:w="4962" w:type="dxa"/>
            <w:tcBorders>
              <w:top w:val="single" w:sz="4" w:space="0" w:color="auto"/>
              <w:left w:val="single" w:sz="4" w:space="0" w:color="auto"/>
              <w:bottom w:val="single" w:sz="4" w:space="0" w:color="auto"/>
              <w:right w:val="single" w:sz="4" w:space="0" w:color="auto"/>
            </w:tcBorders>
          </w:tcPr>
          <w:p w14:paraId="458B0D06" w14:textId="4EF40C42" w:rsidR="00650FA4" w:rsidRPr="004F733D" w:rsidRDefault="00650FA4" w:rsidP="00F14D49">
            <w:pPr>
              <w:pStyle w:val="Sraopastraipa"/>
              <w:numPr>
                <w:ilvl w:val="0"/>
                <w:numId w:val="11"/>
              </w:numPr>
              <w:tabs>
                <w:tab w:val="left" w:pos="331"/>
              </w:tabs>
              <w:ind w:left="320" w:hanging="320"/>
              <w:jc w:val="both"/>
              <w:rPr>
                <w:bCs/>
                <w:szCs w:val="20"/>
              </w:rPr>
            </w:pPr>
            <w:r w:rsidRPr="004F733D">
              <w:rPr>
                <w:bCs/>
                <w:szCs w:val="20"/>
              </w:rPr>
              <w:lastRenderedPageBreak/>
              <w:t>Pastarųjų 3 metų (iki pasiūlymų pateikimo termino pabaigos) 12 mėnesių kelių saugumo auditų, kuriuose dalyvavo, sąrašas  (</w:t>
            </w:r>
            <w:r w:rsidR="00BD02A2">
              <w:rPr>
                <w:bCs/>
                <w:szCs w:val="20"/>
              </w:rPr>
              <w:t>Lentelė Nr. 4</w:t>
            </w:r>
            <w:r w:rsidRPr="004F733D">
              <w:rPr>
                <w:bCs/>
                <w:szCs w:val="20"/>
              </w:rPr>
              <w:t>) ir nurodytų sąraše atliktų kelių saugumo auditų ataskaitų kopijos. Ataskaitos turi būti su siūlomo specialisto parašu.</w:t>
            </w:r>
          </w:p>
          <w:p w14:paraId="0701B839" w14:textId="77777777" w:rsidR="00650FA4" w:rsidRPr="004F733D" w:rsidRDefault="00650FA4" w:rsidP="00650FA4">
            <w:pPr>
              <w:pStyle w:val="Sraopastraipa"/>
              <w:tabs>
                <w:tab w:val="left" w:pos="331"/>
              </w:tabs>
              <w:ind w:left="320"/>
              <w:rPr>
                <w:bCs/>
                <w:szCs w:val="20"/>
              </w:rPr>
            </w:pPr>
          </w:p>
          <w:p w14:paraId="027F6E3C" w14:textId="55D27DA6" w:rsidR="00650FA4" w:rsidRPr="004F733D" w:rsidRDefault="00650FA4" w:rsidP="00F14D49">
            <w:pPr>
              <w:pStyle w:val="Sraopastraipa"/>
              <w:numPr>
                <w:ilvl w:val="0"/>
                <w:numId w:val="11"/>
              </w:numPr>
              <w:tabs>
                <w:tab w:val="left" w:pos="331"/>
              </w:tabs>
              <w:ind w:left="320" w:hanging="320"/>
              <w:jc w:val="both"/>
              <w:rPr>
                <w:bCs/>
                <w:szCs w:val="20"/>
              </w:rPr>
            </w:pPr>
            <w:r w:rsidRPr="004F733D">
              <w:rPr>
                <w:bCs/>
                <w:szCs w:val="20"/>
              </w:rPr>
              <w:t>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14:paraId="3F6FCA3A" w14:textId="77777777" w:rsidR="00650FA4" w:rsidRPr="004F733D" w:rsidRDefault="00650FA4" w:rsidP="00650FA4">
            <w:pPr>
              <w:pStyle w:val="Sraopastraipa"/>
              <w:rPr>
                <w:bCs/>
                <w:szCs w:val="20"/>
              </w:rPr>
            </w:pPr>
          </w:p>
          <w:p w14:paraId="6DB4991C" w14:textId="3DB04B5F" w:rsidR="00650FA4" w:rsidRPr="004F733D" w:rsidRDefault="00650FA4" w:rsidP="00F14D49">
            <w:pPr>
              <w:pStyle w:val="Sraopastraipa"/>
              <w:numPr>
                <w:ilvl w:val="0"/>
                <w:numId w:val="11"/>
              </w:numPr>
              <w:tabs>
                <w:tab w:val="left" w:pos="331"/>
              </w:tabs>
              <w:ind w:left="320" w:hanging="320"/>
              <w:jc w:val="both"/>
              <w:rPr>
                <w:bCs/>
                <w:szCs w:val="20"/>
              </w:rPr>
            </w:pPr>
            <w:r w:rsidRPr="004F733D">
              <w:rPr>
                <w:bCs/>
                <w:szCs w:val="20"/>
              </w:rPr>
              <w:t>Jeigu pasitelkiamas specialistas (</w:t>
            </w:r>
            <w:proofErr w:type="spellStart"/>
            <w:r w:rsidRPr="004F733D">
              <w:rPr>
                <w:bCs/>
                <w:szCs w:val="20"/>
              </w:rPr>
              <w:t>kvazisubtiekėjas</w:t>
            </w:r>
            <w:proofErr w:type="spellEnd"/>
            <w:r w:rsidRPr="004F733D">
              <w:rPr>
                <w:bCs/>
                <w:szCs w:val="20"/>
              </w:rPr>
              <w:t xml:space="preserve">) nėra tiekėjo ar ūkio  subjekto, kurio pajėgumais tiekėjas remiasi, </w:t>
            </w:r>
            <w:r w:rsidRPr="004F733D">
              <w:rPr>
                <w:bCs/>
                <w:szCs w:val="20"/>
              </w:rPr>
              <w:lastRenderedPageBreak/>
              <w:t>darbuotojas, tačiau jį ketinama įdarbinti, jei pasiūlymas bus pripažintas laimėjusiu, turi būti pateikti dokumentai, įrodantys, kad laimėjimo atveju jis bus įdarbintas.</w:t>
            </w:r>
          </w:p>
          <w:p w14:paraId="03FC9E75" w14:textId="77777777" w:rsidR="00650FA4" w:rsidRPr="004F733D" w:rsidRDefault="00650FA4" w:rsidP="00650FA4">
            <w:pPr>
              <w:pStyle w:val="Sraopastraipa"/>
              <w:rPr>
                <w:bCs/>
                <w:szCs w:val="20"/>
              </w:rPr>
            </w:pPr>
          </w:p>
          <w:p w14:paraId="57C3CA2A" w14:textId="77777777" w:rsidR="00650FA4" w:rsidRPr="004F733D" w:rsidRDefault="00650FA4" w:rsidP="00F14D49">
            <w:pPr>
              <w:pStyle w:val="Sraopastraipa"/>
              <w:numPr>
                <w:ilvl w:val="0"/>
                <w:numId w:val="11"/>
              </w:numPr>
              <w:tabs>
                <w:tab w:val="left" w:pos="331"/>
              </w:tabs>
              <w:ind w:left="320" w:hanging="320"/>
              <w:jc w:val="both"/>
              <w:rPr>
                <w:bCs/>
                <w:szCs w:val="20"/>
              </w:rPr>
            </w:pPr>
            <w:r w:rsidRPr="004F733D">
              <w:rPr>
                <w:bCs/>
                <w:szCs w:val="20"/>
              </w:rPr>
              <w:t xml:space="preserve">Pateikti statinio savininko išduotas pažymas ar kitą dokumentą apie gatvių priskyrimą šioms kategorijoms: miestų, miestelių gatvėse su indeksu atitinkamai A ar (ir) B, ar (ir) C (greito eismo ar (ir) pagrindinės, ar (ir) aptarnaujančios gatvės), ar (ir) D, ar (ir) jų sankryžose (užsienio lygiaverčiuose statiniuose, jei kelių saugumo audito ataskaitose nebūtų nurodyta kelių/gatvių kategorija (indeksas). </w:t>
            </w:r>
          </w:p>
          <w:p w14:paraId="0D2F7FE8" w14:textId="77777777" w:rsidR="00650FA4" w:rsidRPr="004F733D" w:rsidRDefault="00650FA4" w:rsidP="00650FA4">
            <w:pPr>
              <w:pStyle w:val="Sraopastraipa"/>
              <w:rPr>
                <w:bCs/>
                <w:szCs w:val="20"/>
              </w:rPr>
            </w:pPr>
          </w:p>
          <w:p w14:paraId="583071F1" w14:textId="739FE291" w:rsidR="00650FA4" w:rsidRPr="004F733D" w:rsidRDefault="00650FA4" w:rsidP="00F14D49">
            <w:pPr>
              <w:pStyle w:val="Sraopastraipa"/>
              <w:numPr>
                <w:ilvl w:val="0"/>
                <w:numId w:val="11"/>
              </w:numPr>
              <w:tabs>
                <w:tab w:val="left" w:pos="331"/>
              </w:tabs>
              <w:ind w:left="320" w:hanging="320"/>
              <w:jc w:val="both"/>
              <w:rPr>
                <w:bCs/>
                <w:szCs w:val="20"/>
              </w:rPr>
            </w:pPr>
            <w:r w:rsidRPr="004F733D">
              <w:rPr>
                <w:bCs/>
                <w:szCs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atestatas/pažymėjimas, įrodantis, kad jis paskutinę pasiūlymų pateikimo termino dieną buvo atitinkamai kvalifikuotas, t. y. įgijęs kelių saugumo auditoriaus profesinę kvalifikaciją), tuomet teisės pripažinimo pažyma privalo būti pateikta per 10 darbo dienų nuo sutarties pasirašymo. To nepadarius, bus laikoma, kad tiekėjas atsisakė sudaryti sutartį.</w:t>
            </w:r>
          </w:p>
          <w:p w14:paraId="5590048A" w14:textId="77777777" w:rsidR="00650FA4" w:rsidRPr="004F733D" w:rsidRDefault="00650FA4" w:rsidP="00650FA4">
            <w:pPr>
              <w:tabs>
                <w:tab w:val="left" w:pos="331"/>
              </w:tabs>
              <w:rPr>
                <w:rFonts w:ascii="Arial Narrow" w:hAnsi="Arial Narrow"/>
                <w:bCs/>
                <w:caps/>
                <w:sz w:val="20"/>
                <w:szCs w:val="20"/>
              </w:rPr>
            </w:pPr>
          </w:p>
          <w:p w14:paraId="7EEE738E" w14:textId="110B01BF" w:rsidR="00650FA4" w:rsidRPr="004F733D" w:rsidRDefault="00650FA4" w:rsidP="00650FA4">
            <w:pPr>
              <w:tabs>
                <w:tab w:val="left" w:pos="331"/>
              </w:tabs>
              <w:rPr>
                <w:rFonts w:ascii="Arial Narrow" w:hAnsi="Arial Narrow"/>
                <w:b/>
                <w:i/>
                <w:iCs/>
                <w:caps/>
                <w:sz w:val="20"/>
                <w:szCs w:val="20"/>
              </w:rPr>
            </w:pPr>
            <w:r w:rsidRPr="004F733D">
              <w:rPr>
                <w:rFonts w:ascii="Arial Narrow" w:hAnsi="Arial Narrow"/>
                <w:bCs/>
                <w:i/>
                <w:iCs/>
                <w:sz w:val="20"/>
                <w:szCs w:val="20"/>
              </w:rPr>
              <w:t>Viešųjų pirkimų komisija, vertindama tiekėjų pateiktą informaciją apie nurodytas kelių saugumo audito ataskaitas, gali paprašyti kitų dokumentų, įrodančių pateiktą informaciją.</w:t>
            </w:r>
          </w:p>
        </w:tc>
        <w:tc>
          <w:tcPr>
            <w:tcW w:w="2693" w:type="dxa"/>
            <w:tcBorders>
              <w:top w:val="single" w:sz="4" w:space="0" w:color="auto"/>
              <w:left w:val="single" w:sz="4" w:space="0" w:color="auto"/>
              <w:bottom w:val="single" w:sz="4" w:space="0" w:color="auto"/>
              <w:right w:val="single" w:sz="4" w:space="0" w:color="auto"/>
            </w:tcBorders>
            <w:vAlign w:val="center"/>
          </w:tcPr>
          <w:p w14:paraId="58D47DE6" w14:textId="77777777" w:rsidR="00650FA4" w:rsidRPr="004F733D" w:rsidRDefault="00650FA4" w:rsidP="00650FA4">
            <w:pPr>
              <w:rPr>
                <w:rFonts w:ascii="Arial Narrow" w:hAnsi="Arial Narrow"/>
                <w:sz w:val="20"/>
                <w:szCs w:val="20"/>
              </w:rPr>
            </w:pPr>
            <w:r w:rsidRPr="004F733D">
              <w:rPr>
                <w:rFonts w:ascii="Arial Narrow" w:hAnsi="Arial Narrow"/>
                <w:sz w:val="20"/>
                <w:szCs w:val="20"/>
              </w:rPr>
              <w:lastRenderedPageBreak/>
              <w:t>Valstybinės reikšmės kelių sąrašas pagal:</w:t>
            </w:r>
          </w:p>
          <w:p w14:paraId="1529B987" w14:textId="7FA4300E" w:rsidR="00650FA4" w:rsidRPr="004F733D" w:rsidRDefault="00650FA4" w:rsidP="00650FA4">
            <w:pPr>
              <w:rPr>
                <w:rFonts w:ascii="Arial Narrow" w:hAnsi="Arial Narrow"/>
                <w:sz w:val="20"/>
                <w:szCs w:val="20"/>
              </w:rPr>
            </w:pPr>
            <w:r w:rsidRPr="004F733D">
              <w:rPr>
                <w:rFonts w:ascii="Arial Narrow" w:hAnsi="Arial Narrow"/>
                <w:sz w:val="20"/>
                <w:szCs w:val="20"/>
              </w:rPr>
              <w:t xml:space="preserve"> </w:t>
            </w:r>
          </w:p>
          <w:p w14:paraId="52CC4309" w14:textId="0134932E" w:rsidR="00650FA4" w:rsidRPr="004F733D" w:rsidRDefault="00650FA4" w:rsidP="00650FA4">
            <w:pPr>
              <w:rPr>
                <w:rFonts w:ascii="Arial Narrow" w:hAnsi="Arial Narrow"/>
                <w:sz w:val="20"/>
                <w:szCs w:val="20"/>
              </w:rPr>
            </w:pPr>
            <w:r w:rsidRPr="004F733D">
              <w:rPr>
                <w:rFonts w:ascii="Arial Narrow" w:hAnsi="Arial Narrow"/>
                <w:sz w:val="20"/>
                <w:szCs w:val="20"/>
              </w:rPr>
              <w:t>Lietuvos Respublikos Vyriausybės 1999 m. birželio 9 d. nutarimas Nr.757 „Dėl valstybinės reikšmės automobilių kelių sąrašo patvirtinimo“.</w:t>
            </w:r>
          </w:p>
          <w:p w14:paraId="6EC3BCFA" w14:textId="77777777" w:rsidR="00650FA4" w:rsidRPr="004F733D" w:rsidRDefault="00650FA4" w:rsidP="00650FA4">
            <w:pPr>
              <w:rPr>
                <w:rFonts w:ascii="Arial Narrow" w:hAnsi="Arial Narrow"/>
                <w:sz w:val="20"/>
                <w:szCs w:val="20"/>
              </w:rPr>
            </w:pPr>
          </w:p>
          <w:p w14:paraId="36CF9734" w14:textId="77777777" w:rsidR="00650FA4" w:rsidRPr="004F733D" w:rsidRDefault="00650FA4" w:rsidP="00650FA4">
            <w:pPr>
              <w:rPr>
                <w:rFonts w:ascii="Arial Narrow" w:hAnsi="Arial Narrow"/>
                <w:sz w:val="20"/>
                <w:szCs w:val="20"/>
              </w:rPr>
            </w:pPr>
          </w:p>
          <w:p w14:paraId="4AD101DA" w14:textId="0A90C10D" w:rsidR="00650FA4" w:rsidRPr="004F733D" w:rsidRDefault="00650FA4" w:rsidP="00650FA4">
            <w:pPr>
              <w:rPr>
                <w:rFonts w:ascii="Arial Narrow" w:hAnsi="Arial Narrow" w:cs="Arial"/>
                <w:bCs/>
                <w:sz w:val="20"/>
                <w:szCs w:val="20"/>
              </w:rPr>
            </w:pPr>
            <w:r w:rsidRPr="004F733D">
              <w:rPr>
                <w:rFonts w:ascii="Arial Narrow" w:hAnsi="Arial Narrow" w:cs="Arial"/>
                <w:bCs/>
                <w:sz w:val="20"/>
                <w:szCs w:val="20"/>
              </w:rPr>
              <w:t>Dėl apriboto dalyvavimo audituojamo kelių infrastruktūros projekto rengimo ar įgyvendinimo darbuose:</w:t>
            </w:r>
          </w:p>
          <w:p w14:paraId="44F5CFC9" w14:textId="77777777" w:rsidR="00650FA4" w:rsidRPr="004F733D" w:rsidRDefault="00650FA4" w:rsidP="00650FA4">
            <w:pPr>
              <w:rPr>
                <w:rFonts w:ascii="Arial Narrow" w:hAnsi="Arial Narrow" w:cs="Arial"/>
                <w:bCs/>
                <w:sz w:val="20"/>
                <w:szCs w:val="20"/>
              </w:rPr>
            </w:pPr>
          </w:p>
          <w:p w14:paraId="6B3B5F48" w14:textId="45088E62" w:rsidR="00650FA4" w:rsidRPr="004F733D" w:rsidRDefault="00650FA4" w:rsidP="00650FA4">
            <w:pPr>
              <w:rPr>
                <w:rFonts w:ascii="Arial Narrow" w:hAnsi="Arial Narrow" w:cs="Arial"/>
                <w:bCs/>
                <w:sz w:val="20"/>
                <w:szCs w:val="20"/>
              </w:rPr>
            </w:pPr>
            <w:r w:rsidRPr="004F733D">
              <w:rPr>
                <w:rFonts w:ascii="Arial Narrow" w:hAnsi="Arial Narrow" w:cs="Arial"/>
                <w:bCs/>
                <w:sz w:val="20"/>
                <w:szCs w:val="20"/>
              </w:rPr>
              <w:lastRenderedPageBreak/>
              <w:t>LR saugaus eismo automobilių keliais įstatymo 11</w:t>
            </w:r>
            <w:r w:rsidRPr="004F733D">
              <w:rPr>
                <w:rFonts w:ascii="Arial Narrow" w:hAnsi="Arial Narrow" w:cs="Arial"/>
                <w:bCs/>
                <w:sz w:val="20"/>
                <w:szCs w:val="20"/>
                <w:vertAlign w:val="superscript"/>
              </w:rPr>
              <w:t>2</w:t>
            </w:r>
            <w:r w:rsidRPr="004F733D">
              <w:rPr>
                <w:rFonts w:ascii="Arial Narrow" w:hAnsi="Arial Narrow" w:cs="Arial"/>
                <w:bCs/>
                <w:sz w:val="20"/>
                <w:szCs w:val="20"/>
              </w:rPr>
              <w:t xml:space="preserve"> straipsnis.</w:t>
            </w:r>
          </w:p>
          <w:p w14:paraId="5018329F" w14:textId="7A51FB96" w:rsidR="00650FA4" w:rsidRPr="004F733D" w:rsidRDefault="00650FA4" w:rsidP="00650FA4">
            <w:pPr>
              <w:rPr>
                <w:rFonts w:ascii="Arial Narrow" w:hAnsi="Arial Narrow"/>
                <w:sz w:val="20"/>
                <w:szCs w:val="20"/>
              </w:rPr>
            </w:pPr>
          </w:p>
        </w:tc>
      </w:tr>
      <w:bookmarkEnd w:id="0"/>
    </w:tbl>
    <w:p w14:paraId="5610A47C" w14:textId="77777777" w:rsidR="00A15F1B" w:rsidRDefault="00A15F1B" w:rsidP="007E1EA8">
      <w:pPr>
        <w:jc w:val="left"/>
        <w:rPr>
          <w:rFonts w:ascii="Arial Narrow" w:hAnsi="Arial Narrow"/>
          <w:sz w:val="20"/>
        </w:rPr>
      </w:pPr>
    </w:p>
    <w:p w14:paraId="36CCBEF3" w14:textId="77777777" w:rsidR="00F14D49" w:rsidRPr="00F14D49" w:rsidRDefault="00F14D49" w:rsidP="00F14D49">
      <w:pPr>
        <w:jc w:val="left"/>
        <w:rPr>
          <w:rFonts w:ascii="Arial Narrow" w:hAnsi="Arial Narrow" w:cs="Calibri"/>
          <w:b/>
          <w:bCs/>
          <w:sz w:val="20"/>
          <w:lang w:eastAsia="lt-LT"/>
        </w:rPr>
      </w:pPr>
      <w:r w:rsidRPr="00F14D49">
        <w:rPr>
          <w:rFonts w:ascii="Arial Narrow" w:hAnsi="Arial Narrow" w:cs="Calibri"/>
          <w:b/>
          <w:bCs/>
          <w:sz w:val="20"/>
          <w:lang w:eastAsia="lt-LT"/>
        </w:rPr>
        <w:t>Lentelė Nr. 2 Kokybės vadybos sistemos ir aplinkos apsaugos vadybos sistemos standartų reikalavimai (pagal VPĮ 48 str.)</w:t>
      </w:r>
    </w:p>
    <w:tbl>
      <w:tblPr>
        <w:tblStyle w:val="Lentelstinklelis"/>
        <w:tblW w:w="15026" w:type="dxa"/>
        <w:tblInd w:w="-5" w:type="dxa"/>
        <w:tblLook w:val="04A0" w:firstRow="1" w:lastRow="0" w:firstColumn="1" w:lastColumn="0" w:noHBand="0" w:noVBand="1"/>
      </w:tblPr>
      <w:tblGrid>
        <w:gridCol w:w="851"/>
        <w:gridCol w:w="6520"/>
        <w:gridCol w:w="7655"/>
      </w:tblGrid>
      <w:tr w:rsidR="00C31B2C" w:rsidRPr="0071383D" w14:paraId="556014D6" w14:textId="1CB2CBFA" w:rsidTr="00313082">
        <w:trPr>
          <w:trHeight w:val="567"/>
        </w:trPr>
        <w:tc>
          <w:tcPr>
            <w:tcW w:w="851" w:type="dxa"/>
            <w:shd w:val="clear" w:color="auto" w:fill="005063"/>
            <w:vAlign w:val="center"/>
          </w:tcPr>
          <w:p w14:paraId="7C3C7A7D" w14:textId="77777777" w:rsidR="00C31B2C" w:rsidRPr="0071383D" w:rsidRDefault="00C31B2C" w:rsidP="00E827C6">
            <w:pPr>
              <w:jc w:val="center"/>
              <w:rPr>
                <w:rFonts w:ascii="Arial Narrow" w:hAnsi="Arial Narrow"/>
                <w:b/>
                <w:caps/>
                <w:color w:val="FFFFFF" w:themeColor="background1"/>
                <w:sz w:val="20"/>
                <w:szCs w:val="20"/>
              </w:rPr>
            </w:pPr>
            <w:r w:rsidRPr="0071383D">
              <w:rPr>
                <w:rFonts w:ascii="Arial Narrow" w:hAnsi="Arial Narrow"/>
                <w:b/>
                <w:color w:val="FFFFFF" w:themeColor="background1"/>
                <w:sz w:val="20"/>
                <w:szCs w:val="20"/>
              </w:rPr>
              <w:t>EIL. NR.</w:t>
            </w:r>
          </w:p>
        </w:tc>
        <w:tc>
          <w:tcPr>
            <w:tcW w:w="14175" w:type="dxa"/>
            <w:gridSpan w:val="2"/>
            <w:shd w:val="clear" w:color="auto" w:fill="005063"/>
            <w:vAlign w:val="center"/>
          </w:tcPr>
          <w:p w14:paraId="24B906F1" w14:textId="77777777" w:rsidR="00C31B2C" w:rsidRPr="0071383D" w:rsidRDefault="00C31B2C" w:rsidP="00E827C6">
            <w:pPr>
              <w:jc w:val="center"/>
              <w:rPr>
                <w:rFonts w:ascii="Arial Narrow" w:hAnsi="Arial Narrow" w:cs="Calibri"/>
                <w:b/>
                <w:bCs/>
                <w:color w:val="FFFFFF" w:themeColor="background1"/>
                <w:sz w:val="20"/>
                <w:szCs w:val="20"/>
                <w:lang w:eastAsia="lt-LT"/>
              </w:rPr>
            </w:pPr>
            <w:r w:rsidRPr="0071383D">
              <w:rPr>
                <w:rFonts w:ascii="Arial Narrow" w:hAnsi="Arial Narrow" w:cs="Calibri"/>
                <w:b/>
                <w:bCs/>
                <w:color w:val="FFFFFF" w:themeColor="background1"/>
                <w:sz w:val="20"/>
                <w:szCs w:val="20"/>
                <w:lang w:eastAsia="lt-LT"/>
              </w:rPr>
              <w:t xml:space="preserve">REIKALAUJAMI KOKYBĖS VADYBOS SISTEMOS IR (ARBA) APLINKOS APSAUGOS VADYBOS SISTEMOS STANDARTAI </w:t>
            </w:r>
          </w:p>
          <w:p w14:paraId="48C1FEFD" w14:textId="2A35E660" w:rsidR="00C31B2C" w:rsidRPr="0071383D" w:rsidRDefault="00C31B2C" w:rsidP="00E827C6">
            <w:pPr>
              <w:jc w:val="center"/>
              <w:rPr>
                <w:rFonts w:ascii="Arial Narrow" w:hAnsi="Arial Narrow"/>
                <w:bCs/>
                <w:caps/>
                <w:color w:val="FFFFFF" w:themeColor="background1"/>
                <w:sz w:val="20"/>
                <w:szCs w:val="20"/>
              </w:rPr>
            </w:pPr>
            <w:r w:rsidRPr="0071383D">
              <w:rPr>
                <w:rFonts w:ascii="Arial Narrow" w:hAnsi="Arial Narrow" w:cs="Calibri"/>
                <w:b/>
                <w:bCs/>
                <w:i/>
                <w:iCs/>
                <w:color w:val="FFFFFF" w:themeColor="background1"/>
                <w:sz w:val="20"/>
                <w:szCs w:val="20"/>
                <w:lang w:eastAsia="lt-LT"/>
              </w:rPr>
              <w:t>(jei reikalavimai netaikomi, įrašyti „netaikoma“)</w:t>
            </w:r>
          </w:p>
        </w:tc>
      </w:tr>
      <w:tr w:rsidR="00C31B2C" w:rsidRPr="0071383D" w14:paraId="42E1F2BA" w14:textId="4E4B42C5" w:rsidTr="00C31B2C">
        <w:trPr>
          <w:trHeight w:val="850"/>
        </w:trPr>
        <w:tc>
          <w:tcPr>
            <w:tcW w:w="851" w:type="dxa"/>
            <w:vAlign w:val="center"/>
          </w:tcPr>
          <w:p w14:paraId="7A09CA5B" w14:textId="0FE2E567" w:rsidR="00C31B2C" w:rsidRPr="0071383D" w:rsidRDefault="00C31B2C" w:rsidP="00AB1D49">
            <w:pPr>
              <w:jc w:val="center"/>
              <w:rPr>
                <w:rFonts w:ascii="Arial Narrow" w:hAnsi="Arial Narrow"/>
                <w:bCs/>
                <w:caps/>
                <w:sz w:val="20"/>
                <w:szCs w:val="20"/>
              </w:rPr>
            </w:pPr>
            <w:r w:rsidRPr="0071383D">
              <w:rPr>
                <w:rFonts w:ascii="Arial Narrow" w:hAnsi="Arial Narrow"/>
                <w:bCs/>
                <w:caps/>
                <w:sz w:val="20"/>
                <w:szCs w:val="20"/>
              </w:rPr>
              <w:t>1</w:t>
            </w:r>
            <w:r>
              <w:rPr>
                <w:rFonts w:ascii="Arial Narrow" w:hAnsi="Arial Narrow"/>
                <w:bCs/>
                <w:caps/>
                <w:sz w:val="20"/>
                <w:szCs w:val="20"/>
              </w:rPr>
              <w:t>.</w:t>
            </w:r>
          </w:p>
        </w:tc>
        <w:tc>
          <w:tcPr>
            <w:tcW w:w="6520" w:type="dxa"/>
            <w:vAlign w:val="center"/>
          </w:tcPr>
          <w:p w14:paraId="448BBE17" w14:textId="77777777" w:rsidR="00C31B2C" w:rsidRPr="00AB1D49" w:rsidRDefault="00C31B2C" w:rsidP="00AB1D49">
            <w:pPr>
              <w:pStyle w:val="prastasiniatinklio"/>
              <w:rPr>
                <w:rFonts w:ascii="Arial Narrow" w:hAnsi="Arial Narrow"/>
                <w:sz w:val="20"/>
                <w:szCs w:val="20"/>
              </w:rPr>
            </w:pPr>
            <w:r w:rsidRPr="00AB1D49">
              <w:rPr>
                <w:rFonts w:ascii="Arial Narrow" w:hAnsi="Arial Narrow"/>
                <w:sz w:val="20"/>
                <w:szCs w:val="20"/>
              </w:rPr>
              <w:t>Tiekėjas, bent vienas iš tiekėjų grupės partnerių teikdamas paslaugas laikosi:</w:t>
            </w:r>
          </w:p>
          <w:p w14:paraId="4008617B" w14:textId="77777777" w:rsidR="00C31B2C" w:rsidRPr="00AB1D49" w:rsidRDefault="00C31B2C" w:rsidP="00AB1D49">
            <w:pPr>
              <w:pStyle w:val="prastasiniatinklio"/>
              <w:rPr>
                <w:rFonts w:ascii="Arial Narrow" w:hAnsi="Arial Narrow"/>
                <w:sz w:val="20"/>
                <w:szCs w:val="20"/>
              </w:rPr>
            </w:pPr>
            <w:r w:rsidRPr="00AB1D49">
              <w:rPr>
                <w:rFonts w:ascii="Arial Narrow" w:hAnsi="Arial Narrow"/>
                <w:sz w:val="20"/>
                <w:szCs w:val="20"/>
              </w:rPr>
              <w:t xml:space="preserve">- 2009 m. lapkričio 25 d. Europos Parlamento ir Tarybos reglamentu (EB) Nr. 1221/2009 pripažįstamos Europos Sąjungos aplinkos apsaugos vadybos ir audito </w:t>
            </w:r>
            <w:r w:rsidRPr="00AB1D49">
              <w:rPr>
                <w:rFonts w:ascii="Arial Narrow" w:hAnsi="Arial Narrow"/>
                <w:sz w:val="20"/>
                <w:szCs w:val="20"/>
              </w:rPr>
              <w:lastRenderedPageBreak/>
              <w:t xml:space="preserve">sistemos </w:t>
            </w:r>
            <w:r w:rsidRPr="00AB1D49">
              <w:rPr>
                <w:rFonts w:ascii="Arial Narrow" w:hAnsi="Arial Narrow"/>
                <w:i/>
                <w:iCs/>
                <w:sz w:val="20"/>
                <w:szCs w:val="20"/>
              </w:rPr>
              <w:t xml:space="preserve">(angl. </w:t>
            </w:r>
            <w:proofErr w:type="spellStart"/>
            <w:r w:rsidRPr="00AB1D49">
              <w:rPr>
                <w:rFonts w:ascii="Arial Narrow" w:hAnsi="Arial Narrow"/>
                <w:i/>
                <w:iCs/>
                <w:sz w:val="20"/>
                <w:szCs w:val="20"/>
              </w:rPr>
              <w:t>Eco-Managment</w:t>
            </w:r>
            <w:proofErr w:type="spellEnd"/>
            <w:r w:rsidRPr="00AB1D49">
              <w:rPr>
                <w:rFonts w:ascii="Arial Narrow" w:hAnsi="Arial Narrow"/>
                <w:i/>
                <w:iCs/>
                <w:sz w:val="20"/>
                <w:szCs w:val="20"/>
              </w:rPr>
              <w:t xml:space="preserve"> </w:t>
            </w:r>
            <w:proofErr w:type="spellStart"/>
            <w:r w:rsidRPr="00AB1D49">
              <w:rPr>
                <w:rFonts w:ascii="Arial Narrow" w:hAnsi="Arial Narrow"/>
                <w:i/>
                <w:iCs/>
                <w:sz w:val="20"/>
                <w:szCs w:val="20"/>
              </w:rPr>
              <w:t>and</w:t>
            </w:r>
            <w:proofErr w:type="spellEnd"/>
            <w:r w:rsidRPr="00AB1D49">
              <w:rPr>
                <w:rFonts w:ascii="Arial Narrow" w:hAnsi="Arial Narrow"/>
                <w:i/>
                <w:iCs/>
                <w:sz w:val="20"/>
                <w:szCs w:val="20"/>
              </w:rPr>
              <w:t xml:space="preserve"> </w:t>
            </w:r>
            <w:proofErr w:type="spellStart"/>
            <w:r w:rsidRPr="00AB1D49">
              <w:rPr>
                <w:rFonts w:ascii="Arial Narrow" w:hAnsi="Arial Narrow"/>
                <w:i/>
                <w:iCs/>
                <w:sz w:val="20"/>
                <w:szCs w:val="20"/>
              </w:rPr>
              <w:t>Audit</w:t>
            </w:r>
            <w:proofErr w:type="spellEnd"/>
            <w:r w:rsidRPr="00AB1D49">
              <w:rPr>
                <w:rFonts w:ascii="Arial Narrow" w:hAnsi="Arial Narrow"/>
                <w:i/>
                <w:iCs/>
                <w:sz w:val="20"/>
                <w:szCs w:val="20"/>
              </w:rPr>
              <w:t xml:space="preserve"> </w:t>
            </w:r>
            <w:proofErr w:type="spellStart"/>
            <w:r w:rsidRPr="00AB1D49">
              <w:rPr>
                <w:rFonts w:ascii="Arial Narrow" w:hAnsi="Arial Narrow"/>
                <w:i/>
                <w:iCs/>
                <w:sz w:val="20"/>
                <w:szCs w:val="20"/>
              </w:rPr>
              <w:t>Scheme</w:t>
            </w:r>
            <w:proofErr w:type="spellEnd"/>
            <w:r w:rsidRPr="00AB1D49">
              <w:rPr>
                <w:rFonts w:ascii="Arial Narrow" w:hAnsi="Arial Narrow"/>
                <w:i/>
                <w:iCs/>
                <w:sz w:val="20"/>
                <w:szCs w:val="20"/>
              </w:rPr>
              <w:t>, EMAS)</w:t>
            </w:r>
            <w:r w:rsidRPr="00AB1D49">
              <w:rPr>
                <w:rFonts w:ascii="Arial Narrow" w:hAnsi="Arial Narrow"/>
                <w:sz w:val="20"/>
                <w:szCs w:val="20"/>
              </w:rPr>
              <w:t>   arba pagal minėto reglamento 45 straipsnį pripažįstamos kitos aplinkos apsaugos vadybos sistemos reikalavimų, arba</w:t>
            </w:r>
          </w:p>
          <w:p w14:paraId="64A5070F" w14:textId="1C907F75" w:rsidR="00C31B2C" w:rsidRPr="00AB1D49" w:rsidRDefault="00C31B2C" w:rsidP="00AB1D49">
            <w:pPr>
              <w:tabs>
                <w:tab w:val="left" w:pos="331"/>
              </w:tabs>
              <w:rPr>
                <w:rFonts w:ascii="Arial Narrow" w:hAnsi="Arial Narrow"/>
                <w:bCs/>
                <w:caps/>
                <w:sz w:val="20"/>
                <w:szCs w:val="20"/>
              </w:rPr>
            </w:pPr>
            <w:r w:rsidRPr="00AB1D49">
              <w:rPr>
                <w:rFonts w:ascii="Arial Narrow" w:hAnsi="Arial Narrow"/>
                <w:sz w:val="20"/>
                <w:szCs w:val="20"/>
              </w:rPr>
              <w:t>- standarto LST EN ISO 14001:2015 (arba lygiaverčio standarto) reikalavimų.</w:t>
            </w:r>
          </w:p>
        </w:tc>
        <w:tc>
          <w:tcPr>
            <w:tcW w:w="7655" w:type="dxa"/>
            <w:vAlign w:val="center"/>
          </w:tcPr>
          <w:p w14:paraId="6E7661D3" w14:textId="77777777" w:rsidR="00C31B2C" w:rsidRPr="00AB1D49" w:rsidRDefault="00C31B2C" w:rsidP="00AB1D49">
            <w:pPr>
              <w:pStyle w:val="prastasiniatinklio"/>
              <w:rPr>
                <w:rFonts w:ascii="Arial Narrow" w:hAnsi="Arial Narrow"/>
                <w:sz w:val="20"/>
                <w:szCs w:val="20"/>
              </w:rPr>
            </w:pPr>
            <w:r w:rsidRPr="00AB1D49">
              <w:rPr>
                <w:rFonts w:ascii="Arial Narrow" w:hAnsi="Arial Narrow"/>
                <w:sz w:val="20"/>
                <w:szCs w:val="20"/>
              </w:rPr>
              <w:lastRenderedPageBreak/>
              <w:t>Nepriklausomos sertifikavimo įstaigos išduotas sertifikatas, patvirtinantis, kad tiekėjas (bent vienas iš tiekėjų  grupės partnerių) laikosi:</w:t>
            </w:r>
          </w:p>
          <w:p w14:paraId="4E93CFF1" w14:textId="77777777" w:rsidR="00C31B2C" w:rsidRPr="00AB1D49" w:rsidRDefault="00C31B2C" w:rsidP="00AB1D49">
            <w:pPr>
              <w:pStyle w:val="prastasiniatinklio"/>
              <w:rPr>
                <w:rFonts w:ascii="Arial Narrow" w:hAnsi="Arial Narrow"/>
                <w:sz w:val="20"/>
                <w:szCs w:val="20"/>
              </w:rPr>
            </w:pPr>
            <w:r w:rsidRPr="00AB1D49">
              <w:rPr>
                <w:rFonts w:ascii="Arial Narrow" w:hAnsi="Arial Narrow"/>
                <w:sz w:val="20"/>
                <w:szCs w:val="20"/>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2E61636" w14:textId="46306703" w:rsidR="00C31B2C" w:rsidRPr="00AB1D49" w:rsidRDefault="00C31B2C" w:rsidP="00AB1D49">
            <w:pPr>
              <w:pStyle w:val="prastasiniatinklio"/>
              <w:rPr>
                <w:rFonts w:ascii="Arial Narrow" w:hAnsi="Arial Narrow"/>
                <w:sz w:val="20"/>
                <w:szCs w:val="20"/>
              </w:rPr>
            </w:pPr>
            <w:r w:rsidRPr="00AB1D49">
              <w:rPr>
                <w:rFonts w:ascii="Arial Narrow" w:hAnsi="Arial Narrow"/>
                <w:sz w:val="20"/>
                <w:szCs w:val="20"/>
              </w:rPr>
              <w:t>- standarto LST EN ISO 14001:2015 (arba lygiaverčio standarto) reikalavimų.</w:t>
            </w:r>
          </w:p>
          <w:p w14:paraId="177A25D3" w14:textId="2AE43174" w:rsidR="00C31B2C" w:rsidRPr="00AB1D49" w:rsidRDefault="00C31B2C" w:rsidP="00AB1D49">
            <w:pPr>
              <w:pStyle w:val="prastasiniatinklio"/>
              <w:rPr>
                <w:rFonts w:ascii="Arial Narrow" w:hAnsi="Arial Narrow"/>
                <w:sz w:val="20"/>
                <w:szCs w:val="20"/>
              </w:rPr>
            </w:pPr>
            <w:r w:rsidRPr="00AB1D49">
              <w:rPr>
                <w:rFonts w:ascii="Arial Narrow" w:hAnsi="Arial Narrow"/>
                <w:sz w:val="20"/>
                <w:szCs w:val="20"/>
              </w:rPr>
              <w:t>Perkančioji organizacija pripažįsta ir kitose Europos Sąjungos valstybėse - narėse įsisteigusių nepriklausomų įstaigų išduotus lygiaverčius sertifikatus. </w:t>
            </w:r>
          </w:p>
          <w:p w14:paraId="4409DBA1" w14:textId="77777777" w:rsidR="00C31B2C" w:rsidRPr="00AB1D49" w:rsidRDefault="00C31B2C" w:rsidP="00AB1D49">
            <w:pPr>
              <w:pStyle w:val="prastasiniatinklio"/>
              <w:rPr>
                <w:rFonts w:ascii="Arial Narrow" w:hAnsi="Arial Narrow"/>
                <w:sz w:val="20"/>
                <w:szCs w:val="20"/>
              </w:rPr>
            </w:pPr>
            <w:r w:rsidRPr="00AB1D49">
              <w:rPr>
                <w:rFonts w:ascii="Arial Narrow" w:hAnsi="Arial Narrow"/>
                <w:sz w:val="20"/>
                <w:szCs w:val="20"/>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493B905F" w14:textId="77777777" w:rsidR="00C31B2C" w:rsidRPr="00AB1D49" w:rsidRDefault="00C31B2C" w:rsidP="00AB1D49">
            <w:pPr>
              <w:pStyle w:val="prastasiniatinklio"/>
              <w:rPr>
                <w:rFonts w:ascii="Arial Narrow" w:hAnsi="Arial Narrow"/>
                <w:sz w:val="20"/>
                <w:szCs w:val="20"/>
              </w:rPr>
            </w:pPr>
            <w:r w:rsidRPr="00AB1D49">
              <w:rPr>
                <w:rFonts w:ascii="Arial Narrow" w:hAnsi="Arial Narrow"/>
                <w:sz w:val="20"/>
                <w:szCs w:val="20"/>
              </w:rPr>
              <w:t>- jo taikomos aplinkos apsaugos vadybos užtikrinimo priemonės atitinka  pagal 2009 m. lapkričio 25 d. Europos Parlamento ir Tarybos reglamentą (EB) Nr. 1221/2009 pripažįstamų aplinkos apsaugos vadybos ir audito sistemų reikalavimus, arba</w:t>
            </w:r>
          </w:p>
          <w:p w14:paraId="2A0CA9FC" w14:textId="0D1E6109" w:rsidR="00C31B2C" w:rsidRPr="00AB1D49" w:rsidRDefault="00C31B2C" w:rsidP="00AB1D49">
            <w:pPr>
              <w:jc w:val="left"/>
              <w:rPr>
                <w:rFonts w:ascii="Arial Narrow" w:hAnsi="Arial Narrow"/>
                <w:bCs/>
                <w:caps/>
                <w:sz w:val="20"/>
                <w:szCs w:val="20"/>
              </w:rPr>
            </w:pPr>
            <w:r w:rsidRPr="00AB1D49">
              <w:rPr>
                <w:rFonts w:ascii="Arial Narrow" w:hAnsi="Arial Narrow"/>
                <w:sz w:val="20"/>
                <w:szCs w:val="20"/>
              </w:rPr>
              <w:t>- jo taikomos aplinkos apsaugos vadybos užtikrinimo priemonės atitinka  standarto LST EN ISO 14001:2015 (arba lygiaverčio standarto) reikalavimus.</w:t>
            </w:r>
          </w:p>
        </w:tc>
      </w:tr>
    </w:tbl>
    <w:p w14:paraId="5FEA33A9" w14:textId="77777777" w:rsidR="00F14D49" w:rsidRDefault="00F14D49" w:rsidP="007E1EA8">
      <w:pPr>
        <w:jc w:val="left"/>
        <w:rPr>
          <w:rFonts w:ascii="Arial Narrow" w:hAnsi="Arial Narrow"/>
          <w:sz w:val="20"/>
        </w:rPr>
      </w:pPr>
    </w:p>
    <w:sectPr w:rsidR="00F14D49" w:rsidSect="00650FA4">
      <w:headerReference w:type="default" r:id="rId11"/>
      <w:headerReference w:type="first" r:id="rId12"/>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0420" w14:textId="77777777" w:rsidR="00392FBF" w:rsidRDefault="00392FBF">
      <w:r>
        <w:separator/>
      </w:r>
    </w:p>
  </w:endnote>
  <w:endnote w:type="continuationSeparator" w:id="0">
    <w:p w14:paraId="272D48C8" w14:textId="77777777" w:rsidR="00392FBF" w:rsidRDefault="00392FBF">
      <w:r>
        <w:continuationSeparator/>
      </w:r>
    </w:p>
  </w:endnote>
  <w:endnote w:type="continuationNotice" w:id="1">
    <w:p w14:paraId="3956DC70" w14:textId="77777777" w:rsidR="00392FBF" w:rsidRDefault="00392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3E8B" w14:textId="77777777" w:rsidR="00392FBF" w:rsidRDefault="00392FBF">
      <w:r>
        <w:separator/>
      </w:r>
    </w:p>
  </w:footnote>
  <w:footnote w:type="continuationSeparator" w:id="0">
    <w:p w14:paraId="38C02A2C" w14:textId="77777777" w:rsidR="00392FBF" w:rsidRDefault="00392FBF">
      <w:r>
        <w:continuationSeparator/>
      </w:r>
    </w:p>
  </w:footnote>
  <w:footnote w:type="continuationNotice" w:id="1">
    <w:p w14:paraId="19864493" w14:textId="77777777" w:rsidR="00392FBF" w:rsidRDefault="00392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4454" w:type="dxa"/>
      <w:tblInd w:w="0" w:type="dxa"/>
      <w:tblLook w:val="04A0" w:firstRow="1" w:lastRow="0" w:firstColumn="1" w:lastColumn="0" w:noHBand="0" w:noVBand="1"/>
    </w:tblPr>
    <w:tblGrid>
      <w:gridCol w:w="2757"/>
      <w:gridCol w:w="10184"/>
      <w:gridCol w:w="1513"/>
    </w:tblGrid>
    <w:tr w:rsidR="00DC0011" w14:paraId="0D1A6075" w14:textId="77777777">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7495FBE7" w14:textId="1C30CD4F" w:rsidR="00DC0011" w:rsidRDefault="00DC0011">
          <w:pPr>
            <w:pStyle w:val="Antrats"/>
          </w:pPr>
          <w:r w:rsidRPr="0058356C">
            <w:rPr>
              <w:noProof/>
            </w:rPr>
            <w:drawing>
              <wp:inline distT="0" distB="0" distL="0" distR="0" wp14:anchorId="17410BDF" wp14:editId="35711805">
                <wp:extent cx="1613640" cy="206023"/>
                <wp:effectExtent l="0" t="0" r="0" b="0"/>
                <wp:docPr id="874850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11063" w:type="dxa"/>
          <w:vMerge w:val="restart"/>
          <w:tcBorders>
            <w:top w:val="single" w:sz="4" w:space="0" w:color="auto"/>
            <w:left w:val="single" w:sz="4" w:space="0" w:color="auto"/>
            <w:bottom w:val="single" w:sz="4" w:space="0" w:color="auto"/>
            <w:right w:val="single" w:sz="4" w:space="0" w:color="auto"/>
          </w:tcBorders>
          <w:vAlign w:val="center"/>
          <w:hideMark/>
        </w:tcPr>
        <w:p w14:paraId="38EDC40E" w14:textId="5E2DD036" w:rsidR="00DC0011" w:rsidRDefault="00DC0011">
          <w:pPr>
            <w:pStyle w:val="Antrats"/>
            <w:jc w:val="center"/>
            <w:rPr>
              <w:b/>
              <w:sz w:val="24"/>
              <w:szCs w:val="24"/>
            </w:rPr>
          </w:pPr>
          <w:r w:rsidRPr="00C71A25">
            <w:rPr>
              <w:b/>
              <w:sz w:val="24"/>
              <w:szCs w:val="24"/>
            </w:rPr>
            <w:t xml:space="preserve">PAVYZDINIAI KVALIFIKACIJOS </w:t>
          </w:r>
          <w:r>
            <w:rPr>
              <w:b/>
              <w:sz w:val="24"/>
              <w:szCs w:val="24"/>
            </w:rPr>
            <w:t>REIKALAVIMAI</w:t>
          </w:r>
        </w:p>
        <w:p w14:paraId="14871FBC" w14:textId="77777777" w:rsidR="00DC0011" w:rsidRDefault="00DC0011">
          <w:pPr>
            <w:pStyle w:val="Antrats"/>
            <w:jc w:val="center"/>
            <w:rPr>
              <w:b/>
              <w:bCs/>
            </w:rPr>
          </w:pPr>
          <w:r>
            <w:rPr>
              <w:bCs/>
              <w:sz w:val="24"/>
              <w:szCs w:val="24"/>
            </w:rPr>
            <w:t>(nebaigtinis sąrašas)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D93030" w14:textId="65B760A6" w:rsidR="00DC0011" w:rsidRDefault="007A2C32">
          <w:pPr>
            <w:pStyle w:val="Antrats"/>
            <w:rPr>
              <w:rFonts w:cs="Calibri"/>
              <w:color w:val="000000"/>
              <w:szCs w:val="20"/>
            </w:rPr>
          </w:pPr>
          <w:r w:rsidRPr="007A2C32">
            <w:rPr>
              <w:rFonts w:cs="Calibri"/>
              <w:color w:val="000000"/>
              <w:szCs w:val="20"/>
            </w:rPr>
            <w:t>SPS-PLP1.02.01</w:t>
          </w:r>
        </w:p>
      </w:tc>
    </w:tr>
    <w:tr w:rsidR="00DC0011" w14:paraId="69FF568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7F312C3" w14:textId="77777777" w:rsidR="00DC0011" w:rsidRDefault="00DC0011">
          <w:pPr>
            <w:jc w:val="left"/>
            <w:rPr>
              <w:rFonts w:ascii="Arial Narrow" w:eastAsiaTheme="minorHAnsi" w:hAnsi="Arial Narrow" w:cstheme="minorBidi"/>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3ADC3" w14:textId="77777777" w:rsidR="00DC0011" w:rsidRDefault="00DC0011">
          <w:pPr>
            <w:jc w:val="left"/>
            <w:rPr>
              <w:rFonts w:ascii="Arial Narrow" w:eastAsiaTheme="minorHAnsi" w:hAnsi="Arial Narrow" w:cstheme="minorBidi"/>
              <w:b/>
              <w:bCs/>
              <w:sz w:val="20"/>
            </w:rPr>
          </w:pPr>
        </w:p>
      </w:tc>
      <w:tc>
        <w:tcPr>
          <w:tcW w:w="1559" w:type="dxa"/>
          <w:tcBorders>
            <w:top w:val="single" w:sz="4" w:space="0" w:color="auto"/>
            <w:left w:val="single" w:sz="4" w:space="0" w:color="auto"/>
            <w:bottom w:val="single" w:sz="4" w:space="0" w:color="auto"/>
            <w:right w:val="single" w:sz="4" w:space="0" w:color="auto"/>
          </w:tcBorders>
          <w:hideMark/>
        </w:tcPr>
        <w:p w14:paraId="1ACDF366" w14:textId="77777777" w:rsidR="00DC0011" w:rsidRDefault="00DC0011">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DC0011" w14:paraId="667BD89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3A8A93C" w14:textId="77777777" w:rsidR="00DC0011" w:rsidRDefault="00DC0011">
          <w:pPr>
            <w:jc w:val="left"/>
            <w:rPr>
              <w:rFonts w:ascii="Arial Narrow" w:eastAsiaTheme="minorHAnsi" w:hAnsi="Arial Narrow" w:cstheme="minorBidi"/>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10AE1" w14:textId="77777777" w:rsidR="00DC0011" w:rsidRDefault="00DC0011">
          <w:pPr>
            <w:jc w:val="left"/>
            <w:rPr>
              <w:rFonts w:ascii="Arial Narrow" w:eastAsiaTheme="minorHAnsi" w:hAnsi="Arial Narrow" w:cstheme="minorBidi"/>
              <w:b/>
              <w:bCs/>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3BB60C3" w14:textId="67D62B56" w:rsidR="00DC0011" w:rsidRDefault="00DC0011">
          <w:pPr>
            <w:pStyle w:val="Antrats"/>
          </w:pPr>
          <w:r>
            <w:rPr>
              <w:rFonts w:cs="Calibri"/>
              <w:color w:val="000000"/>
              <w:szCs w:val="20"/>
            </w:rPr>
            <w:t>11 priedas</w:t>
          </w:r>
        </w:p>
      </w:tc>
    </w:tr>
  </w:tbl>
  <w:p w14:paraId="38317BE4" w14:textId="77777777" w:rsidR="00DC0011" w:rsidRDefault="00DC00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5021" w:type="dxa"/>
      <w:tblInd w:w="0" w:type="dxa"/>
      <w:tblLook w:val="04A0" w:firstRow="1" w:lastRow="0" w:firstColumn="1" w:lastColumn="0" w:noHBand="0" w:noVBand="1"/>
    </w:tblPr>
    <w:tblGrid>
      <w:gridCol w:w="2757"/>
      <w:gridCol w:w="10705"/>
      <w:gridCol w:w="1559"/>
    </w:tblGrid>
    <w:tr w:rsidR="00A54666" w14:paraId="2DAFB684" w14:textId="77777777" w:rsidTr="00650FA4">
      <w:trPr>
        <w:trHeight w:val="259"/>
      </w:trPr>
      <w:tc>
        <w:tcPr>
          <w:tcW w:w="2757" w:type="dxa"/>
          <w:vMerge w:val="restart"/>
          <w:vAlign w:val="center"/>
          <w:hideMark/>
        </w:tcPr>
        <w:p w14:paraId="5DDDE26F" w14:textId="4D4F9FD8" w:rsidR="00A54666" w:rsidRDefault="00A54666">
          <w:pPr>
            <w:pStyle w:val="Antrats"/>
          </w:pPr>
          <w:r w:rsidRPr="0058356C">
            <w:rPr>
              <w:noProof/>
            </w:rPr>
            <w:drawing>
              <wp:inline distT="0" distB="0" distL="0" distR="0" wp14:anchorId="02B40CD8" wp14:editId="505D791C">
                <wp:extent cx="1613640" cy="206023"/>
                <wp:effectExtent l="0" t="0" r="0" b="0"/>
                <wp:docPr id="1765088811"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10705" w:type="dxa"/>
          <w:vMerge w:val="restart"/>
          <w:vAlign w:val="center"/>
          <w:hideMark/>
        </w:tcPr>
        <w:p w14:paraId="2444AC58" w14:textId="6C270382" w:rsidR="00A54666" w:rsidRDefault="00A54666">
          <w:pPr>
            <w:pStyle w:val="Antrats"/>
            <w:jc w:val="center"/>
            <w:rPr>
              <w:b/>
              <w:sz w:val="24"/>
              <w:szCs w:val="24"/>
            </w:rPr>
          </w:pPr>
          <w:r w:rsidRPr="00C71A25">
            <w:rPr>
              <w:b/>
              <w:sz w:val="24"/>
              <w:szCs w:val="24"/>
            </w:rPr>
            <w:t>KVALIFIKACIJOS</w:t>
          </w:r>
          <w:r>
            <w:rPr>
              <w:b/>
              <w:sz w:val="24"/>
              <w:szCs w:val="24"/>
            </w:rPr>
            <w:t xml:space="preserve"> REIKALAVIM</w:t>
          </w:r>
          <w:r w:rsidR="002A5B62">
            <w:rPr>
              <w:b/>
              <w:sz w:val="24"/>
              <w:szCs w:val="24"/>
            </w:rPr>
            <w:t>Ų FORMA</w:t>
          </w:r>
        </w:p>
        <w:p w14:paraId="601AFEA4" w14:textId="5354ADE2" w:rsidR="00642568" w:rsidRDefault="00642568">
          <w:pPr>
            <w:pStyle w:val="Antrats"/>
            <w:jc w:val="center"/>
            <w:rPr>
              <w:b/>
              <w:sz w:val="24"/>
              <w:szCs w:val="24"/>
            </w:rPr>
          </w:pPr>
          <w:r>
            <w:rPr>
              <w:b/>
              <w:sz w:val="24"/>
              <w:szCs w:val="24"/>
            </w:rPr>
            <w:t>(PROJEKTAS)</w:t>
          </w:r>
        </w:p>
        <w:p w14:paraId="799474A5" w14:textId="35C7B7A5" w:rsidR="00A54666" w:rsidRDefault="00A54666" w:rsidP="005D565D">
          <w:pPr>
            <w:pStyle w:val="Antrats"/>
            <w:rPr>
              <w:b/>
              <w:bCs/>
            </w:rPr>
          </w:pPr>
        </w:p>
      </w:tc>
      <w:tc>
        <w:tcPr>
          <w:tcW w:w="1559" w:type="dxa"/>
          <w:vAlign w:val="center"/>
          <w:hideMark/>
        </w:tcPr>
        <w:p w14:paraId="4F4BE57C" w14:textId="7F919B67" w:rsidR="00A54666" w:rsidRDefault="002A5B62" w:rsidP="00CA2F21">
          <w:pPr>
            <w:pStyle w:val="Antrats"/>
            <w:rPr>
              <w:rFonts w:cs="Calibri"/>
              <w:color w:val="000000"/>
              <w:szCs w:val="20"/>
            </w:rPr>
          </w:pPr>
          <w:r w:rsidRPr="00F62785">
            <w:rPr>
              <w:rFonts w:cs="Calibri"/>
              <w:color w:val="000000"/>
            </w:rPr>
            <w:t>SPS-PLP1.02.01</w:t>
          </w:r>
        </w:p>
      </w:tc>
    </w:tr>
    <w:tr w:rsidR="002E4959" w14:paraId="55E5D875" w14:textId="77777777" w:rsidTr="00650FA4">
      <w:tc>
        <w:tcPr>
          <w:tcW w:w="0" w:type="auto"/>
          <w:vMerge/>
          <w:vAlign w:val="center"/>
        </w:tcPr>
        <w:p w14:paraId="2E9562C5" w14:textId="77777777" w:rsidR="002E4959" w:rsidRDefault="002E4959">
          <w:pPr>
            <w:jc w:val="left"/>
            <w:rPr>
              <w:rFonts w:ascii="Arial Narrow" w:eastAsiaTheme="minorHAnsi" w:hAnsi="Arial Narrow" w:cstheme="minorBidi"/>
              <w:sz w:val="20"/>
            </w:rPr>
          </w:pPr>
        </w:p>
      </w:tc>
      <w:tc>
        <w:tcPr>
          <w:tcW w:w="10705" w:type="dxa"/>
          <w:vMerge/>
          <w:vAlign w:val="center"/>
        </w:tcPr>
        <w:p w14:paraId="33FAE853" w14:textId="77777777" w:rsidR="002E4959" w:rsidRDefault="002E4959">
          <w:pPr>
            <w:jc w:val="left"/>
            <w:rPr>
              <w:rFonts w:ascii="Arial Narrow" w:eastAsiaTheme="minorHAnsi" w:hAnsi="Arial Narrow" w:cstheme="minorBidi"/>
              <w:b/>
              <w:bCs/>
              <w:sz w:val="20"/>
            </w:rPr>
          </w:pPr>
        </w:p>
      </w:tc>
      <w:tc>
        <w:tcPr>
          <w:tcW w:w="1559" w:type="dxa"/>
        </w:tcPr>
        <w:p w14:paraId="3BAF79F1" w14:textId="1CFC8B15" w:rsidR="002E4959" w:rsidRDefault="002E4959">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3</w:t>
          </w:r>
          <w:r>
            <w:rPr>
              <w:b/>
              <w:bCs/>
            </w:rPr>
            <w:fldChar w:fldCharType="end"/>
          </w:r>
        </w:p>
      </w:tc>
    </w:tr>
    <w:tr w:rsidR="00DC0011" w14:paraId="28E7F148" w14:textId="77777777" w:rsidTr="00650FA4">
      <w:tc>
        <w:tcPr>
          <w:tcW w:w="0" w:type="auto"/>
          <w:vMerge/>
          <w:vAlign w:val="center"/>
          <w:hideMark/>
        </w:tcPr>
        <w:p w14:paraId="5A4A9BE7" w14:textId="77777777" w:rsidR="00DC0011" w:rsidRDefault="00DC0011">
          <w:pPr>
            <w:jc w:val="left"/>
            <w:rPr>
              <w:rFonts w:ascii="Arial Narrow" w:eastAsiaTheme="minorHAnsi" w:hAnsi="Arial Narrow" w:cstheme="minorBidi"/>
              <w:sz w:val="20"/>
            </w:rPr>
          </w:pPr>
        </w:p>
      </w:tc>
      <w:tc>
        <w:tcPr>
          <w:tcW w:w="10705" w:type="dxa"/>
          <w:vMerge/>
          <w:vAlign w:val="center"/>
          <w:hideMark/>
        </w:tcPr>
        <w:p w14:paraId="7B4BC40E" w14:textId="77777777" w:rsidR="00DC0011" w:rsidRDefault="00DC0011">
          <w:pPr>
            <w:jc w:val="left"/>
            <w:rPr>
              <w:rFonts w:ascii="Arial Narrow" w:eastAsiaTheme="minorHAnsi" w:hAnsi="Arial Narrow" w:cstheme="minorBidi"/>
              <w:b/>
              <w:bCs/>
              <w:sz w:val="20"/>
            </w:rPr>
          </w:pPr>
        </w:p>
      </w:tc>
      <w:tc>
        <w:tcPr>
          <w:tcW w:w="1559" w:type="dxa"/>
          <w:vAlign w:val="center"/>
          <w:hideMark/>
        </w:tcPr>
        <w:p w14:paraId="24AD56CE" w14:textId="7B37284B" w:rsidR="00DC0011" w:rsidRDefault="00642568">
          <w:pPr>
            <w:pStyle w:val="Antrats"/>
          </w:pPr>
          <w:r w:rsidRPr="00642568">
            <w:rPr>
              <w:rFonts w:cs="Calibri"/>
              <w:szCs w:val="20"/>
            </w:rPr>
            <w:t>2</w:t>
          </w:r>
          <w:r w:rsidR="00DC0011" w:rsidRPr="00642568">
            <w:rPr>
              <w:rFonts w:cs="Calibri"/>
              <w:szCs w:val="20"/>
            </w:rPr>
            <w:t xml:space="preserve"> </w:t>
          </w:r>
          <w:r w:rsidR="00DC0011">
            <w:rPr>
              <w:rFonts w:cs="Calibri"/>
              <w:color w:val="000000"/>
              <w:szCs w:val="20"/>
            </w:rPr>
            <w:t>priedas</w:t>
          </w:r>
        </w:p>
      </w:tc>
    </w:tr>
  </w:tbl>
  <w:p w14:paraId="652025D4" w14:textId="687B9C75" w:rsidR="00DC0011" w:rsidRDefault="00E2394D" w:rsidP="00E2394D">
    <w:pPr>
      <w:pStyle w:val="Antrats"/>
      <w:tabs>
        <w:tab w:val="clear" w:pos="4819"/>
        <w:tab w:val="clear" w:pos="9638"/>
        <w:tab w:val="left" w:pos="100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2F639B1"/>
    <w:multiLevelType w:val="hybridMultilevel"/>
    <w:tmpl w:val="7CBE2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2F8729E"/>
    <w:multiLevelType w:val="hybridMultilevel"/>
    <w:tmpl w:val="C0423D38"/>
    <w:lvl w:ilvl="0" w:tplc="F49E176C">
      <w:start w:val="1"/>
      <w:numFmt w:val="bullet"/>
      <w:lvlText w:val=""/>
      <w:lvlJc w:val="left"/>
      <w:pPr>
        <w:ind w:left="720" w:hanging="360"/>
      </w:pPr>
      <w:rPr>
        <w:rFonts w:ascii="Symbol" w:hAnsi="Symbol" w:hint="default"/>
        <w:sz w:val="12"/>
        <w:szCs w:val="1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7AE7371"/>
    <w:multiLevelType w:val="hybridMultilevel"/>
    <w:tmpl w:val="B8120478"/>
    <w:lvl w:ilvl="0" w:tplc="FFFFFFFF">
      <w:start w:val="1"/>
      <w:numFmt w:val="decimal"/>
      <w:lvlText w:val="%1."/>
      <w:lvlJc w:val="left"/>
      <w:pPr>
        <w:ind w:left="720" w:hanging="360"/>
      </w:pPr>
      <w:rPr>
        <w:rFonts w:ascii="Arial Narrow" w:hAnsi="Arial Narrow" w:hint="default"/>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5F023D"/>
    <w:multiLevelType w:val="hybridMultilevel"/>
    <w:tmpl w:val="FFDC4444"/>
    <w:lvl w:ilvl="0" w:tplc="5DEC924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205B3A"/>
    <w:multiLevelType w:val="hybridMultilevel"/>
    <w:tmpl w:val="0C7E8422"/>
    <w:lvl w:ilvl="0" w:tplc="8E62AA62">
      <w:start w:val="1"/>
      <w:numFmt w:val="decimal"/>
      <w:lvlText w:val="%1."/>
      <w:lvlJc w:val="left"/>
      <w:pPr>
        <w:ind w:left="720" w:hanging="360"/>
      </w:pPr>
      <w:rPr>
        <w:rFonts w:ascii="Arial Narrow" w:hAnsi="Arial Narrow" w:hint="default"/>
        <w:b w:val="0"/>
        <w:bCs/>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C0811F8"/>
    <w:multiLevelType w:val="hybridMultilevel"/>
    <w:tmpl w:val="B8120478"/>
    <w:lvl w:ilvl="0" w:tplc="D22A562E">
      <w:start w:val="1"/>
      <w:numFmt w:val="decimal"/>
      <w:lvlText w:val="%1."/>
      <w:lvlJc w:val="left"/>
      <w:pPr>
        <w:ind w:left="720" w:hanging="360"/>
      </w:pPr>
      <w:rPr>
        <w:rFonts w:ascii="Arial Narrow" w:hAnsi="Arial Narrow"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C50CB4"/>
    <w:multiLevelType w:val="hybridMultilevel"/>
    <w:tmpl w:val="0F2A07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3166555">
    <w:abstractNumId w:val="2"/>
  </w:num>
  <w:num w:numId="2" w16cid:durableId="930971414">
    <w:abstractNumId w:val="2"/>
  </w:num>
  <w:num w:numId="3" w16cid:durableId="805124856">
    <w:abstractNumId w:val="0"/>
  </w:num>
  <w:num w:numId="4" w16cid:durableId="1483035149">
    <w:abstractNumId w:val="0"/>
  </w:num>
  <w:num w:numId="5" w16cid:durableId="1932615936">
    <w:abstractNumId w:val="8"/>
  </w:num>
  <w:num w:numId="6" w16cid:durableId="820461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440215">
    <w:abstractNumId w:val="3"/>
  </w:num>
  <w:num w:numId="8" w16cid:durableId="1460953292">
    <w:abstractNumId w:val="1"/>
  </w:num>
  <w:num w:numId="9" w16cid:durableId="1447970622">
    <w:abstractNumId w:val="7"/>
  </w:num>
  <w:num w:numId="10" w16cid:durableId="384529375">
    <w:abstractNumId w:val="4"/>
  </w:num>
  <w:num w:numId="11" w16cid:durableId="339042485">
    <w:abstractNumId w:val="6"/>
  </w:num>
  <w:num w:numId="12" w16cid:durableId="697194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6F"/>
    <w:rsid w:val="000019DC"/>
    <w:rsid w:val="000020DC"/>
    <w:rsid w:val="00004F89"/>
    <w:rsid w:val="00020F9F"/>
    <w:rsid w:val="00022027"/>
    <w:rsid w:val="000316AF"/>
    <w:rsid w:val="00031EFD"/>
    <w:rsid w:val="00036C1A"/>
    <w:rsid w:val="00040E6E"/>
    <w:rsid w:val="00046171"/>
    <w:rsid w:val="000544B4"/>
    <w:rsid w:val="000569B7"/>
    <w:rsid w:val="00057046"/>
    <w:rsid w:val="0006436A"/>
    <w:rsid w:val="0007026F"/>
    <w:rsid w:val="0008264C"/>
    <w:rsid w:val="00086FCD"/>
    <w:rsid w:val="0009731F"/>
    <w:rsid w:val="000A0A26"/>
    <w:rsid w:val="000A24DA"/>
    <w:rsid w:val="000A4600"/>
    <w:rsid w:val="000A5F71"/>
    <w:rsid w:val="000B41E3"/>
    <w:rsid w:val="000C5A21"/>
    <w:rsid w:val="000D1CA5"/>
    <w:rsid w:val="000E03A5"/>
    <w:rsid w:val="000F4EE6"/>
    <w:rsid w:val="001025A1"/>
    <w:rsid w:val="00115867"/>
    <w:rsid w:val="001168DD"/>
    <w:rsid w:val="0012008A"/>
    <w:rsid w:val="00131564"/>
    <w:rsid w:val="00135CCD"/>
    <w:rsid w:val="00136E45"/>
    <w:rsid w:val="00142DA5"/>
    <w:rsid w:val="001437D3"/>
    <w:rsid w:val="00143ABF"/>
    <w:rsid w:val="001521A1"/>
    <w:rsid w:val="00155C80"/>
    <w:rsid w:val="00160CDC"/>
    <w:rsid w:val="00160DAB"/>
    <w:rsid w:val="00187FC4"/>
    <w:rsid w:val="0019229D"/>
    <w:rsid w:val="001A320A"/>
    <w:rsid w:val="001A6076"/>
    <w:rsid w:val="001B0F38"/>
    <w:rsid w:val="001E0CAC"/>
    <w:rsid w:val="001F359C"/>
    <w:rsid w:val="001F5C5D"/>
    <w:rsid w:val="00200287"/>
    <w:rsid w:val="00205F6B"/>
    <w:rsid w:val="002130E0"/>
    <w:rsid w:val="0023282D"/>
    <w:rsid w:val="00236B7E"/>
    <w:rsid w:val="00250FC1"/>
    <w:rsid w:val="00254B28"/>
    <w:rsid w:val="0025685F"/>
    <w:rsid w:val="00260F21"/>
    <w:rsid w:val="00265E46"/>
    <w:rsid w:val="00273A15"/>
    <w:rsid w:val="00286860"/>
    <w:rsid w:val="002A4E87"/>
    <w:rsid w:val="002A5B62"/>
    <w:rsid w:val="002B0D1B"/>
    <w:rsid w:val="002C4A74"/>
    <w:rsid w:val="002C53B3"/>
    <w:rsid w:val="002E202A"/>
    <w:rsid w:val="002E4959"/>
    <w:rsid w:val="002E6B61"/>
    <w:rsid w:val="002E7FBE"/>
    <w:rsid w:val="002F4C2E"/>
    <w:rsid w:val="003038C2"/>
    <w:rsid w:val="00323D25"/>
    <w:rsid w:val="00326F10"/>
    <w:rsid w:val="003369A2"/>
    <w:rsid w:val="0036184F"/>
    <w:rsid w:val="00365190"/>
    <w:rsid w:val="00366478"/>
    <w:rsid w:val="003669AE"/>
    <w:rsid w:val="00373219"/>
    <w:rsid w:val="00380066"/>
    <w:rsid w:val="00380225"/>
    <w:rsid w:val="00392FBF"/>
    <w:rsid w:val="00395BA8"/>
    <w:rsid w:val="00396FE7"/>
    <w:rsid w:val="00397E65"/>
    <w:rsid w:val="003A10E9"/>
    <w:rsid w:val="003A4788"/>
    <w:rsid w:val="003B11FE"/>
    <w:rsid w:val="003D2A10"/>
    <w:rsid w:val="003D3841"/>
    <w:rsid w:val="003E522C"/>
    <w:rsid w:val="003F6703"/>
    <w:rsid w:val="00402B48"/>
    <w:rsid w:val="00402E22"/>
    <w:rsid w:val="004072FB"/>
    <w:rsid w:val="00407578"/>
    <w:rsid w:val="0042460A"/>
    <w:rsid w:val="004335C7"/>
    <w:rsid w:val="00447DC6"/>
    <w:rsid w:val="00456209"/>
    <w:rsid w:val="00467AF5"/>
    <w:rsid w:val="00471834"/>
    <w:rsid w:val="0047267F"/>
    <w:rsid w:val="00482332"/>
    <w:rsid w:val="00484FC4"/>
    <w:rsid w:val="00485DF2"/>
    <w:rsid w:val="00486BAB"/>
    <w:rsid w:val="00491966"/>
    <w:rsid w:val="004C0E95"/>
    <w:rsid w:val="004C1AA3"/>
    <w:rsid w:val="004C578B"/>
    <w:rsid w:val="004C6FC5"/>
    <w:rsid w:val="004E2581"/>
    <w:rsid w:val="004E3515"/>
    <w:rsid w:val="004E431A"/>
    <w:rsid w:val="004F733D"/>
    <w:rsid w:val="00515D0D"/>
    <w:rsid w:val="00542C1C"/>
    <w:rsid w:val="005441D5"/>
    <w:rsid w:val="00544582"/>
    <w:rsid w:val="0056044B"/>
    <w:rsid w:val="005633B6"/>
    <w:rsid w:val="005733AC"/>
    <w:rsid w:val="00576117"/>
    <w:rsid w:val="005851F5"/>
    <w:rsid w:val="00593A0F"/>
    <w:rsid w:val="005A3B49"/>
    <w:rsid w:val="005B2EA4"/>
    <w:rsid w:val="005C10EB"/>
    <w:rsid w:val="005C256E"/>
    <w:rsid w:val="005C4ACD"/>
    <w:rsid w:val="005C4E77"/>
    <w:rsid w:val="005C7AAC"/>
    <w:rsid w:val="005D565D"/>
    <w:rsid w:val="005F4FE7"/>
    <w:rsid w:val="00603C64"/>
    <w:rsid w:val="00610601"/>
    <w:rsid w:val="00613287"/>
    <w:rsid w:val="006216EA"/>
    <w:rsid w:val="00622542"/>
    <w:rsid w:val="00623D19"/>
    <w:rsid w:val="0063173E"/>
    <w:rsid w:val="006331B0"/>
    <w:rsid w:val="00636603"/>
    <w:rsid w:val="00640A37"/>
    <w:rsid w:val="00640E10"/>
    <w:rsid w:val="00642568"/>
    <w:rsid w:val="00643218"/>
    <w:rsid w:val="00643A9B"/>
    <w:rsid w:val="00650FA4"/>
    <w:rsid w:val="00651C44"/>
    <w:rsid w:val="0065323D"/>
    <w:rsid w:val="00660E99"/>
    <w:rsid w:val="00662087"/>
    <w:rsid w:val="00670C7C"/>
    <w:rsid w:val="00672F4B"/>
    <w:rsid w:val="006743F4"/>
    <w:rsid w:val="00675480"/>
    <w:rsid w:val="0068633E"/>
    <w:rsid w:val="00690285"/>
    <w:rsid w:val="0069369E"/>
    <w:rsid w:val="00696D4D"/>
    <w:rsid w:val="006A2E46"/>
    <w:rsid w:val="006A6585"/>
    <w:rsid w:val="006B72AC"/>
    <w:rsid w:val="006D1790"/>
    <w:rsid w:val="006D3BEF"/>
    <w:rsid w:val="006F7028"/>
    <w:rsid w:val="007043E8"/>
    <w:rsid w:val="0071383D"/>
    <w:rsid w:val="00716A3D"/>
    <w:rsid w:val="00724A35"/>
    <w:rsid w:val="00727337"/>
    <w:rsid w:val="00730307"/>
    <w:rsid w:val="00743730"/>
    <w:rsid w:val="00744F91"/>
    <w:rsid w:val="0074568A"/>
    <w:rsid w:val="00755DCA"/>
    <w:rsid w:val="00756580"/>
    <w:rsid w:val="00763785"/>
    <w:rsid w:val="0076482A"/>
    <w:rsid w:val="00773681"/>
    <w:rsid w:val="007744E2"/>
    <w:rsid w:val="0077601A"/>
    <w:rsid w:val="00782ECA"/>
    <w:rsid w:val="007863C1"/>
    <w:rsid w:val="007949EB"/>
    <w:rsid w:val="007A079B"/>
    <w:rsid w:val="007A2C32"/>
    <w:rsid w:val="007A50FA"/>
    <w:rsid w:val="007B144E"/>
    <w:rsid w:val="007C0680"/>
    <w:rsid w:val="007C06D3"/>
    <w:rsid w:val="007C2FE1"/>
    <w:rsid w:val="007D183C"/>
    <w:rsid w:val="007D3B08"/>
    <w:rsid w:val="007E1EA8"/>
    <w:rsid w:val="007E4283"/>
    <w:rsid w:val="007E480F"/>
    <w:rsid w:val="007F31B3"/>
    <w:rsid w:val="007F6132"/>
    <w:rsid w:val="0082046A"/>
    <w:rsid w:val="00827B61"/>
    <w:rsid w:val="008546C9"/>
    <w:rsid w:val="00860BFD"/>
    <w:rsid w:val="00865EF7"/>
    <w:rsid w:val="00880789"/>
    <w:rsid w:val="00884BE4"/>
    <w:rsid w:val="008915FD"/>
    <w:rsid w:val="00895644"/>
    <w:rsid w:val="008958B8"/>
    <w:rsid w:val="008A4BCA"/>
    <w:rsid w:val="008B30CB"/>
    <w:rsid w:val="008B3DF3"/>
    <w:rsid w:val="008D03C8"/>
    <w:rsid w:val="008E3680"/>
    <w:rsid w:val="008F0DA9"/>
    <w:rsid w:val="008F1DE8"/>
    <w:rsid w:val="00902306"/>
    <w:rsid w:val="00913C08"/>
    <w:rsid w:val="00934153"/>
    <w:rsid w:val="00934CE2"/>
    <w:rsid w:val="00951243"/>
    <w:rsid w:val="00952A3D"/>
    <w:rsid w:val="00953DA6"/>
    <w:rsid w:val="009576CF"/>
    <w:rsid w:val="009610BC"/>
    <w:rsid w:val="0096119D"/>
    <w:rsid w:val="009619F2"/>
    <w:rsid w:val="00975EB9"/>
    <w:rsid w:val="009825E6"/>
    <w:rsid w:val="00990665"/>
    <w:rsid w:val="0099498F"/>
    <w:rsid w:val="00996649"/>
    <w:rsid w:val="009A367C"/>
    <w:rsid w:val="009A5D8E"/>
    <w:rsid w:val="009A69C6"/>
    <w:rsid w:val="009B4B67"/>
    <w:rsid w:val="009B62FF"/>
    <w:rsid w:val="009B7083"/>
    <w:rsid w:val="009C1FAE"/>
    <w:rsid w:val="009C5C21"/>
    <w:rsid w:val="009D1C1F"/>
    <w:rsid w:val="009D1EE4"/>
    <w:rsid w:val="009D6BC5"/>
    <w:rsid w:val="009E6AD0"/>
    <w:rsid w:val="009F4181"/>
    <w:rsid w:val="009F7763"/>
    <w:rsid w:val="00A15F1B"/>
    <w:rsid w:val="00A163F0"/>
    <w:rsid w:val="00A20136"/>
    <w:rsid w:val="00A21A34"/>
    <w:rsid w:val="00A51A65"/>
    <w:rsid w:val="00A54666"/>
    <w:rsid w:val="00A55FE9"/>
    <w:rsid w:val="00A64944"/>
    <w:rsid w:val="00A67AC6"/>
    <w:rsid w:val="00A71C62"/>
    <w:rsid w:val="00A7741F"/>
    <w:rsid w:val="00A8450D"/>
    <w:rsid w:val="00A9062C"/>
    <w:rsid w:val="00A90B03"/>
    <w:rsid w:val="00A91F9A"/>
    <w:rsid w:val="00A93EC7"/>
    <w:rsid w:val="00A97FCA"/>
    <w:rsid w:val="00AB0A10"/>
    <w:rsid w:val="00AB1D49"/>
    <w:rsid w:val="00AB3C15"/>
    <w:rsid w:val="00AB4D8D"/>
    <w:rsid w:val="00AD0CE7"/>
    <w:rsid w:val="00B031B1"/>
    <w:rsid w:val="00B04D46"/>
    <w:rsid w:val="00B103B1"/>
    <w:rsid w:val="00B16203"/>
    <w:rsid w:val="00B16514"/>
    <w:rsid w:val="00B216A5"/>
    <w:rsid w:val="00B332B1"/>
    <w:rsid w:val="00B36133"/>
    <w:rsid w:val="00B44526"/>
    <w:rsid w:val="00B53B1C"/>
    <w:rsid w:val="00B60870"/>
    <w:rsid w:val="00B61F58"/>
    <w:rsid w:val="00B71625"/>
    <w:rsid w:val="00B77EE4"/>
    <w:rsid w:val="00B82135"/>
    <w:rsid w:val="00B941A7"/>
    <w:rsid w:val="00B973F0"/>
    <w:rsid w:val="00BA0343"/>
    <w:rsid w:val="00BA66CD"/>
    <w:rsid w:val="00BA6D12"/>
    <w:rsid w:val="00BB45C3"/>
    <w:rsid w:val="00BD02A2"/>
    <w:rsid w:val="00BD7A9D"/>
    <w:rsid w:val="00BE201D"/>
    <w:rsid w:val="00BE4E79"/>
    <w:rsid w:val="00BE6D1D"/>
    <w:rsid w:val="00BE755B"/>
    <w:rsid w:val="00BF09B1"/>
    <w:rsid w:val="00BF10E8"/>
    <w:rsid w:val="00BF6C7B"/>
    <w:rsid w:val="00BF6D93"/>
    <w:rsid w:val="00C006CA"/>
    <w:rsid w:val="00C067A8"/>
    <w:rsid w:val="00C067F1"/>
    <w:rsid w:val="00C07464"/>
    <w:rsid w:val="00C268C0"/>
    <w:rsid w:val="00C31B2C"/>
    <w:rsid w:val="00C3746E"/>
    <w:rsid w:val="00C43240"/>
    <w:rsid w:val="00C5214F"/>
    <w:rsid w:val="00C52B9C"/>
    <w:rsid w:val="00C5306E"/>
    <w:rsid w:val="00C55F48"/>
    <w:rsid w:val="00C57B7D"/>
    <w:rsid w:val="00C6251E"/>
    <w:rsid w:val="00C64804"/>
    <w:rsid w:val="00C67951"/>
    <w:rsid w:val="00C71A25"/>
    <w:rsid w:val="00C72EEE"/>
    <w:rsid w:val="00C740D5"/>
    <w:rsid w:val="00C74248"/>
    <w:rsid w:val="00C90364"/>
    <w:rsid w:val="00C90366"/>
    <w:rsid w:val="00C93B06"/>
    <w:rsid w:val="00C94205"/>
    <w:rsid w:val="00C96DD0"/>
    <w:rsid w:val="00C972EC"/>
    <w:rsid w:val="00CB34CB"/>
    <w:rsid w:val="00CB7BA3"/>
    <w:rsid w:val="00CC6C67"/>
    <w:rsid w:val="00CD0F64"/>
    <w:rsid w:val="00CD4E83"/>
    <w:rsid w:val="00CE1B92"/>
    <w:rsid w:val="00CE20FA"/>
    <w:rsid w:val="00CE4069"/>
    <w:rsid w:val="00CF69EF"/>
    <w:rsid w:val="00D00338"/>
    <w:rsid w:val="00D05AC5"/>
    <w:rsid w:val="00D1694A"/>
    <w:rsid w:val="00D23E4C"/>
    <w:rsid w:val="00D2438A"/>
    <w:rsid w:val="00D263CF"/>
    <w:rsid w:val="00D26541"/>
    <w:rsid w:val="00D339EC"/>
    <w:rsid w:val="00D509B7"/>
    <w:rsid w:val="00D55F93"/>
    <w:rsid w:val="00D62435"/>
    <w:rsid w:val="00D64CD3"/>
    <w:rsid w:val="00D67827"/>
    <w:rsid w:val="00D71005"/>
    <w:rsid w:val="00D93314"/>
    <w:rsid w:val="00D952BB"/>
    <w:rsid w:val="00DA248A"/>
    <w:rsid w:val="00DB31AB"/>
    <w:rsid w:val="00DB35F8"/>
    <w:rsid w:val="00DB709E"/>
    <w:rsid w:val="00DC0011"/>
    <w:rsid w:val="00DC705A"/>
    <w:rsid w:val="00DC7534"/>
    <w:rsid w:val="00DE50C7"/>
    <w:rsid w:val="00DE780F"/>
    <w:rsid w:val="00DF6D85"/>
    <w:rsid w:val="00DF7360"/>
    <w:rsid w:val="00DF7484"/>
    <w:rsid w:val="00DF769F"/>
    <w:rsid w:val="00E0582A"/>
    <w:rsid w:val="00E15887"/>
    <w:rsid w:val="00E22D46"/>
    <w:rsid w:val="00E238AC"/>
    <w:rsid w:val="00E2394D"/>
    <w:rsid w:val="00E25B47"/>
    <w:rsid w:val="00E27FD5"/>
    <w:rsid w:val="00E35915"/>
    <w:rsid w:val="00E4622E"/>
    <w:rsid w:val="00E4669E"/>
    <w:rsid w:val="00E47490"/>
    <w:rsid w:val="00E509AA"/>
    <w:rsid w:val="00E514E4"/>
    <w:rsid w:val="00E553F9"/>
    <w:rsid w:val="00E5670A"/>
    <w:rsid w:val="00E66208"/>
    <w:rsid w:val="00E713D7"/>
    <w:rsid w:val="00E75888"/>
    <w:rsid w:val="00E8251F"/>
    <w:rsid w:val="00E86BE5"/>
    <w:rsid w:val="00E97ACD"/>
    <w:rsid w:val="00EB004F"/>
    <w:rsid w:val="00EB32EB"/>
    <w:rsid w:val="00EB49AD"/>
    <w:rsid w:val="00EC4B89"/>
    <w:rsid w:val="00EC7701"/>
    <w:rsid w:val="00ED10BB"/>
    <w:rsid w:val="00ED69E9"/>
    <w:rsid w:val="00EE5D9B"/>
    <w:rsid w:val="00EF1C88"/>
    <w:rsid w:val="00EF23CB"/>
    <w:rsid w:val="00EF3719"/>
    <w:rsid w:val="00EF642D"/>
    <w:rsid w:val="00EF7357"/>
    <w:rsid w:val="00EF7B49"/>
    <w:rsid w:val="00F01C36"/>
    <w:rsid w:val="00F022A3"/>
    <w:rsid w:val="00F14D49"/>
    <w:rsid w:val="00F17AFF"/>
    <w:rsid w:val="00F22548"/>
    <w:rsid w:val="00F225E8"/>
    <w:rsid w:val="00F252E2"/>
    <w:rsid w:val="00F27A79"/>
    <w:rsid w:val="00F34724"/>
    <w:rsid w:val="00F36CFB"/>
    <w:rsid w:val="00F36E8B"/>
    <w:rsid w:val="00F41AE3"/>
    <w:rsid w:val="00F52963"/>
    <w:rsid w:val="00F709E6"/>
    <w:rsid w:val="00F72679"/>
    <w:rsid w:val="00F72E00"/>
    <w:rsid w:val="00F73BF4"/>
    <w:rsid w:val="00F74626"/>
    <w:rsid w:val="00F77896"/>
    <w:rsid w:val="00F93427"/>
    <w:rsid w:val="00F95354"/>
    <w:rsid w:val="00F9745F"/>
    <w:rsid w:val="00FA3696"/>
    <w:rsid w:val="00FD3218"/>
    <w:rsid w:val="00FE0CF5"/>
    <w:rsid w:val="00FE1953"/>
    <w:rsid w:val="00FE43C9"/>
    <w:rsid w:val="00FF0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FCEB"/>
  <w15:chartTrackingRefBased/>
  <w15:docId w15:val="{2401C320-C0AF-402E-97D3-5558A00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CE2"/>
    <w:pPr>
      <w:jc w:val="both"/>
    </w:pPr>
    <w:rPr>
      <w:rFonts w:ascii="Times New Roman" w:eastAsia="Times New Roman" w:hAnsi="Times New Roman" w:cs="Times New Roman"/>
      <w:sz w:val="24"/>
    </w:rPr>
  </w:style>
  <w:style w:type="paragraph" w:styleId="Antrat1">
    <w:name w:val="heading 1"/>
    <w:basedOn w:val="prastasis"/>
    <w:next w:val="prastasis"/>
    <w:link w:val="Antrat1Diagrama"/>
    <w:uiPriority w:val="9"/>
    <w:qFormat/>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563C1" w:themeColor="hyperlink"/>
      <w:u w:val="single"/>
    </w:rPr>
  </w:style>
  <w:style w:type="character" w:styleId="Perirtashipersaitas">
    <w:name w:val="FollowedHyperlink"/>
    <w:basedOn w:val="Numatytasispastraiposriftas"/>
    <w:uiPriority w:val="99"/>
    <w:semiHidden/>
    <w:unhideWhenUsed/>
    <w:rPr>
      <w:color w:val="954F72" w:themeColor="followedHyperlink"/>
      <w:u w:val="single"/>
    </w:rPr>
  </w:style>
  <w:style w:type="character" w:customStyle="1" w:styleId="Antrat1Diagrama">
    <w:name w:val="Antraštė 1 Diagrama"/>
    <w:basedOn w:val="Numatytasispastraiposriftas"/>
    <w:link w:val="Antrat1"/>
    <w:uiPriority w:val="9"/>
    <w:locked/>
    <w:rPr>
      <w:rFonts w:asciiTheme="majorHAnsi" w:eastAsiaTheme="majorEastAsia" w:hAnsiTheme="majorHAnsi" w:cstheme="majorBidi" w:hint="default"/>
      <w:color w:val="2F5496" w:themeColor="accent1" w:themeShade="BF"/>
      <w:sz w:val="32"/>
      <w:szCs w:val="32"/>
    </w:rPr>
  </w:style>
  <w:style w:type="character" w:customStyle="1" w:styleId="Antrat2Diagrama">
    <w:name w:val="Antraštė 2 Diagrama"/>
    <w:basedOn w:val="Numatytasispastraiposriftas"/>
    <w:link w:val="Antrat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Antrat3Diagrama">
    <w:name w:val="Antraštė 3 Diagrama"/>
    <w:basedOn w:val="Numatytasispastraiposriftas"/>
    <w:link w:val="Antrat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Antrat4Diagrama">
    <w:name w:val="Antraštė 4 Diagrama"/>
    <w:basedOn w:val="Numatytasispastraiposriftas"/>
    <w:link w:val="Antrat4"/>
    <w:uiPriority w:val="9"/>
    <w:semiHidden/>
    <w:locked/>
    <w:rPr>
      <w:rFonts w:asciiTheme="majorHAnsi" w:eastAsiaTheme="majorEastAsia" w:hAnsiTheme="majorHAnsi" w:cstheme="majorBidi" w:hint="default"/>
      <w:i/>
      <w:iCs/>
      <w:color w:val="2F5496" w:themeColor="accent1" w:themeShade="BF"/>
      <w:sz w:val="24"/>
      <w:szCs w:val="20"/>
    </w:rPr>
  </w:style>
  <w:style w:type="paragraph" w:customStyle="1" w:styleId="msonormal0">
    <w:name w:val="msonormal"/>
    <w:basedOn w:val="prastasis"/>
    <w:pPr>
      <w:spacing w:before="100" w:beforeAutospacing="1" w:after="100" w:afterAutospacing="1"/>
      <w:jc w:val="left"/>
    </w:pPr>
    <w:rPr>
      <w:rFonts w:eastAsiaTheme="minorEastAsia"/>
      <w:szCs w:val="24"/>
      <w:lang w:eastAsia="lt-LT"/>
    </w:rPr>
  </w:style>
  <w:style w:type="paragraph" w:styleId="Turinys1">
    <w:name w:val="toc 1"/>
    <w:basedOn w:val="prastasis"/>
    <w:next w:val="prastasis"/>
    <w:autoRedefine/>
    <w:uiPriority w:val="39"/>
    <w:semiHidden/>
    <w:unhideWhenUsed/>
    <w:pPr>
      <w:spacing w:after="100" w:line="256" w:lineRule="auto"/>
      <w:jc w:val="left"/>
    </w:pPr>
    <w:rPr>
      <w:rFonts w:asciiTheme="minorHAnsi" w:eastAsiaTheme="minorEastAsia" w:hAnsiTheme="minorHAnsi"/>
      <w:sz w:val="22"/>
      <w:szCs w:val="22"/>
      <w:lang w:eastAsia="lt-LT"/>
    </w:rPr>
  </w:style>
  <w:style w:type="paragraph" w:styleId="Turinys2">
    <w:name w:val="toc 2"/>
    <w:basedOn w:val="prastasis"/>
    <w:next w:val="prastasis"/>
    <w:autoRedefine/>
    <w:uiPriority w:val="39"/>
    <w:unhideWhenUsed/>
    <w:pPr>
      <w:tabs>
        <w:tab w:val="right" w:leader="underscore" w:pos="14560"/>
      </w:tabs>
      <w:spacing w:after="100" w:line="256" w:lineRule="auto"/>
      <w:ind w:left="220"/>
      <w:jc w:val="left"/>
    </w:pPr>
    <w:rPr>
      <w:rFonts w:asciiTheme="minorHAnsi" w:eastAsiaTheme="minorEastAsia" w:hAnsiTheme="minorHAnsi"/>
      <w:sz w:val="22"/>
      <w:szCs w:val="22"/>
      <w:lang w:eastAsia="lt-LT"/>
    </w:rPr>
  </w:style>
  <w:style w:type="paragraph" w:styleId="Turinys3">
    <w:name w:val="toc 3"/>
    <w:basedOn w:val="prastasis"/>
    <w:next w:val="prastasis"/>
    <w:autoRedefine/>
    <w:uiPriority w:val="39"/>
    <w:semiHidden/>
    <w:unhideWhenUsed/>
    <w:pPr>
      <w:spacing w:after="100" w:line="256" w:lineRule="auto"/>
      <w:ind w:left="440"/>
      <w:jc w:val="left"/>
    </w:pPr>
    <w:rPr>
      <w:rFonts w:asciiTheme="minorHAnsi" w:eastAsiaTheme="minorEastAsia" w:hAnsiTheme="minorHAnsi"/>
      <w:sz w:val="22"/>
      <w:szCs w:val="22"/>
      <w:lang w:eastAsia="lt-LT"/>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locked/>
    <w:rPr>
      <w:rFonts w:ascii="Times New Roman" w:eastAsia="Times New Roman" w:hAnsi="Times New Roman" w:cs="Times New Roman" w:hint="default"/>
      <w:szCs w:val="20"/>
    </w:rPr>
  </w:style>
  <w:style w:type="paragraph" w:styleId="Antrats">
    <w:name w:val="header"/>
    <w:basedOn w:val="prastasis"/>
    <w:link w:val="AntratsDiagrama"/>
    <w:uiPriority w:val="99"/>
    <w:unhideWhenUsed/>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locked/>
  </w:style>
  <w:style w:type="paragraph" w:styleId="Porat">
    <w:name w:val="footer"/>
    <w:basedOn w:val="prastasis"/>
    <w:link w:val="PoratDiagrama"/>
    <w:uiPriority w:val="99"/>
    <w:unhideWhenUsed/>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locked/>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locked/>
    <w:rPr>
      <w:rFonts w:ascii="Times New Roman" w:eastAsia="Times New Roman" w:hAnsi="Times New Roman" w:cs="Times New Roman" w:hint="default"/>
      <w:b/>
      <w:bCs/>
      <w:szCs w:val="2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locked/>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pPr>
      <w:ind w:left="720"/>
      <w:contextualSpacing/>
      <w:jc w:val="left"/>
    </w:pPr>
    <w:rPr>
      <w:rFonts w:ascii="Arial Narrow" w:eastAsiaTheme="minorHAnsi" w:hAnsi="Arial Narrow" w:cstheme="minorBidi"/>
      <w:sz w:val="20"/>
      <w:szCs w:val="22"/>
    </w:rPr>
  </w:style>
  <w:style w:type="paragraph" w:styleId="Turinioantrat">
    <w:name w:val="TOC Heading"/>
    <w:basedOn w:val="Antrat1"/>
    <w:next w:val="prastasis"/>
    <w:uiPriority w:val="39"/>
    <w:semiHidden/>
    <w:unhideWhenUsed/>
    <w:qFormat/>
    <w:pPr>
      <w:spacing w:line="256" w:lineRule="auto"/>
      <w:outlineLvl w:val="9"/>
    </w:pPr>
    <w:rPr>
      <w:lang w:eastAsia="lt-LT"/>
    </w:rPr>
  </w:style>
  <w:style w:type="character" w:customStyle="1" w:styleId="ERIKA10Diagrama">
    <w:name w:val="ERIKA10 Diagrama"/>
    <w:basedOn w:val="Numatytasispastraiposriftas"/>
    <w:link w:val="ERIKA10"/>
    <w:locked/>
    <w:rPr>
      <w:rFonts w:ascii="Times New Roman" w:eastAsiaTheme="majorEastAsia" w:hAnsi="Times New Roman" w:cstheme="majorBidi" w:hint="default"/>
      <w:b/>
      <w:bCs w:val="0"/>
      <w:szCs w:val="26"/>
    </w:rPr>
  </w:style>
  <w:style w:type="paragraph" w:customStyle="1" w:styleId="ERIKA10">
    <w:name w:val="ERIKA10"/>
    <w:basedOn w:val="Antrat2"/>
    <w:link w:val="ERIKA10Diagrama"/>
    <w:qFormat/>
    <w:pPr>
      <w:jc w:val="left"/>
    </w:pPr>
    <w:rPr>
      <w:rFonts w:ascii="Arial Narrow" w:hAnsi="Arial Narrow"/>
      <w:b/>
      <w:color w:val="auto"/>
      <w:sz w:val="20"/>
    </w:rPr>
  </w:style>
  <w:style w:type="character" w:styleId="Puslapioinaosnuoroda">
    <w:name w:val="footnote reference"/>
    <w:basedOn w:val="Numatytasispastraiposriftas"/>
    <w:semiHidden/>
    <w:unhideWhenUsed/>
    <w:rPr>
      <w:rFonts w:ascii="Times New Roman" w:hAnsi="Times New Roman" w:cs="Times New Roman" w:hint="default"/>
      <w:position w:val="0"/>
      <w:vertAlign w:val="superscript"/>
    </w:rPr>
  </w:style>
  <w:style w:type="character" w:styleId="Komentaronuoroda">
    <w:name w:val="annotation reference"/>
    <w:basedOn w:val="Numatytasispastraiposriftas"/>
    <w:uiPriority w:val="99"/>
    <w:semiHidden/>
    <w:unhideWhenUsed/>
    <w:rPr>
      <w:sz w:val="16"/>
      <w:szCs w:val="16"/>
    </w:rPr>
  </w:style>
  <w:style w:type="character" w:styleId="Vietosrezervavimoenklotekstas">
    <w:name w:val="Placeholder Text"/>
    <w:basedOn w:val="Numatytasispastraiposriftas"/>
    <w:uiPriority w:val="99"/>
    <w:semiHidden/>
    <w:rPr>
      <w:color w:val="808080"/>
    </w:rPr>
  </w:style>
  <w:style w:type="character" w:customStyle="1" w:styleId="normaltextrun">
    <w:name w:val="normaltextrun"/>
    <w:basedOn w:val="Numatytasispastraiposriftas"/>
  </w:style>
  <w:style w:type="character" w:customStyle="1" w:styleId="markedcontent">
    <w:name w:val="markedcontent"/>
    <w:basedOn w:val="Numatytasispastraiposriftas"/>
  </w:style>
  <w:style w:type="table" w:styleId="Lentelstinklelis">
    <w:name w:val="Table Grid"/>
    <w:basedOn w:val="prastojilentel"/>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ERIKA11"/>
    <w:basedOn w:val="ERIKA10"/>
    <w:next w:val="Antrat1"/>
    <w:uiPriority w:val="1"/>
    <w:qFormat/>
  </w:style>
  <w:style w:type="paragraph" w:styleId="Pataisymai">
    <w:name w:val="Revision"/>
    <w:hidden/>
    <w:uiPriority w:val="99"/>
    <w:semiHidden/>
    <w:rsid w:val="00BE4E79"/>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DC00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0011"/>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022027"/>
    <w:rPr>
      <w:color w:val="605E5C"/>
      <w:shd w:val="clear" w:color="auto" w:fill="E1DFDD"/>
    </w:rPr>
  </w:style>
  <w:style w:type="paragraph" w:styleId="Puslapioinaostekstas">
    <w:name w:val="footnote text"/>
    <w:basedOn w:val="prastasis"/>
    <w:link w:val="PuslapioinaostekstasDiagrama"/>
    <w:uiPriority w:val="99"/>
    <w:semiHidden/>
    <w:unhideWhenUsed/>
    <w:rsid w:val="00FA3696"/>
    <w:rPr>
      <w:sz w:val="20"/>
    </w:rPr>
  </w:style>
  <w:style w:type="character" w:customStyle="1" w:styleId="PuslapioinaostekstasDiagrama">
    <w:name w:val="Puslapio išnašos tekstas Diagrama"/>
    <w:basedOn w:val="Numatytasispastraiposriftas"/>
    <w:link w:val="Puslapioinaostekstas"/>
    <w:uiPriority w:val="99"/>
    <w:semiHidden/>
    <w:rsid w:val="00FA3696"/>
    <w:rPr>
      <w:rFonts w:ascii="Times New Roman" w:eastAsia="Times New Roman" w:hAnsi="Times New Roman" w:cs="Times New Roman"/>
    </w:rPr>
  </w:style>
  <w:style w:type="paragraph" w:styleId="prastasiniatinklio">
    <w:name w:val="Normal (Web)"/>
    <w:basedOn w:val="prastasis"/>
    <w:uiPriority w:val="99"/>
    <w:semiHidden/>
    <w:unhideWhenUsed/>
    <w:rsid w:val="00AB1D49"/>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471557">
      <w:bodyDiv w:val="1"/>
      <w:marLeft w:val="0"/>
      <w:marRight w:val="0"/>
      <w:marTop w:val="0"/>
      <w:marBottom w:val="0"/>
      <w:divBdr>
        <w:top w:val="none" w:sz="0" w:space="0" w:color="auto"/>
        <w:left w:val="none" w:sz="0" w:space="0" w:color="auto"/>
        <w:bottom w:val="none" w:sz="0" w:space="0" w:color="auto"/>
        <w:right w:val="none" w:sz="0" w:space="0" w:color="auto"/>
      </w:divBdr>
    </w:div>
    <w:div w:id="468983887">
      <w:bodyDiv w:val="1"/>
      <w:marLeft w:val="0"/>
      <w:marRight w:val="0"/>
      <w:marTop w:val="0"/>
      <w:marBottom w:val="0"/>
      <w:divBdr>
        <w:top w:val="none" w:sz="0" w:space="0" w:color="auto"/>
        <w:left w:val="none" w:sz="0" w:space="0" w:color="auto"/>
        <w:bottom w:val="none" w:sz="0" w:space="0" w:color="auto"/>
        <w:right w:val="none" w:sz="0" w:space="0" w:color="auto"/>
      </w:divBdr>
    </w:div>
    <w:div w:id="1588614820">
      <w:bodyDiv w:val="1"/>
      <w:marLeft w:val="0"/>
      <w:marRight w:val="0"/>
      <w:marTop w:val="0"/>
      <w:marBottom w:val="0"/>
      <w:divBdr>
        <w:top w:val="none" w:sz="0" w:space="0" w:color="auto"/>
        <w:left w:val="none" w:sz="0" w:space="0" w:color="auto"/>
        <w:bottom w:val="none" w:sz="0" w:space="0" w:color="auto"/>
        <w:right w:val="none" w:sz="0" w:space="0" w:color="auto"/>
      </w:divBdr>
    </w:div>
    <w:div w:id="1616129721">
      <w:bodyDiv w:val="1"/>
      <w:marLeft w:val="0"/>
      <w:marRight w:val="0"/>
      <w:marTop w:val="0"/>
      <w:marBottom w:val="0"/>
      <w:divBdr>
        <w:top w:val="none" w:sz="0" w:space="0" w:color="auto"/>
        <w:left w:val="none" w:sz="0" w:space="0" w:color="auto"/>
        <w:bottom w:val="none" w:sz="0" w:space="0" w:color="auto"/>
        <w:right w:val="none" w:sz="0" w:space="0" w:color="auto"/>
      </w:divBdr>
    </w:div>
    <w:div w:id="1761219505">
      <w:bodyDiv w:val="1"/>
      <w:marLeft w:val="0"/>
      <w:marRight w:val="0"/>
      <w:marTop w:val="0"/>
      <w:marBottom w:val="0"/>
      <w:divBdr>
        <w:top w:val="none" w:sz="0" w:space="0" w:color="auto"/>
        <w:left w:val="none" w:sz="0" w:space="0" w:color="auto"/>
        <w:bottom w:val="none" w:sz="0" w:space="0" w:color="auto"/>
        <w:right w:val="none" w:sz="0" w:space="0" w:color="auto"/>
      </w:divBdr>
    </w:div>
    <w:div w:id="18755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5F1A8-5B25-4FF9-807F-C4D5AF7568F6}">
  <ds:schemaRefs>
    <ds:schemaRef ds:uri="http://schemas.openxmlformats.org/officeDocument/2006/bibliography"/>
  </ds:schemaRefs>
</ds:datastoreItem>
</file>

<file path=customXml/itemProps2.xml><?xml version="1.0" encoding="utf-8"?>
<ds:datastoreItem xmlns:ds="http://schemas.openxmlformats.org/officeDocument/2006/customXml" ds:itemID="{F222AC0E-6F39-4EF4-9F72-C88E16B86B3C}"/>
</file>

<file path=customXml/itemProps3.xml><?xml version="1.0" encoding="utf-8"?>
<ds:datastoreItem xmlns:ds="http://schemas.openxmlformats.org/officeDocument/2006/customXml" ds:itemID="{39CF458D-A51E-4E39-BB6D-1CF8151CE74B}">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4.xml><?xml version="1.0" encoding="utf-8"?>
<ds:datastoreItem xmlns:ds="http://schemas.openxmlformats.org/officeDocument/2006/customXml" ds:itemID="{582B1DE7-AF28-4111-8190-7238D8FE7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4753</Words>
  <Characters>2710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Indrė Žemaitė</cp:lastModifiedBy>
  <cp:revision>93</cp:revision>
  <cp:lastPrinted>2024-12-02T06:09:00Z</cp:lastPrinted>
  <dcterms:created xsi:type="dcterms:W3CDTF">2025-03-18T12:54:00Z</dcterms:created>
  <dcterms:modified xsi:type="dcterms:W3CDTF">2025-03-25T16:02:00Z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