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330BC710" w14:textId="4FE6B60F" w:rsidR="0029100E" w:rsidRPr="000B65CD" w:rsidRDefault="005253AD" w:rsidP="00B75566">
      <w:pPr>
        <w:tabs>
          <w:tab w:val="right" w:leader="underscore" w:pos="8505"/>
        </w:tabs>
        <w:ind w:firstLine="0"/>
        <w:jc w:val="center"/>
        <w:rPr>
          <w:rFonts w:ascii="Times New Roman" w:hAnsi="Times New Roman" w:cs="Times New Roman"/>
          <w:b/>
          <w:bCs/>
          <w:i/>
          <w:sz w:val="24"/>
        </w:rPr>
      </w:pPr>
      <w:r>
        <w:rPr>
          <w:rFonts w:ascii="Times New Roman" w:hAnsi="Times New Roman"/>
          <w:b/>
          <w:bCs/>
          <w:sz w:val="24"/>
        </w:rPr>
        <w:t>Mirusiojo kūno išvežimo paslauga</w:t>
      </w:r>
    </w:p>
    <w:p w14:paraId="65E0803C" w14:textId="77777777" w:rsidR="000A7AD5" w:rsidRPr="00BA4A65" w:rsidRDefault="000A7AD5"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40778886" w:rsidR="00701559" w:rsidRPr="005D7E4D"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erkančioji organizacija</w:t>
      </w:r>
      <w:r w:rsidR="00B54B09" w:rsidRPr="005D7E4D">
        <w:rPr>
          <w:rFonts w:ascii="Times New Roman" w:hAnsi="Times New Roman" w:cs="Times New Roman"/>
          <w:sz w:val="22"/>
          <w:szCs w:val="22"/>
        </w:rPr>
        <w:t>)</w:t>
      </w:r>
      <w:r w:rsidR="006D4D8B" w:rsidRPr="005D7E4D">
        <w:rPr>
          <w:rFonts w:ascii="Times New Roman" w:hAnsi="Times New Roman" w:cs="Times New Roman"/>
          <w:color w:val="333333"/>
          <w:sz w:val="22"/>
          <w:szCs w:val="22"/>
          <w:shd w:val="clear" w:color="auto" w:fill="FFFFFF"/>
        </w:rPr>
        <w:t xml:space="preserve"> numato įsigyti </w:t>
      </w:r>
      <w:r w:rsidR="008537F4" w:rsidRPr="005D7E4D">
        <w:rPr>
          <w:rFonts w:ascii="Times New Roman" w:hAnsi="Times New Roman" w:cs="Times New Roman"/>
          <w:color w:val="333333"/>
          <w:sz w:val="22"/>
          <w:szCs w:val="22"/>
          <w:shd w:val="clear" w:color="auto" w:fill="FFFFFF"/>
        </w:rPr>
        <w:t xml:space="preserve"> </w:t>
      </w:r>
      <w:r w:rsidR="005253AD">
        <w:rPr>
          <w:rFonts w:ascii="Times New Roman" w:hAnsi="Times New Roman"/>
          <w:sz w:val="22"/>
          <w:szCs w:val="22"/>
        </w:rPr>
        <w:t>mirusiojo kūno išvežimo paslaugą</w:t>
      </w:r>
      <w:r w:rsidR="00271F36" w:rsidRPr="005D7E4D">
        <w:rPr>
          <w:rFonts w:ascii="Times New Roman" w:hAnsi="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2BE97B45"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Edita Bertašienė</w:t>
      </w:r>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r w:rsidR="008537F4">
        <w:rPr>
          <w:rFonts w:ascii="Times New Roman" w:eastAsia="Calibri" w:hAnsi="Times New Roman" w:cs="Times New Roman"/>
          <w:sz w:val="22"/>
          <w:szCs w:val="22"/>
        </w:rPr>
        <w:t>edita.bertasiene</w:t>
      </w:r>
      <w:r w:rsidR="008537F4">
        <w:rPr>
          <w:rFonts w:ascii="Times New Roman" w:eastAsia="Calibri" w:hAnsi="Times New Roman" w:cs="Times New Roman"/>
          <w:sz w:val="22"/>
          <w:szCs w:val="22"/>
          <w:lang w:val="en-US"/>
        </w:rPr>
        <w:t>@</w:t>
      </w:r>
      <w:r w:rsidR="008537F4">
        <w:rPr>
          <w:rFonts w:ascii="Times New Roman" w:eastAsia="Calibri" w:hAnsi="Times New Roman" w:cs="Times New Roman"/>
          <w:sz w:val="22"/>
          <w:szCs w:val="22"/>
        </w:rPr>
        <w:t>kulig.lt</w:t>
      </w:r>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07BFC426" w:rsidR="004C1815" w:rsidRPr="005D7E4D" w:rsidRDefault="0023781D" w:rsidP="005D7E4D">
      <w:pPr>
        <w:tabs>
          <w:tab w:val="right" w:leader="underscore" w:pos="8505"/>
        </w:tabs>
        <w:ind w:firstLine="284"/>
        <w:jc w:val="center"/>
        <w:rPr>
          <w:rFonts w:ascii="Times New Roman" w:hAnsi="Times New Roman" w:cs="Times New Roman"/>
          <w:sz w:val="22"/>
          <w:szCs w:val="22"/>
        </w:rPr>
      </w:pPr>
      <w:r w:rsidRPr="005D7E4D">
        <w:rPr>
          <w:rFonts w:ascii="Times New Roman" w:hAnsi="Times New Roman" w:cs="Times New Roman"/>
          <w:sz w:val="22"/>
          <w:szCs w:val="22"/>
        </w:rPr>
        <w:t xml:space="preserve">Pirkimo objektas – </w:t>
      </w:r>
      <w:r w:rsidR="005253AD">
        <w:rPr>
          <w:rFonts w:ascii="Times New Roman" w:hAnsi="Times New Roman"/>
          <w:sz w:val="22"/>
          <w:szCs w:val="22"/>
        </w:rPr>
        <w:t>mirusiojo kūno išvežimo paslauga</w:t>
      </w:r>
      <w:r w:rsidR="005D7E4D">
        <w:rPr>
          <w:rFonts w:ascii="Times New Roman" w:hAnsi="Times New Roman"/>
          <w:sz w:val="22"/>
          <w:szCs w:val="22"/>
        </w:rPr>
        <w:t xml:space="preserve"> </w:t>
      </w:r>
      <w:r w:rsidR="005424E6" w:rsidRPr="005D7E4D">
        <w:rPr>
          <w:rFonts w:ascii="Times New Roman" w:hAnsi="Times New Roman" w:cs="Times New Roman"/>
          <w:sz w:val="22"/>
          <w:szCs w:val="22"/>
        </w:rPr>
        <w:t xml:space="preserve">, toliau – </w:t>
      </w:r>
      <w:r w:rsidR="005253AD">
        <w:rPr>
          <w:rFonts w:ascii="Times New Roman" w:hAnsi="Times New Roman" w:cs="Times New Roman"/>
          <w:sz w:val="22"/>
          <w:szCs w:val="22"/>
        </w:rPr>
        <w:t>Paslauga</w:t>
      </w:r>
      <w:r w:rsidR="005424E6" w:rsidRPr="005D7E4D">
        <w:rPr>
          <w:rFonts w:ascii="Times New Roman" w:hAnsi="Times New Roman" w:cs="Times New Roman"/>
          <w:sz w:val="22"/>
          <w:szCs w:val="22"/>
        </w:rPr>
        <w:t>.</w:t>
      </w:r>
    </w:p>
    <w:p w14:paraId="5D484218" w14:textId="78502BF1" w:rsidR="000B65CD" w:rsidRPr="00A50647" w:rsidRDefault="000B65CD"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sidRPr="00A50647">
        <w:rPr>
          <w:rFonts w:ascii="Times New Roman" w:hAnsi="Times New Roman" w:cs="Times New Roman"/>
          <w:sz w:val="22"/>
          <w:szCs w:val="22"/>
        </w:rPr>
        <w:t xml:space="preserve">Šis pirkimas </w:t>
      </w:r>
      <w:r w:rsidR="00DE6C48">
        <w:rPr>
          <w:rFonts w:ascii="Times New Roman" w:hAnsi="Times New Roman" w:cs="Times New Roman"/>
          <w:sz w:val="22"/>
          <w:szCs w:val="22"/>
        </w:rPr>
        <w:t>ne</w:t>
      </w:r>
      <w:r w:rsidRPr="00A50647">
        <w:rPr>
          <w:rFonts w:ascii="Times New Roman" w:hAnsi="Times New Roman" w:cs="Times New Roman"/>
          <w:sz w:val="22"/>
          <w:szCs w:val="22"/>
        </w:rPr>
        <w:t>skirstomas į  pirkimo objekto dalis</w:t>
      </w:r>
      <w:r w:rsidR="00DE6C48">
        <w:rPr>
          <w:rFonts w:ascii="Times New Roman" w:hAnsi="Times New Roman" w:cs="Times New Roman"/>
          <w:sz w:val="22"/>
          <w:szCs w:val="22"/>
        </w:rPr>
        <w:t>.</w:t>
      </w:r>
      <w:r w:rsidRPr="00A50647">
        <w:rPr>
          <w:rFonts w:ascii="Times New Roman" w:hAnsi="Times New Roman" w:cs="Times New Roman"/>
          <w:sz w:val="22"/>
          <w:szCs w:val="22"/>
        </w:rPr>
        <w:t xml:space="preserve"> </w:t>
      </w:r>
    </w:p>
    <w:p w14:paraId="165D53F1" w14:textId="26E39354" w:rsidR="00582A47" w:rsidRPr="00A50647"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A50647">
        <w:rPr>
          <w:rFonts w:ascii="Times New Roman" w:hAnsi="Times New Roman" w:cs="Times New Roman"/>
          <w:sz w:val="22"/>
          <w:szCs w:val="22"/>
        </w:rPr>
        <w:t>P</w:t>
      </w:r>
      <w:r w:rsidR="00287DBA" w:rsidRPr="00A50647">
        <w:rPr>
          <w:rFonts w:ascii="Times New Roman" w:hAnsi="Times New Roman" w:cs="Times New Roman"/>
          <w:sz w:val="22"/>
          <w:szCs w:val="22"/>
        </w:rPr>
        <w:t>erkam</w:t>
      </w:r>
      <w:r w:rsidR="006D4D8B" w:rsidRPr="00A50647">
        <w:rPr>
          <w:rFonts w:ascii="Times New Roman" w:hAnsi="Times New Roman" w:cs="Times New Roman"/>
          <w:sz w:val="22"/>
          <w:szCs w:val="22"/>
        </w:rPr>
        <w:t>ų</w:t>
      </w:r>
      <w:r w:rsidRPr="00A50647">
        <w:rPr>
          <w:rFonts w:ascii="Times New Roman" w:hAnsi="Times New Roman" w:cs="Times New Roman"/>
          <w:sz w:val="22"/>
          <w:szCs w:val="22"/>
        </w:rPr>
        <w:t xml:space="preserve"> </w:t>
      </w:r>
      <w:r w:rsidR="005253AD">
        <w:rPr>
          <w:rFonts w:ascii="Times New Roman" w:hAnsi="Times New Roman" w:cs="Times New Roman"/>
          <w:sz w:val="22"/>
          <w:szCs w:val="22"/>
        </w:rPr>
        <w:t xml:space="preserve">Paslaugų </w:t>
      </w:r>
      <w:r w:rsidR="0023781D" w:rsidRPr="00A50647">
        <w:rPr>
          <w:rFonts w:ascii="Times New Roman" w:hAnsi="Times New Roman" w:cs="Times New Roman"/>
          <w:sz w:val="22"/>
          <w:szCs w:val="22"/>
        </w:rPr>
        <w:t xml:space="preserve">savybės </w:t>
      </w:r>
      <w:r w:rsidR="00423F48" w:rsidRPr="00A50647">
        <w:rPr>
          <w:rFonts w:ascii="Times New Roman" w:hAnsi="Times New Roman" w:cs="Times New Roman"/>
          <w:sz w:val="22"/>
          <w:szCs w:val="22"/>
        </w:rPr>
        <w:t>nurodytos</w:t>
      </w:r>
      <w:r w:rsidR="0023781D" w:rsidRPr="00A50647">
        <w:rPr>
          <w:rFonts w:ascii="Times New Roman" w:hAnsi="Times New Roman" w:cs="Times New Roman"/>
          <w:sz w:val="22"/>
          <w:szCs w:val="22"/>
        </w:rPr>
        <w:t xml:space="preserve"> </w:t>
      </w:r>
      <w:r w:rsidR="00B54B09" w:rsidRPr="00A50647">
        <w:rPr>
          <w:rFonts w:ascii="Times New Roman" w:hAnsi="Times New Roman" w:cs="Times New Roman"/>
          <w:sz w:val="22"/>
          <w:szCs w:val="22"/>
        </w:rPr>
        <w:t>Pirkimo</w:t>
      </w:r>
      <w:r w:rsidR="0023781D" w:rsidRPr="00A50647">
        <w:rPr>
          <w:rFonts w:ascii="Times New Roman" w:hAnsi="Times New Roman" w:cs="Times New Roman"/>
          <w:sz w:val="22"/>
          <w:szCs w:val="22"/>
        </w:rPr>
        <w:t xml:space="preserve"> sąlygų </w:t>
      </w:r>
      <w:r w:rsidR="00520330" w:rsidRPr="00A50647">
        <w:rPr>
          <w:rFonts w:ascii="Times New Roman" w:hAnsi="Times New Roman" w:cs="Times New Roman"/>
          <w:sz w:val="22"/>
          <w:szCs w:val="22"/>
        </w:rPr>
        <w:t>2</w:t>
      </w:r>
      <w:r w:rsidR="00B54B09" w:rsidRPr="00A50647">
        <w:rPr>
          <w:rFonts w:ascii="Times New Roman" w:hAnsi="Times New Roman" w:cs="Times New Roman"/>
          <w:sz w:val="22"/>
          <w:szCs w:val="22"/>
        </w:rPr>
        <w:t xml:space="preserve"> priede </w:t>
      </w:r>
      <w:r w:rsidR="00822660" w:rsidRPr="00A50647">
        <w:rPr>
          <w:rFonts w:ascii="Times New Roman" w:hAnsi="Times New Roman" w:cs="Times New Roman"/>
          <w:sz w:val="22"/>
          <w:szCs w:val="22"/>
        </w:rPr>
        <w:t>–</w:t>
      </w:r>
      <w:r w:rsidR="00271F36" w:rsidRPr="00A50647">
        <w:rPr>
          <w:rFonts w:ascii="Times New Roman" w:hAnsi="Times New Roman" w:cs="Times New Roman"/>
          <w:sz w:val="22"/>
          <w:szCs w:val="22"/>
        </w:rPr>
        <w:t xml:space="preserve"> T</w:t>
      </w:r>
      <w:r w:rsidR="0023781D" w:rsidRPr="00A50647">
        <w:rPr>
          <w:rFonts w:ascii="Times New Roman" w:hAnsi="Times New Roman" w:cs="Times New Roman"/>
          <w:sz w:val="22"/>
          <w:szCs w:val="22"/>
        </w:rPr>
        <w:t>echninėje specifikacijoje.</w:t>
      </w:r>
    </w:p>
    <w:p w14:paraId="138F9804" w14:textId="684E4011" w:rsidR="007853F5" w:rsidRPr="0028255D" w:rsidRDefault="005253AD" w:rsidP="001F6858">
      <w:pPr>
        <w:pStyle w:val="ListParagraph"/>
        <w:numPr>
          <w:ilvl w:val="1"/>
          <w:numId w:val="16"/>
        </w:numPr>
        <w:tabs>
          <w:tab w:val="left" w:pos="709"/>
          <w:tab w:val="left" w:pos="1134"/>
        </w:tabs>
        <w:ind w:left="567" w:firstLine="207"/>
        <w:jc w:val="both"/>
        <w:rPr>
          <w:sz w:val="22"/>
        </w:rPr>
      </w:pPr>
      <w:r w:rsidRPr="0028255D">
        <w:rPr>
          <w:sz w:val="22"/>
          <w:lang w:val="lt-LT"/>
        </w:rPr>
        <w:t xml:space="preserve">Paslauga atliekama visomis dienomis, taip pat ir išeiginėmis ir šventinėmis dienomis t.y. visą parą 24/7. </w:t>
      </w: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556D2559" w14:textId="743FE633"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3.1. </w:t>
      </w:r>
      <w:r w:rsidR="004735D0">
        <w:rPr>
          <w:rFonts w:cs="Times New Roman"/>
          <w:color w:val="auto"/>
          <w:lang w:val="lt-LT"/>
        </w:rPr>
        <w:t xml:space="preserve"> </w:t>
      </w:r>
      <w:r w:rsidR="00822660" w:rsidRPr="00E27FE1">
        <w:rPr>
          <w:rFonts w:cs="Times New Roman"/>
          <w:color w:val="auto"/>
          <w:lang w:val="sv-SE"/>
        </w:rPr>
        <w:t>Perkan</w:t>
      </w:r>
      <w:r w:rsidR="00822660" w:rsidRPr="00271F36">
        <w:rPr>
          <w:rFonts w:cs="Times New Roman"/>
          <w:color w:val="auto"/>
          <w:lang w:val="lt-LT"/>
        </w:rPr>
        <w:t>čioji organizacija netikrina ar yra Viešųjų pirkimų įstatymo 46 straipsnyje numatytų tiekėjo pašalinimo pagrindų</w:t>
      </w:r>
    </w:p>
    <w:p w14:paraId="573E98C7" w14:textId="44C5E49B"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3.2. </w:t>
      </w:r>
      <w:r w:rsidR="00822660" w:rsidRPr="00271F36">
        <w:rPr>
          <w:rFonts w:cs="Times New Roman"/>
          <w:color w:val="auto"/>
          <w:lang w:val="lt-LT"/>
        </w:rPr>
        <w:t xml:space="preserve">Perkančioji organizacija </w:t>
      </w:r>
      <w:r w:rsidR="00977491">
        <w:rPr>
          <w:rFonts w:cs="Times New Roman"/>
          <w:color w:val="auto"/>
          <w:lang w:val="lt-LT"/>
        </w:rPr>
        <w:t>ne</w:t>
      </w:r>
      <w:r w:rsidR="00822660" w:rsidRPr="00271F36">
        <w:rPr>
          <w:rFonts w:cs="Times New Roman"/>
          <w:color w:val="auto"/>
          <w:lang w:val="lt-LT"/>
        </w:rPr>
        <w:t>tikrina tiekėjų kvalifikacij</w:t>
      </w:r>
      <w:r w:rsidR="00977491">
        <w:rPr>
          <w:rFonts w:cs="Times New Roman"/>
          <w:color w:val="auto"/>
          <w:lang w:val="lt-LT"/>
        </w:rPr>
        <w:t>os</w:t>
      </w:r>
      <w:r w:rsidR="007853F5">
        <w:rPr>
          <w:rFonts w:cs="Times New Roman"/>
          <w:color w:val="auto"/>
          <w:lang w:val="lt-LT"/>
        </w:rPr>
        <w:t>.</w:t>
      </w:r>
      <w:r w:rsidRPr="00BA4A65">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Tiekėjai gali remtis kitų ūkio subjektų pajė</w:t>
      </w:r>
      <w:r w:rsidRPr="00E27FE1">
        <w:rPr>
          <w:rFonts w:cs="Times New Roman"/>
          <w:color w:val="auto"/>
          <w:lang w:val="pt-PT"/>
        </w:rPr>
        <w:t>gumais, neatsi</w:t>
      </w:r>
      <w:r w:rsidRPr="00271F36">
        <w:rPr>
          <w:rFonts w:cs="Times New Roman"/>
          <w:color w:val="auto"/>
          <w:lang w:val="lt-LT"/>
        </w:rPr>
        <w:t>žvelgdami į tai, kokio teisinio pobūdž</w:t>
      </w:r>
      <w:r w:rsidRPr="00E27FE1">
        <w:rPr>
          <w:rFonts w:cs="Times New Roman"/>
          <w:color w:val="auto"/>
          <w:lang w:val="es-ES_tradnl"/>
        </w:rPr>
        <w:t>io yra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r w:rsidRPr="00271F36">
        <w:rPr>
          <w:rFonts w:cs="Times New Roman"/>
          <w:color w:val="auto"/>
          <w:lang w:val="lt-LT"/>
        </w:rPr>
        <w:t>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w:t>
      </w:r>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5.6. Pateikdamas pasiūlymą, tiekėjas sutinka su šiais pirkimo dokumentais ir patvirtina, kad jo pasiūlyme pateikta informacija yra teisinga ir apima viską, ko reikia tinkamam pirkimo sutarties įvykdymui. Tiekėjas savo </w:t>
      </w:r>
      <w:r w:rsidRPr="00BA4A65">
        <w:rPr>
          <w:rFonts w:cs="Times New Roman"/>
          <w:color w:val="auto"/>
          <w:lang w:val="lt-LT"/>
        </w:rPr>
        <w:lastRenderedPageBreak/>
        <w:t>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0A7AD5" w:rsidRPr="00BA4A65">
        <w:rPr>
          <w:rFonts w:cs="Times New Roman"/>
          <w:color w:val="auto"/>
          <w:lang w:val="lt-LT"/>
        </w:rPr>
        <w:t>3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70736B75"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BA4A65">
        <w:rPr>
          <w:rFonts w:cs="Times New Roman"/>
          <w:color w:val="auto"/>
          <w:lang w:val="lt-LT"/>
        </w:rPr>
        <w:t xml:space="preserve">, </w:t>
      </w:r>
      <w:r w:rsidR="0028255D">
        <w:rPr>
          <w:rFonts w:cs="Times New Roman"/>
          <w:color w:val="auto"/>
          <w:lang w:val="lt-LT"/>
        </w:rPr>
        <w:t xml:space="preserve">Priedas Nr. 2 „Techninė specifikacija“.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4067ECAD"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00525D5C">
        <w:rPr>
          <w:rFonts w:ascii="Times New Roman" w:hAnsi="Times New Roman" w:cs="Times New Roman"/>
          <w:sz w:val="22"/>
          <w:szCs w:val="22"/>
        </w:rPr>
        <w:t xml:space="preserve"> </w:t>
      </w:r>
      <w:r w:rsidR="00525D5C">
        <w:rPr>
          <w:rFonts w:ascii="Times New Roman" w:hAnsi="Times New Roman" w:cs="Times New Roman"/>
          <w:i/>
          <w:sz w:val="22"/>
          <w:szCs w:val="22"/>
        </w:rPr>
        <w:t>(jeigu pirkimas skaidomas dalimis).</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Pasiūlymas galioja jame tiekėjo nurodytą laiką. Pasiūlymas turi galioti ne trumpiau nei 3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lastRenderedPageBreak/>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6DEF8D40"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525D5C">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r>
        <w:rPr>
          <w:rFonts w:cs="Times New Roman"/>
        </w:rPr>
        <w:t>Derybos nebus vykdomos</w:t>
      </w:r>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BA4A65" w:rsidRDefault="00044352" w:rsidP="00044352">
      <w:pPr>
        <w:pStyle w:val="Body2"/>
        <w:tabs>
          <w:tab w:val="left" w:pos="567"/>
          <w:tab w:val="left" w:pos="1276"/>
        </w:tabs>
        <w:spacing w:after="0"/>
        <w:ind w:firstLine="567"/>
        <w:rPr>
          <w:rFonts w:cs="Times New Roman"/>
          <w:lang w:val="lt-LT"/>
        </w:rPr>
      </w:pPr>
      <w:r w:rsidRPr="00BA4A65">
        <w:rPr>
          <w:rFonts w:cs="Times New Roman"/>
          <w:lang w:val="lt-LT"/>
        </w:rPr>
        <w:t>18.2. Pirkimo sutarties sudarymo atidėjimo terminas (toliau –</w:t>
      </w:r>
      <w:r w:rsidRPr="00BA4A65">
        <w:rPr>
          <w:rFonts w:cs="Times New Roman"/>
          <w:b/>
          <w:lang w:val="lt-LT"/>
        </w:rPr>
        <w:t xml:space="preserve"> </w:t>
      </w:r>
      <w:r w:rsidRPr="00BA4A65">
        <w:rPr>
          <w:rFonts w:cs="Times New Roman"/>
          <w:lang w:val="lt-LT"/>
        </w:rPr>
        <w:t>atidėjimo terminas)</w:t>
      </w:r>
      <w:r w:rsidR="00B031C2">
        <w:rPr>
          <w:rFonts w:cs="Times New Roman"/>
          <w:lang w:val="lt-LT"/>
        </w:rPr>
        <w:t xml:space="preserve"> netaikomas</w:t>
      </w:r>
      <w:r w:rsidRPr="00BA4A65">
        <w:rPr>
          <w:rFonts w:cs="Times New Roman"/>
          <w:lang w:val="lt-LT"/>
        </w:rPr>
        <w:t>.</w:t>
      </w:r>
    </w:p>
    <w:p w14:paraId="7BC22F2F" w14:textId="63108934" w:rsidR="00044352" w:rsidRPr="00BA4A65" w:rsidRDefault="00044352" w:rsidP="00C43362">
      <w:pPr>
        <w:pStyle w:val="Siaiptekstas"/>
      </w:pPr>
      <w:r w:rsidRPr="00BA4A65">
        <w:tab/>
        <w:t>18.3.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Elektroninės paslaugos „E. sąskaita“ svetainė pasiekiama adresu </w:t>
      </w:r>
      <w:hyperlink r:id="rId10" w:history="1">
        <w:r w:rsidRPr="00BA4A65">
          <w:rPr>
            <w:rStyle w:val="Hyperlink0"/>
          </w:rPr>
          <w:t>www.esaskaita.eu</w:t>
        </w:r>
      </w:hyperlink>
      <w:r w:rsidRPr="00BA4A65">
        <w:t>. Paslauga yra apmokama Lietuvos Respublikos finansų ministro nustatyta tvarka.</w:t>
      </w:r>
    </w:p>
    <w:p w14:paraId="366F3D18" w14:textId="52047928" w:rsidR="00044352" w:rsidRPr="008D1288" w:rsidRDefault="00085273" w:rsidP="00044352">
      <w:pPr>
        <w:pStyle w:val="Body2"/>
        <w:tabs>
          <w:tab w:val="left" w:pos="567"/>
          <w:tab w:val="left" w:pos="1276"/>
        </w:tabs>
        <w:spacing w:after="0"/>
        <w:ind w:firstLine="567"/>
        <w:rPr>
          <w:rFonts w:cs="Times New Roman"/>
          <w:color w:val="auto"/>
          <w:lang w:val="lt-LT"/>
        </w:rPr>
      </w:pPr>
      <w:r w:rsidRPr="008D1288">
        <w:rPr>
          <w:rFonts w:cs="Times New Roman"/>
          <w:color w:val="auto"/>
          <w:lang w:val="lt-LT"/>
        </w:rPr>
        <w:lastRenderedPageBreak/>
        <w:t>18.</w:t>
      </w:r>
      <w:r w:rsidR="00B031C2">
        <w:rPr>
          <w:rFonts w:cs="Times New Roman"/>
          <w:color w:val="auto"/>
          <w:lang w:val="lt-LT"/>
        </w:rPr>
        <w:t>4</w:t>
      </w:r>
      <w:r w:rsidRPr="008D1288">
        <w:rPr>
          <w:rFonts w:cs="Times New Roman"/>
          <w:color w:val="auto"/>
          <w:lang w:val="lt-LT"/>
        </w:rPr>
        <w:t xml:space="preserve">. </w:t>
      </w:r>
      <w:r w:rsidR="00044352" w:rsidRPr="008D1288">
        <w:rPr>
          <w:rFonts w:cs="Times New Roman"/>
          <w:color w:val="auto"/>
          <w:lang w:val="lt-LT"/>
        </w:rPr>
        <w:t>Sutarties sąlygos gali būti keičiamos tik vadovaujantis Viešųjų pirkimų įstatymo 89 straipsnio nuostatomis.</w:t>
      </w:r>
    </w:p>
    <w:p w14:paraId="18B1ECD1" w14:textId="3782B102" w:rsidR="00E6533E" w:rsidRPr="008D1288" w:rsidRDefault="006746E5" w:rsidP="00044352">
      <w:pPr>
        <w:pStyle w:val="Body2"/>
        <w:tabs>
          <w:tab w:val="left" w:pos="567"/>
          <w:tab w:val="left" w:pos="1276"/>
        </w:tabs>
        <w:spacing w:after="0"/>
        <w:rPr>
          <w:rFonts w:cs="Times New Roman"/>
          <w:color w:val="auto"/>
          <w:lang w:val="lt-LT"/>
        </w:rPr>
      </w:pPr>
      <w:r w:rsidRPr="008D1288">
        <w:rPr>
          <w:rFonts w:cs="Times New Roman"/>
          <w:color w:val="auto"/>
          <w:lang w:val="lt-LT"/>
        </w:rPr>
        <w:tab/>
        <w:t>1</w:t>
      </w:r>
      <w:r w:rsidR="00044352" w:rsidRPr="008D1288">
        <w:rPr>
          <w:rFonts w:cs="Times New Roman"/>
          <w:color w:val="auto"/>
          <w:lang w:val="lt-LT"/>
        </w:rPr>
        <w:t>8</w:t>
      </w:r>
      <w:r w:rsidRPr="008D1288">
        <w:rPr>
          <w:rFonts w:cs="Times New Roman"/>
          <w:color w:val="auto"/>
          <w:lang w:val="lt-LT"/>
        </w:rPr>
        <w:t>.</w:t>
      </w:r>
      <w:r w:rsidR="00B031C2">
        <w:rPr>
          <w:rFonts w:cs="Times New Roman"/>
          <w:color w:val="auto"/>
          <w:lang w:val="lt-LT"/>
        </w:rPr>
        <w:t>5</w:t>
      </w:r>
      <w:r w:rsidRPr="008D1288">
        <w:rPr>
          <w:rFonts w:cs="Times New Roman"/>
          <w:color w:val="auto"/>
          <w:lang w:val="lt-LT"/>
        </w:rPr>
        <w:t xml:space="preserve">. Pirkimo sutarties sąlygos pateikiamos pirkimo sąlygų </w:t>
      </w:r>
      <w:r w:rsidR="004D796E">
        <w:rPr>
          <w:rFonts w:cs="Times New Roman"/>
          <w:color w:val="auto"/>
          <w:lang w:val="lt-LT"/>
        </w:rPr>
        <w:t>3</w:t>
      </w:r>
      <w:r w:rsidR="00411C3F" w:rsidRPr="008D1288">
        <w:rPr>
          <w:rFonts w:cs="Times New Roman"/>
          <w:color w:val="auto"/>
          <w:lang w:val="lt-LT"/>
        </w:rPr>
        <w:t xml:space="preserve"> </w:t>
      </w:r>
      <w:r w:rsidRPr="008D1288">
        <w:rPr>
          <w:rFonts w:cs="Times New Roman"/>
          <w:color w:val="auto"/>
          <w:lang w:val="lt-LT"/>
        </w:rPr>
        <w:t>pried</w:t>
      </w:r>
      <w:r w:rsidR="00E6533E" w:rsidRPr="008D1288">
        <w:rPr>
          <w:rFonts w:cs="Times New Roman"/>
          <w:color w:val="auto"/>
          <w:lang w:val="lt-LT"/>
        </w:rPr>
        <w:t>e</w:t>
      </w:r>
      <w:r w:rsidR="00411C3F" w:rsidRPr="008D1288">
        <w:rPr>
          <w:rFonts w:cs="Times New Roman"/>
          <w:color w:val="auto"/>
          <w:lang w:val="lt-LT"/>
        </w:rPr>
        <w:t xml:space="preserve"> „Viešojo pirkimo pardavimo sutarties projektas“</w:t>
      </w:r>
      <w:r w:rsidR="00E6533E" w:rsidRPr="008D1288">
        <w:rPr>
          <w:rFonts w:cs="Times New Roman"/>
          <w:color w:val="auto"/>
          <w:lang w:val="lt-LT"/>
        </w:rPr>
        <w:t xml:space="preserve"> </w:t>
      </w:r>
    </w:p>
    <w:p w14:paraId="74A48B48" w14:textId="77777777" w:rsidR="006746E5" w:rsidRPr="00BA4A65"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1E9D1477" w14:textId="4EE78412" w:rsidR="006746E5" w:rsidRPr="00BA4A65"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r w:rsidR="00411C3F" w:rsidRPr="00BA4A65">
        <w:rPr>
          <w:rFonts w:cs="Times New Roman"/>
          <w:color w:val="auto"/>
          <w:lang w:val="lt-LT"/>
        </w:rPr>
        <w:t>;</w:t>
      </w:r>
    </w:p>
    <w:p w14:paraId="6A3E46B6" w14:textId="27E2BE92" w:rsidR="008E227E" w:rsidRDefault="00411C3F" w:rsidP="00085273">
      <w:pPr>
        <w:pStyle w:val="Body2"/>
        <w:spacing w:after="0"/>
        <w:ind w:firstLine="709"/>
        <w:rPr>
          <w:rFonts w:cs="Times New Roman"/>
          <w:color w:val="auto"/>
          <w:lang w:val="lt-LT"/>
        </w:rPr>
      </w:pPr>
      <w:r w:rsidRPr="00BA4A65">
        <w:rPr>
          <w:rFonts w:cs="Times New Roman"/>
          <w:color w:val="auto"/>
          <w:lang w:val="lt-LT"/>
        </w:rPr>
        <w:t>1</w:t>
      </w:r>
      <w:r w:rsidR="00792140" w:rsidRPr="00BA4A65">
        <w:rPr>
          <w:rFonts w:cs="Times New Roman"/>
          <w:color w:val="auto"/>
          <w:lang w:val="lt-LT"/>
        </w:rPr>
        <w:t>9</w:t>
      </w:r>
      <w:r w:rsidRPr="00BA4A65">
        <w:rPr>
          <w:rFonts w:cs="Times New Roman"/>
          <w:color w:val="auto"/>
          <w:lang w:val="lt-LT"/>
        </w:rPr>
        <w:t>.1.</w:t>
      </w:r>
      <w:r w:rsidR="00B031C2">
        <w:rPr>
          <w:rFonts w:cs="Times New Roman"/>
          <w:color w:val="auto"/>
          <w:lang w:val="lt-LT"/>
        </w:rPr>
        <w:t>2</w:t>
      </w:r>
      <w:r w:rsidRPr="00BA4A65">
        <w:rPr>
          <w:rFonts w:cs="Times New Roman"/>
          <w:color w:val="auto"/>
          <w:lang w:val="lt-LT"/>
        </w:rPr>
        <w:t xml:space="preserve">. </w:t>
      </w:r>
      <w:r w:rsidR="008E227E">
        <w:rPr>
          <w:rFonts w:cs="Times New Roman"/>
          <w:color w:val="auto"/>
          <w:lang w:val="lt-LT"/>
        </w:rPr>
        <w:t>Techninė specifikacija;</w:t>
      </w:r>
    </w:p>
    <w:p w14:paraId="702928B6" w14:textId="00C7F182" w:rsidR="004601B2" w:rsidRDefault="008E227E" w:rsidP="00085273">
      <w:pPr>
        <w:pStyle w:val="Body2"/>
        <w:spacing w:after="0"/>
        <w:ind w:firstLine="709"/>
        <w:rPr>
          <w:rFonts w:cs="Times New Roman"/>
          <w:color w:val="auto"/>
          <w:lang w:val="lt-LT"/>
        </w:rPr>
      </w:pPr>
      <w:r>
        <w:rPr>
          <w:rFonts w:cs="Times New Roman"/>
          <w:color w:val="auto"/>
          <w:lang w:val="lt-LT"/>
        </w:rPr>
        <w:t xml:space="preserve">19.1.3.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sectPr w:rsidR="004601B2" w:rsidSect="0054493E">
      <w:headerReference w:type="even" r:id="rId11"/>
      <w:headerReference w:type="default" r:id="rId12"/>
      <w:footerReference w:type="default" r:id="rId13"/>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Century Gothic"/>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2"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4"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5"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4"/>
  </w:num>
  <w:num w:numId="2" w16cid:durableId="822159020">
    <w:abstractNumId w:val="8"/>
  </w:num>
  <w:num w:numId="3" w16cid:durableId="1116414349">
    <w:abstractNumId w:val="0"/>
  </w:num>
  <w:num w:numId="4" w16cid:durableId="868032638">
    <w:abstractNumId w:val="9"/>
  </w:num>
  <w:num w:numId="5" w16cid:durableId="312370368">
    <w:abstractNumId w:val="12"/>
  </w:num>
  <w:num w:numId="6" w16cid:durableId="1044407434">
    <w:abstractNumId w:val="10"/>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1"/>
  </w:num>
  <w:num w:numId="14" w16cid:durableId="1900676055">
    <w:abstractNumId w:val="13"/>
  </w:num>
  <w:num w:numId="15" w16cid:durableId="996304618">
    <w:abstractNumId w:val="4"/>
  </w:num>
  <w:num w:numId="16" w16cid:durableId="174117386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68A6"/>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55D"/>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591D"/>
    <w:rsid w:val="002D7AE3"/>
    <w:rsid w:val="002E076B"/>
    <w:rsid w:val="002E27B2"/>
    <w:rsid w:val="002E3B9D"/>
    <w:rsid w:val="002E51C3"/>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42BA"/>
    <w:rsid w:val="0052435F"/>
    <w:rsid w:val="00524F85"/>
    <w:rsid w:val="005253AD"/>
    <w:rsid w:val="005257E8"/>
    <w:rsid w:val="00525C92"/>
    <w:rsid w:val="00525D5C"/>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24E6"/>
    <w:rsid w:val="005424F1"/>
    <w:rsid w:val="00543FA3"/>
    <w:rsid w:val="0054493E"/>
    <w:rsid w:val="00545728"/>
    <w:rsid w:val="0054583C"/>
    <w:rsid w:val="00546276"/>
    <w:rsid w:val="0054663A"/>
    <w:rsid w:val="0055030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6AD9"/>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Pages>
  <Words>3914</Words>
  <Characters>28743</Characters>
  <Application>Microsoft Office Word</Application>
  <DocSecurity>0</DocSecurity>
  <Lines>239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32592</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6</cp:revision>
  <dcterms:created xsi:type="dcterms:W3CDTF">2023-08-11T06:46:00Z</dcterms:created>
  <dcterms:modified xsi:type="dcterms:W3CDTF">2025-03-27T11:57:00Z</dcterms:modified>
</cp:coreProperties>
</file>