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C9F3" w14:textId="77777777" w:rsidR="005304D3" w:rsidRPr="00237D7C" w:rsidRDefault="005304D3" w:rsidP="005304D3">
      <w:pPr>
        <w:pStyle w:val="Antrat2"/>
        <w:ind w:left="5103"/>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6333942"/>
      <w:r w:rsidRPr="00237D7C">
        <w:rPr>
          <w:rFonts w:asciiTheme="minorHAnsi" w:eastAsia="Calibri" w:hAnsiTheme="minorHAnsi" w:cstheme="minorHAnsi"/>
          <w:color w:val="auto"/>
          <w:sz w:val="21"/>
          <w:szCs w:val="21"/>
        </w:rPr>
        <w:t>Pirkimo sąlygų 3 priedas „Tiekėjų kvalifikacijos reikalavimai“</w:t>
      </w:r>
      <w:bookmarkEnd w:id="0"/>
      <w:bookmarkEnd w:id="1"/>
      <w:bookmarkEnd w:id="2"/>
      <w:bookmarkEnd w:id="3"/>
    </w:p>
    <w:p w14:paraId="4E933722" w14:textId="77777777" w:rsidR="005304D3" w:rsidRPr="00F0499F" w:rsidRDefault="005304D3" w:rsidP="005304D3">
      <w:pPr>
        <w:rPr>
          <w:rFonts w:cstheme="minorHAnsi"/>
          <w:b/>
          <w:bCs/>
          <w:smallCaps/>
        </w:rPr>
      </w:pPr>
    </w:p>
    <w:p w14:paraId="00B6F49D" w14:textId="77777777" w:rsidR="005304D3" w:rsidRPr="00F0499F" w:rsidRDefault="005304D3" w:rsidP="005304D3">
      <w:pPr>
        <w:pStyle w:val="Paantrat"/>
        <w:spacing w:line="240" w:lineRule="auto"/>
        <w:jc w:val="center"/>
        <w:rPr>
          <w:smallCaps/>
        </w:rPr>
      </w:pPr>
      <w:r w:rsidRPr="00F0499F">
        <w:rPr>
          <w:smallCaps/>
        </w:rPr>
        <w:t xml:space="preserve">TIEKĖJŲ KVALIFIKACIJOS REIKALAVIMAI </w:t>
      </w:r>
    </w:p>
    <w:p w14:paraId="05D2D5AC" w14:textId="77777777" w:rsidR="005304D3" w:rsidRPr="006E1B14" w:rsidRDefault="005304D3" w:rsidP="005304D3">
      <w:pPr>
        <w:spacing w:after="0" w:line="240" w:lineRule="auto"/>
        <w:ind w:firstLine="567"/>
        <w:jc w:val="both"/>
        <w:rPr>
          <w:rFonts w:eastAsiaTheme="minorEastAsia"/>
        </w:rPr>
      </w:pPr>
      <w:r w:rsidRPr="006E1B14">
        <w:t xml:space="preserve">Tiekėjo kvalifikacijos reikalavimai nustatomi vadovaujantis </w:t>
      </w:r>
      <w:hyperlink r:id="rId5" w:history="1">
        <w:r w:rsidRPr="006E1B14">
          <w:rPr>
            <w:rStyle w:val="Hipersaitas"/>
            <w:iCs/>
          </w:rPr>
          <w:t>Tiekėjo kvalifikacijos reikalavimų nustatymo metodika</w:t>
        </w:r>
      </w:hyperlink>
      <w:r w:rsidRPr="006E1B14">
        <w:rPr>
          <w:iCs/>
        </w:rPr>
        <w:t>, patvirtinta Viešųjų pirkimų tarnybos direktoriaus 2017 m. birželio 29 d. įsakymu Nr. 1S-105.</w:t>
      </w:r>
      <w:r>
        <w:t xml:space="preserve"> </w:t>
      </w:r>
      <w:r>
        <w:rPr>
          <w:rFonts w:cstheme="minorHAnsi"/>
        </w:rPr>
        <w:t>Š</w:t>
      </w:r>
      <w:r w:rsidRPr="006E1B14">
        <w:rPr>
          <w:rFonts w:cstheme="minorHAnsi"/>
        </w:rPr>
        <w:t>ie reikalavimai nustatomi kiekvienai pirkimo daliai atskirai.</w:t>
      </w:r>
    </w:p>
    <w:p w14:paraId="045BE887" w14:textId="77777777" w:rsidR="005304D3" w:rsidRPr="006E1B14" w:rsidRDefault="005304D3" w:rsidP="005304D3">
      <w:pPr>
        <w:pStyle w:val="Sraopastraipa"/>
        <w:numPr>
          <w:ilvl w:val="0"/>
          <w:numId w:val="1"/>
        </w:numPr>
        <w:tabs>
          <w:tab w:val="left" w:pos="851"/>
        </w:tabs>
        <w:spacing w:after="0" w:line="240" w:lineRule="auto"/>
        <w:ind w:left="0" w:firstLine="567"/>
        <w:jc w:val="both"/>
        <w:rPr>
          <w:rFonts w:cstheme="minorHAnsi"/>
          <w:i/>
        </w:rPr>
      </w:pPr>
      <w:r w:rsidRPr="006E1B14">
        <w:rPr>
          <w:rFonts w:cstheme="minorHAnsi"/>
        </w:rPr>
        <w:t xml:space="preserve">Tiekėjo kvalifikacija turi atitikti šiame priede nustatytus reikalavimus kvalifikacijai. </w:t>
      </w:r>
      <w:r w:rsidRPr="006E1B14">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E1B14">
        <w:rPr>
          <w:i/>
          <w:iCs/>
        </w:rPr>
        <w:t xml:space="preserve"> </w:t>
      </w:r>
    </w:p>
    <w:p w14:paraId="54F43520" w14:textId="77777777" w:rsidR="005304D3" w:rsidRPr="003761A2" w:rsidRDefault="005304D3" w:rsidP="005304D3">
      <w:pPr>
        <w:pStyle w:val="Sraopastraipa"/>
        <w:numPr>
          <w:ilvl w:val="0"/>
          <w:numId w:val="1"/>
        </w:numPr>
        <w:tabs>
          <w:tab w:val="left" w:pos="851"/>
        </w:tabs>
        <w:spacing w:before="60" w:after="60" w:line="256" w:lineRule="auto"/>
        <w:ind w:left="0" w:firstLine="567"/>
        <w:jc w:val="both"/>
        <w:rPr>
          <w:rFonts w:cstheme="minorHAnsi"/>
          <w:b/>
          <w:bCs/>
        </w:rPr>
      </w:pPr>
      <w:r w:rsidRPr="006E1B14">
        <w:rPr>
          <w:rFonts w:cstheme="minorHAnsi"/>
        </w:rPr>
        <w:t xml:space="preserve">Kai tiekėjas remiasi kitų ūkio subjektų pajėgumais, kad atitiktų nustatytus ekonominio ir finansinio pajėgumo reikalavimus </w:t>
      </w:r>
      <w:r w:rsidRPr="006E1B14">
        <w:rPr>
          <w:rFonts w:eastAsia="Calibri" w:cstheme="minorHAnsi"/>
        </w:rPr>
        <w:t xml:space="preserve">jie </w:t>
      </w:r>
      <w:r w:rsidRPr="006E1B14">
        <w:rPr>
          <w:rFonts w:cstheme="minorHAnsi"/>
        </w:rPr>
        <w:t>privalo prisiimti solidarią atsakomybę už sutarties įvykdymą.</w:t>
      </w:r>
      <w:r w:rsidRPr="006E1B14">
        <w:rPr>
          <w:rFonts w:eastAsia="Calibri" w:cstheme="minorHAnsi"/>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55"/>
        <w:gridCol w:w="3402"/>
        <w:gridCol w:w="3402"/>
      </w:tblGrid>
      <w:tr w:rsidR="005304D3" w14:paraId="56CA49D4" w14:textId="77777777" w:rsidTr="006E283D">
        <w:trPr>
          <w:trHeight w:val="273"/>
        </w:trPr>
        <w:tc>
          <w:tcPr>
            <w:tcW w:w="709" w:type="dxa"/>
            <w:tcBorders>
              <w:top w:val="single" w:sz="4" w:space="0" w:color="auto"/>
              <w:left w:val="single" w:sz="4" w:space="0" w:color="auto"/>
              <w:bottom w:val="single" w:sz="4" w:space="0" w:color="auto"/>
              <w:right w:val="single" w:sz="4" w:space="0" w:color="auto"/>
            </w:tcBorders>
            <w:hideMark/>
          </w:tcPr>
          <w:p w14:paraId="37A70264" w14:textId="77777777" w:rsidR="005304D3" w:rsidRPr="001F2A09" w:rsidRDefault="005304D3" w:rsidP="00EF2F14">
            <w:pPr>
              <w:pStyle w:val="Point1"/>
              <w:spacing w:before="0" w:after="0" w:line="252" w:lineRule="auto"/>
              <w:ind w:left="0" w:firstLine="0"/>
              <w:rPr>
                <w:rFonts w:asciiTheme="minorHAnsi" w:hAnsiTheme="minorHAnsi" w:cstheme="minorHAnsi"/>
                <w:sz w:val="21"/>
                <w:szCs w:val="21"/>
                <w:lang w:val="lt-LT"/>
              </w:rPr>
            </w:pPr>
            <w:r w:rsidRPr="001F2A09">
              <w:rPr>
                <w:rFonts w:asciiTheme="minorHAnsi" w:hAnsiTheme="minorHAnsi" w:cstheme="minorHAnsi"/>
                <w:sz w:val="21"/>
                <w:szCs w:val="21"/>
                <w:lang w:val="lt-LT"/>
              </w:rPr>
              <w:t>Eil.</w:t>
            </w:r>
          </w:p>
          <w:p w14:paraId="1D137EB6" w14:textId="77777777" w:rsidR="005304D3" w:rsidRPr="001F2A09" w:rsidRDefault="005304D3" w:rsidP="00EF2F14">
            <w:pPr>
              <w:pStyle w:val="Point1"/>
              <w:spacing w:before="0" w:after="0" w:line="252" w:lineRule="auto"/>
              <w:ind w:left="0" w:firstLine="0"/>
              <w:rPr>
                <w:rFonts w:asciiTheme="minorHAnsi" w:hAnsiTheme="minorHAnsi" w:cstheme="minorHAnsi"/>
                <w:sz w:val="21"/>
                <w:szCs w:val="21"/>
                <w:lang w:val="lt-LT"/>
              </w:rPr>
            </w:pPr>
            <w:r w:rsidRPr="001F2A09">
              <w:rPr>
                <w:rFonts w:asciiTheme="minorHAnsi" w:hAnsiTheme="minorHAnsi" w:cstheme="minorHAnsi"/>
                <w:sz w:val="21"/>
                <w:szCs w:val="21"/>
                <w:lang w:val="lt-LT"/>
              </w:rPr>
              <w:t>Nr.</w:t>
            </w:r>
          </w:p>
        </w:tc>
        <w:tc>
          <w:tcPr>
            <w:tcW w:w="2155" w:type="dxa"/>
            <w:tcBorders>
              <w:top w:val="single" w:sz="4" w:space="0" w:color="auto"/>
              <w:left w:val="single" w:sz="4" w:space="0" w:color="auto"/>
              <w:bottom w:val="single" w:sz="4" w:space="0" w:color="auto"/>
              <w:right w:val="single" w:sz="4" w:space="0" w:color="auto"/>
            </w:tcBorders>
            <w:hideMark/>
          </w:tcPr>
          <w:p w14:paraId="0FF0D16E" w14:textId="77777777" w:rsidR="005304D3" w:rsidRPr="001F2A09" w:rsidRDefault="005304D3" w:rsidP="00EF2F14">
            <w:pPr>
              <w:pStyle w:val="Point1"/>
              <w:spacing w:before="0" w:after="0" w:line="252" w:lineRule="auto"/>
              <w:ind w:left="0" w:firstLine="0"/>
              <w:rPr>
                <w:rFonts w:asciiTheme="minorHAnsi" w:hAnsiTheme="minorHAnsi" w:cstheme="minorHAnsi"/>
                <w:sz w:val="21"/>
                <w:szCs w:val="21"/>
                <w:lang w:val="lt-LT"/>
              </w:rPr>
            </w:pPr>
            <w:r w:rsidRPr="001F2A09">
              <w:rPr>
                <w:rFonts w:asciiTheme="minorHAnsi" w:hAnsiTheme="minorHAnsi" w:cstheme="minorHAnsi"/>
                <w:sz w:val="21"/>
                <w:szCs w:val="21"/>
                <w:lang w:val="lt-LT"/>
              </w:rPr>
              <w:t>Kvalifikaciniai reikalavimai</w:t>
            </w:r>
          </w:p>
        </w:tc>
        <w:tc>
          <w:tcPr>
            <w:tcW w:w="3402" w:type="dxa"/>
            <w:tcBorders>
              <w:top w:val="single" w:sz="4" w:space="0" w:color="auto"/>
              <w:left w:val="single" w:sz="4" w:space="0" w:color="auto"/>
              <w:bottom w:val="single" w:sz="4" w:space="0" w:color="auto"/>
              <w:right w:val="single" w:sz="4" w:space="0" w:color="auto"/>
            </w:tcBorders>
            <w:hideMark/>
          </w:tcPr>
          <w:p w14:paraId="249F1D1D" w14:textId="77777777" w:rsidR="005304D3" w:rsidRPr="001F2A09" w:rsidRDefault="005304D3" w:rsidP="00EF2F14">
            <w:pPr>
              <w:pStyle w:val="Point1"/>
              <w:spacing w:before="0" w:after="0" w:line="252" w:lineRule="auto"/>
              <w:ind w:left="0" w:firstLine="0"/>
              <w:rPr>
                <w:rFonts w:asciiTheme="minorHAnsi" w:hAnsiTheme="minorHAnsi" w:cstheme="minorHAnsi"/>
                <w:sz w:val="21"/>
                <w:szCs w:val="21"/>
                <w:lang w:val="lt-LT"/>
              </w:rPr>
            </w:pPr>
            <w:r w:rsidRPr="001F2A09">
              <w:rPr>
                <w:rFonts w:asciiTheme="minorHAnsi" w:hAnsiTheme="minorHAnsi" w:cstheme="minorHAnsi"/>
                <w:sz w:val="21"/>
                <w:szCs w:val="21"/>
                <w:lang w:val="lt-LT"/>
              </w:rPr>
              <w:t>Kvalifikacinius reikalavimus įrodantys dokumentai</w:t>
            </w:r>
          </w:p>
        </w:tc>
        <w:tc>
          <w:tcPr>
            <w:tcW w:w="3402" w:type="dxa"/>
            <w:tcBorders>
              <w:top w:val="single" w:sz="4" w:space="0" w:color="auto"/>
              <w:left w:val="single" w:sz="4" w:space="0" w:color="auto"/>
              <w:bottom w:val="single" w:sz="4" w:space="0" w:color="auto"/>
              <w:right w:val="single" w:sz="4" w:space="0" w:color="auto"/>
            </w:tcBorders>
          </w:tcPr>
          <w:p w14:paraId="072CA533" w14:textId="77777777" w:rsidR="005304D3" w:rsidRPr="001F2A09" w:rsidRDefault="005304D3" w:rsidP="00EF2F14">
            <w:pPr>
              <w:autoSpaceDE w:val="0"/>
              <w:autoSpaceDN w:val="0"/>
              <w:adjustRightInd w:val="0"/>
              <w:jc w:val="center"/>
              <w:rPr>
                <w:rFonts w:cstheme="minorHAnsi"/>
                <w:bCs/>
                <w:color w:val="000000"/>
                <w:sz w:val="21"/>
                <w:szCs w:val="21"/>
              </w:rPr>
            </w:pPr>
            <w:r w:rsidRPr="001F2A09">
              <w:rPr>
                <w:rFonts w:cstheme="minorHAnsi"/>
                <w:bCs/>
                <w:color w:val="000000"/>
                <w:sz w:val="21"/>
                <w:szCs w:val="21"/>
              </w:rPr>
              <w:t xml:space="preserve">Subjektas, </w:t>
            </w:r>
            <w:r w:rsidRPr="001F2A09">
              <w:rPr>
                <w:rFonts w:cstheme="minorHAnsi"/>
                <w:bCs/>
                <w:color w:val="000000"/>
              </w:rPr>
              <w:t>kuris turi atitikti reikalavimą</w:t>
            </w:r>
          </w:p>
        </w:tc>
      </w:tr>
      <w:tr w:rsidR="005304D3" w14:paraId="24C8BB6D" w14:textId="77777777" w:rsidTr="006E283D">
        <w:trPr>
          <w:trHeight w:val="555"/>
        </w:trPr>
        <w:tc>
          <w:tcPr>
            <w:tcW w:w="709" w:type="dxa"/>
            <w:tcBorders>
              <w:top w:val="single" w:sz="4" w:space="0" w:color="auto"/>
              <w:left w:val="single" w:sz="4" w:space="0" w:color="auto"/>
              <w:bottom w:val="single" w:sz="4" w:space="0" w:color="auto"/>
              <w:right w:val="single" w:sz="4" w:space="0" w:color="auto"/>
            </w:tcBorders>
            <w:hideMark/>
          </w:tcPr>
          <w:p w14:paraId="297F1B9D" w14:textId="77777777" w:rsidR="005304D3" w:rsidRPr="001F2A09" w:rsidRDefault="005304D3" w:rsidP="00EF2F14">
            <w:pPr>
              <w:pStyle w:val="Point1"/>
              <w:spacing w:before="0" w:after="0" w:line="252" w:lineRule="auto"/>
              <w:ind w:left="-361" w:firstLine="346"/>
              <w:rPr>
                <w:rFonts w:asciiTheme="minorHAnsi" w:hAnsiTheme="minorHAnsi" w:cstheme="minorHAnsi"/>
                <w:sz w:val="21"/>
                <w:szCs w:val="21"/>
                <w:lang w:val="lt-LT"/>
              </w:rPr>
            </w:pPr>
            <w:r w:rsidRPr="001F2A09">
              <w:rPr>
                <w:rFonts w:asciiTheme="minorHAnsi" w:hAnsiTheme="minorHAnsi" w:cstheme="minorHAnsi"/>
                <w:sz w:val="21"/>
                <w:szCs w:val="21"/>
                <w:lang w:val="lt-LT"/>
              </w:rPr>
              <w:t>1</w:t>
            </w:r>
            <w:r>
              <w:rPr>
                <w:rFonts w:asciiTheme="minorHAnsi" w:hAnsiTheme="minorHAnsi" w:cstheme="minorHAnsi"/>
                <w:sz w:val="21"/>
                <w:szCs w:val="21"/>
                <w:lang w:val="lt-LT"/>
              </w:rPr>
              <w:t>.</w:t>
            </w:r>
          </w:p>
        </w:tc>
        <w:tc>
          <w:tcPr>
            <w:tcW w:w="2155" w:type="dxa"/>
            <w:tcBorders>
              <w:top w:val="single" w:sz="4" w:space="0" w:color="auto"/>
              <w:left w:val="single" w:sz="4" w:space="0" w:color="auto"/>
              <w:bottom w:val="single" w:sz="4" w:space="0" w:color="auto"/>
              <w:right w:val="single" w:sz="4" w:space="0" w:color="auto"/>
            </w:tcBorders>
            <w:hideMark/>
          </w:tcPr>
          <w:p w14:paraId="0C532876" w14:textId="77777777" w:rsidR="005304D3" w:rsidRPr="001F2A09" w:rsidRDefault="005304D3" w:rsidP="00EF2F14">
            <w:pPr>
              <w:pStyle w:val="Point1"/>
              <w:spacing w:before="0" w:after="0" w:line="252" w:lineRule="auto"/>
              <w:ind w:left="0" w:firstLine="0"/>
              <w:rPr>
                <w:rFonts w:asciiTheme="minorHAnsi" w:hAnsiTheme="minorHAnsi" w:cstheme="minorHAnsi"/>
                <w:sz w:val="21"/>
                <w:szCs w:val="21"/>
                <w:lang w:val="lt-LT"/>
              </w:rPr>
            </w:pPr>
            <w:r w:rsidRPr="001F2A09">
              <w:rPr>
                <w:rFonts w:asciiTheme="minorHAnsi" w:hAnsiTheme="minorHAnsi" w:cstheme="minorHAnsi"/>
                <w:sz w:val="21"/>
                <w:szCs w:val="21"/>
                <w:lang w:val="lt-LT"/>
              </w:rPr>
              <w:t>Tiekėjas turi teisę verstis ta ūkine veikla, kuri reikalinga pirkimo sutarčiai vykdyti</w:t>
            </w:r>
          </w:p>
        </w:tc>
        <w:tc>
          <w:tcPr>
            <w:tcW w:w="3402" w:type="dxa"/>
            <w:tcBorders>
              <w:top w:val="single" w:sz="4" w:space="0" w:color="auto"/>
              <w:left w:val="single" w:sz="4" w:space="0" w:color="auto"/>
              <w:bottom w:val="single" w:sz="4" w:space="0" w:color="auto"/>
              <w:right w:val="single" w:sz="4" w:space="0" w:color="auto"/>
            </w:tcBorders>
            <w:hideMark/>
          </w:tcPr>
          <w:p w14:paraId="6D43E2D9" w14:textId="77777777" w:rsidR="005304D3" w:rsidRPr="001F2A09" w:rsidRDefault="005304D3" w:rsidP="00EF2F14">
            <w:pPr>
              <w:spacing w:line="256" w:lineRule="auto"/>
              <w:ind w:firstLine="312"/>
              <w:jc w:val="both"/>
              <w:rPr>
                <w:rFonts w:cstheme="minorHAnsi"/>
                <w:sz w:val="21"/>
                <w:szCs w:val="21"/>
              </w:rPr>
            </w:pPr>
            <w:r w:rsidRPr="001F2A09">
              <w:rPr>
                <w:rFonts w:cstheme="minorHAnsi"/>
                <w:sz w:val="21"/>
                <w:szCs w:val="21"/>
              </w:rPr>
              <w:t xml:space="preserve">  </w:t>
            </w:r>
            <w:r w:rsidRPr="001F2A09">
              <w:rPr>
                <w:rStyle w:val="Bodytext28"/>
                <w:rFonts w:cstheme="minorHAnsi"/>
                <w:sz w:val="21"/>
                <w:szCs w:val="21"/>
              </w:rPr>
              <w:t>Valstybinės maisto ir veterinarijos tarnybos teritorinių padalinių išduoto ir galiojančio Maisto tvarkymo subjekto patvirtinimo pažymėjimas arba atitinkamos užsienio šalies institucijos išduoto dokumento, patvirtinančio tiekėjo teisę parduoti siūlomus maisto produktus.</w:t>
            </w:r>
          </w:p>
          <w:p w14:paraId="60629092" w14:textId="77777777" w:rsidR="005304D3" w:rsidRPr="001F2A09" w:rsidRDefault="005304D3" w:rsidP="00EF2F14">
            <w:pPr>
              <w:snapToGrid w:val="0"/>
              <w:spacing w:line="256" w:lineRule="auto"/>
              <w:ind w:firstLine="312"/>
              <w:jc w:val="both"/>
              <w:rPr>
                <w:rFonts w:cstheme="minorHAnsi"/>
                <w:sz w:val="21"/>
                <w:szCs w:val="21"/>
              </w:rPr>
            </w:pPr>
            <w:r w:rsidRPr="001F2A09">
              <w:rPr>
                <w:rStyle w:val="Bodytext28"/>
                <w:rFonts w:cstheme="minorHAnsi"/>
                <w:sz w:val="21"/>
                <w:szCs w:val="21"/>
              </w:rPr>
              <w:t>Pateikiama skaitmeninė dokumento kopija.</w:t>
            </w:r>
          </w:p>
          <w:p w14:paraId="4051270D" w14:textId="77777777" w:rsidR="005304D3" w:rsidRPr="001F2A09" w:rsidRDefault="005304D3" w:rsidP="00EF2F14">
            <w:pPr>
              <w:spacing w:line="256" w:lineRule="auto"/>
              <w:jc w:val="both"/>
              <w:rPr>
                <w:rFonts w:cstheme="minorHAnsi"/>
                <w:sz w:val="21"/>
                <w:szCs w:val="21"/>
              </w:rPr>
            </w:pPr>
            <w:r w:rsidRPr="001F2A09">
              <w:rPr>
                <w:rFonts w:cstheme="minorHAnsi"/>
                <w:b/>
                <w:bCs/>
                <w:sz w:val="21"/>
                <w:szCs w:val="21"/>
              </w:rPr>
              <w:t>Pateikiama skaitmeninė dokumento kopija, kuri bus prašoma iš galimo laimėtojo.</w:t>
            </w:r>
          </w:p>
        </w:tc>
        <w:tc>
          <w:tcPr>
            <w:tcW w:w="3402" w:type="dxa"/>
            <w:tcBorders>
              <w:top w:val="single" w:sz="4" w:space="0" w:color="auto"/>
              <w:left w:val="single" w:sz="4" w:space="0" w:color="auto"/>
              <w:bottom w:val="single" w:sz="4" w:space="0" w:color="auto"/>
              <w:right w:val="single" w:sz="4" w:space="0" w:color="auto"/>
            </w:tcBorders>
          </w:tcPr>
          <w:p w14:paraId="0453FACA" w14:textId="77777777" w:rsidR="005304D3" w:rsidRPr="001F2A09" w:rsidRDefault="005304D3" w:rsidP="00EF2F14">
            <w:pPr>
              <w:spacing w:line="256" w:lineRule="auto"/>
              <w:ind w:firstLine="312"/>
              <w:jc w:val="both"/>
              <w:rPr>
                <w:rFonts w:cstheme="minorHAnsi"/>
              </w:rPr>
            </w:pPr>
            <w:r>
              <w:rPr>
                <w:rFonts w:cstheme="minorHAnsi"/>
              </w:rPr>
              <w:t>Tiekėjas, subtiekėjai, ūkio subjektų grupė, kiti subjektai, kurių pajėgumais remiasi tiekėjas.</w:t>
            </w:r>
          </w:p>
        </w:tc>
      </w:tr>
    </w:tbl>
    <w:p w14:paraId="43CB063C" w14:textId="77777777" w:rsidR="00D13844" w:rsidRDefault="005304D3">
      <w:r>
        <w:rPr>
          <w:rFonts w:cstheme="minorHAnsi"/>
          <w:b/>
          <w:bCs/>
        </w:rPr>
        <w:tab/>
      </w:r>
      <w:r>
        <w:rPr>
          <w:rFonts w:cstheme="minorHAnsi"/>
          <w:b/>
          <w:bCs/>
        </w:rPr>
        <w:tab/>
      </w:r>
      <w:r>
        <w:rPr>
          <w:rFonts w:cstheme="minorHAnsi"/>
          <w:b/>
          <w:bCs/>
        </w:rPr>
        <w:tab/>
      </w:r>
      <w:r>
        <w:rPr>
          <w:rFonts w:cstheme="minorHAnsi"/>
          <w:b/>
          <w:bCs/>
        </w:rPr>
        <w:tab/>
      </w:r>
      <w:r w:rsidRPr="00F0499F">
        <w:rPr>
          <w:rFonts w:cstheme="minorHAnsi"/>
          <w:smallCaps/>
        </w:rPr>
        <w:t>__________</w:t>
      </w:r>
    </w:p>
    <w:sectPr w:rsidR="00D138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C15B8"/>
    <w:multiLevelType w:val="hybridMultilevel"/>
    <w:tmpl w:val="566A9304"/>
    <w:lvl w:ilvl="0" w:tplc="9FCCDF8E">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D3"/>
    <w:rsid w:val="001F357C"/>
    <w:rsid w:val="005304D3"/>
    <w:rsid w:val="006E283D"/>
    <w:rsid w:val="00D13F20"/>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8820"/>
  <w15:chartTrackingRefBased/>
  <w15:docId w15:val="{024C5812-DDEE-4AD1-93CC-898806D0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5304D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5304D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5304D3"/>
    <w:rPr>
      <w:strike w:val="0"/>
      <w:dstrike w:val="0"/>
      <w:color w:val="auto"/>
      <w:u w:val="none"/>
      <w:effect w:val="none"/>
    </w:rPr>
  </w:style>
  <w:style w:type="paragraph" w:styleId="Paantrat">
    <w:name w:val="Subtitle"/>
    <w:basedOn w:val="prastasis"/>
    <w:next w:val="prastasis"/>
    <w:link w:val="PaantratDiagrama"/>
    <w:uiPriority w:val="11"/>
    <w:qFormat/>
    <w:rsid w:val="005304D3"/>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304D3"/>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04D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04D3"/>
    <w:pPr>
      <w:spacing w:line="276" w:lineRule="auto"/>
      <w:ind w:left="720"/>
      <w:contextualSpacing/>
    </w:pPr>
  </w:style>
  <w:style w:type="paragraph" w:customStyle="1" w:styleId="Point1">
    <w:name w:val="Point 1"/>
    <w:basedOn w:val="prastasis"/>
    <w:uiPriority w:val="99"/>
    <w:rsid w:val="005304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Bodytext28">
    <w:name w:val="Body text (2) + 8"/>
    <w:aliases w:val="5 pt,Italic"/>
    <w:rsid w:val="005304D3"/>
    <w:rPr>
      <w:color w:val="000000"/>
      <w:spacing w:val="0"/>
      <w:w w:val="100"/>
      <w:position w:val="0"/>
      <w:sz w:val="17"/>
      <w:szCs w:val="17"/>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674ebaf05d7111e79198ffdb108a375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Jelena Jočionė</cp:lastModifiedBy>
  <cp:revision>2</cp:revision>
  <dcterms:created xsi:type="dcterms:W3CDTF">2025-03-13T13:01:00Z</dcterms:created>
  <dcterms:modified xsi:type="dcterms:W3CDTF">2025-03-13T13:01:00Z</dcterms:modified>
</cp:coreProperties>
</file>