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AFC4" w14:textId="77777777" w:rsidR="00C33775" w:rsidRPr="00143DB1" w:rsidRDefault="00C33775" w:rsidP="00517886">
      <w:pPr>
        <w:spacing w:after="0" w:line="240" w:lineRule="auto"/>
        <w:jc w:val="center"/>
        <w:rPr>
          <w:rFonts w:ascii="Verdana" w:hAnsi="Verdana"/>
          <w:b/>
          <w:bCs/>
          <w:sz w:val="20"/>
          <w:szCs w:val="20"/>
        </w:rPr>
      </w:pPr>
    </w:p>
    <w:p w14:paraId="2D6901B4" w14:textId="00C2049D" w:rsidR="00517886" w:rsidRDefault="00517886" w:rsidP="00517886">
      <w:pPr>
        <w:spacing w:after="0" w:line="240" w:lineRule="auto"/>
        <w:jc w:val="center"/>
        <w:rPr>
          <w:rFonts w:ascii="Verdana" w:hAnsi="Verdana"/>
          <w:b/>
          <w:bCs/>
          <w:sz w:val="20"/>
          <w:szCs w:val="20"/>
        </w:rPr>
      </w:pPr>
      <w:r>
        <w:rPr>
          <w:rFonts w:ascii="Verdana" w:hAnsi="Verdana"/>
          <w:b/>
          <w:bCs/>
          <w:sz w:val="20"/>
          <w:szCs w:val="20"/>
        </w:rPr>
        <w:t>PAGRINDINĖS</w:t>
      </w:r>
      <w:r w:rsidRPr="00922938">
        <w:rPr>
          <w:rFonts w:ascii="Verdana" w:hAnsi="Verdana"/>
          <w:b/>
          <w:bCs/>
          <w:sz w:val="20"/>
          <w:szCs w:val="20"/>
        </w:rPr>
        <w:t xml:space="preserve"> PIRKIMO SUTARTIES SĄLYGOS</w:t>
      </w:r>
    </w:p>
    <w:p w14:paraId="30732AFC" w14:textId="77777777" w:rsidR="00517886" w:rsidRDefault="00517886" w:rsidP="00517886">
      <w:pPr>
        <w:spacing w:after="0" w:line="240" w:lineRule="auto"/>
        <w:jc w:val="center"/>
        <w:rPr>
          <w:rFonts w:ascii="Verdana" w:hAnsi="Verdana"/>
          <w:b/>
          <w:bCs/>
          <w:sz w:val="20"/>
          <w:szCs w:val="20"/>
        </w:rPr>
      </w:pPr>
    </w:p>
    <w:p w14:paraId="4D44E228" w14:textId="77777777" w:rsidR="00517886" w:rsidRDefault="00517886" w:rsidP="00517886">
      <w:pPr>
        <w:spacing w:after="0" w:line="240" w:lineRule="auto"/>
        <w:jc w:val="center"/>
        <w:rPr>
          <w:rFonts w:ascii="Verdana" w:hAnsi="Verdana"/>
          <w:b/>
          <w:bCs/>
          <w:sz w:val="20"/>
          <w:szCs w:val="20"/>
        </w:rPr>
      </w:pPr>
    </w:p>
    <w:p w14:paraId="1FCF45A1" w14:textId="77777777" w:rsidR="00CE22EA" w:rsidRDefault="00CE22EA" w:rsidP="00CE22EA">
      <w:pPr>
        <w:pStyle w:val="ListParagraph"/>
        <w:numPr>
          <w:ilvl w:val="0"/>
          <w:numId w:val="2"/>
        </w:numPr>
        <w:tabs>
          <w:tab w:val="left" w:pos="851"/>
        </w:tabs>
        <w:spacing w:after="0" w:line="240" w:lineRule="auto"/>
        <w:ind w:left="0" w:firstLine="567"/>
        <w:jc w:val="both"/>
        <w:rPr>
          <w:rFonts w:ascii="Verdana" w:eastAsia="Times New Roman" w:hAnsi="Verdana"/>
          <w:sz w:val="20"/>
          <w:szCs w:val="20"/>
        </w:rPr>
      </w:pPr>
      <w:r w:rsidRPr="00385378">
        <w:rPr>
          <w:rFonts w:ascii="Verdana" w:eastAsia="Times New Roman" w:hAnsi="Verdana"/>
          <w:sz w:val="20"/>
          <w:szCs w:val="20"/>
        </w:rPr>
        <w:t xml:space="preserve">Tiekėjas įsipareigoja </w:t>
      </w:r>
      <w:r w:rsidRPr="00125F6D">
        <w:rPr>
          <w:rFonts w:ascii="Verdana" w:eastAsia="Times New Roman" w:hAnsi="Verdana"/>
          <w:sz w:val="20"/>
          <w:szCs w:val="20"/>
        </w:rPr>
        <w:t>sutartyje ir jos prieduose numatytomis sąlygomis ir terminais</w:t>
      </w:r>
      <w:r>
        <w:rPr>
          <w:rFonts w:ascii="Verdana" w:eastAsia="Times New Roman" w:hAnsi="Verdana"/>
          <w:sz w:val="20"/>
          <w:szCs w:val="20"/>
        </w:rPr>
        <w:t xml:space="preserve"> teikti Užsakovui </w:t>
      </w:r>
      <w:r w:rsidRPr="00385378">
        <w:rPr>
          <w:rFonts w:ascii="Verdana" w:hAnsi="Verdana"/>
          <w:sz w:val="20"/>
          <w:szCs w:val="20"/>
        </w:rPr>
        <w:t>deramo asmenų patikrinimo pasauliniu mastu duomenų bazės (toliau – duomenų bazė) prenumerat</w:t>
      </w:r>
      <w:r>
        <w:rPr>
          <w:rFonts w:ascii="Verdana" w:hAnsi="Verdana"/>
          <w:sz w:val="20"/>
          <w:szCs w:val="20"/>
        </w:rPr>
        <w:t>os paslaugas</w:t>
      </w:r>
      <w:r>
        <w:rPr>
          <w:rFonts w:ascii="Verdana" w:eastAsia="Times New Roman" w:hAnsi="Verdana"/>
          <w:sz w:val="20"/>
          <w:szCs w:val="20"/>
        </w:rPr>
        <w:t xml:space="preserve"> </w:t>
      </w:r>
      <w:r>
        <w:rPr>
          <w:rFonts w:ascii="Verdana" w:hAnsi="Verdana"/>
          <w:sz w:val="20"/>
          <w:szCs w:val="20"/>
        </w:rPr>
        <w:t xml:space="preserve">(toliau – paslaugos), </w:t>
      </w:r>
      <w:r w:rsidRPr="00385378">
        <w:rPr>
          <w:rFonts w:ascii="Verdana" w:eastAsia="Times New Roman" w:hAnsi="Verdana"/>
          <w:sz w:val="20"/>
          <w:szCs w:val="20"/>
        </w:rPr>
        <w:t>atitinkanči</w:t>
      </w:r>
      <w:r>
        <w:rPr>
          <w:rFonts w:ascii="Verdana" w:eastAsia="Times New Roman" w:hAnsi="Verdana"/>
          <w:sz w:val="20"/>
          <w:szCs w:val="20"/>
        </w:rPr>
        <w:t>a</w:t>
      </w:r>
      <w:r w:rsidRPr="00385378">
        <w:rPr>
          <w:rFonts w:ascii="Verdana" w:eastAsia="Times New Roman" w:hAnsi="Verdana"/>
          <w:sz w:val="20"/>
          <w:szCs w:val="20"/>
        </w:rPr>
        <w:t xml:space="preserve">s Užsakovo techninėje specifikacijoje, </w:t>
      </w:r>
      <w:bookmarkStart w:id="0" w:name="_Hlk85578839"/>
      <w:r w:rsidRPr="00385378">
        <w:rPr>
          <w:rFonts w:ascii="Verdana" w:eastAsia="Times New Roman" w:hAnsi="Verdana"/>
          <w:sz w:val="20"/>
          <w:szCs w:val="20"/>
        </w:rPr>
        <w:t>nustatytus reikalavimus</w:t>
      </w:r>
      <w:bookmarkEnd w:id="0"/>
      <w:r w:rsidRPr="00385378">
        <w:rPr>
          <w:rFonts w:ascii="Verdana" w:eastAsia="Times New Roman" w:hAnsi="Verdana"/>
          <w:sz w:val="20"/>
          <w:szCs w:val="20"/>
        </w:rPr>
        <w:t xml:space="preserve">, </w:t>
      </w:r>
      <w:bookmarkStart w:id="1" w:name="_Hlk85578911"/>
      <w:r w:rsidRPr="00125F6D">
        <w:rPr>
          <w:rFonts w:ascii="Verdana" w:eastAsia="Times New Roman" w:hAnsi="Verdana"/>
          <w:sz w:val="20"/>
          <w:szCs w:val="20"/>
        </w:rPr>
        <w:t>suteikti Užsakov</w:t>
      </w:r>
      <w:r>
        <w:rPr>
          <w:rFonts w:ascii="Verdana" w:eastAsia="Times New Roman" w:hAnsi="Verdana"/>
          <w:sz w:val="20"/>
          <w:szCs w:val="20"/>
        </w:rPr>
        <w:t>o vartotojams</w:t>
      </w:r>
      <w:r w:rsidRPr="00125F6D">
        <w:rPr>
          <w:rFonts w:ascii="Verdana" w:eastAsia="Times New Roman" w:hAnsi="Verdana"/>
          <w:sz w:val="20"/>
          <w:szCs w:val="20"/>
        </w:rPr>
        <w:t xml:space="preserve"> prieigą prie duomenų bazės</w:t>
      </w:r>
      <w:bookmarkEnd w:id="1"/>
      <w:r w:rsidRPr="00385378">
        <w:rPr>
          <w:rFonts w:ascii="Verdana" w:eastAsia="Times New Roman" w:hAnsi="Verdana"/>
          <w:sz w:val="20"/>
          <w:szCs w:val="20"/>
        </w:rPr>
        <w:t xml:space="preserve">, o Užsakovas </w:t>
      </w:r>
      <w:r>
        <w:rPr>
          <w:rFonts w:ascii="Verdana" w:eastAsia="Times New Roman" w:hAnsi="Verdana"/>
          <w:sz w:val="20"/>
          <w:szCs w:val="20"/>
        </w:rPr>
        <w:t xml:space="preserve">įsipareigoja </w:t>
      </w:r>
      <w:r w:rsidRPr="00385378">
        <w:rPr>
          <w:rFonts w:ascii="Verdana" w:eastAsia="Times New Roman" w:hAnsi="Verdana"/>
          <w:sz w:val="20"/>
          <w:szCs w:val="20"/>
        </w:rPr>
        <w:t>už šias paslaugas sumok</w:t>
      </w:r>
      <w:r>
        <w:rPr>
          <w:rFonts w:ascii="Verdana" w:eastAsia="Times New Roman" w:hAnsi="Verdana"/>
          <w:sz w:val="20"/>
          <w:szCs w:val="20"/>
        </w:rPr>
        <w:t>ėti</w:t>
      </w:r>
      <w:r w:rsidRPr="00385378">
        <w:rPr>
          <w:rFonts w:ascii="Verdana" w:eastAsia="Times New Roman" w:hAnsi="Verdana"/>
          <w:sz w:val="20"/>
          <w:szCs w:val="20"/>
        </w:rPr>
        <w:t xml:space="preserve"> sutartyje nustatyta tvarka ir sąlygomis.</w:t>
      </w:r>
    </w:p>
    <w:p w14:paraId="6DAEE7BC"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eastAsia="Times New Roman" w:hAnsi="Verdana"/>
          <w:sz w:val="20"/>
          <w:szCs w:val="20"/>
        </w:rPr>
      </w:pPr>
      <w:r w:rsidRPr="00566A8B">
        <w:rPr>
          <w:rFonts w:ascii="Verdana" w:eastAsia="Times New Roman" w:hAnsi="Verdana"/>
          <w:sz w:val="20"/>
          <w:szCs w:val="20"/>
        </w:rPr>
        <w:t>Techninė specifikacija yra sutarties priedas ir laikoma neatskiriama sutarties dalimi.</w:t>
      </w:r>
    </w:p>
    <w:p w14:paraId="69FD049D"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Pr>
          <w:rFonts w:ascii="Verdana" w:hAnsi="Verdana"/>
          <w:sz w:val="20"/>
          <w:szCs w:val="20"/>
        </w:rPr>
        <w:t xml:space="preserve">Tiekėjas paslaugas turi </w:t>
      </w:r>
      <w:r w:rsidRPr="006D4C2D">
        <w:rPr>
          <w:rFonts w:ascii="Verdana" w:hAnsi="Verdana"/>
          <w:sz w:val="20"/>
          <w:szCs w:val="20"/>
        </w:rPr>
        <w:t>pradėti teikti nuo 2025 m. liepos 1 d. ir teikti 12</w:t>
      </w:r>
      <w:r>
        <w:rPr>
          <w:rFonts w:ascii="Verdana" w:hAnsi="Verdana"/>
          <w:sz w:val="20"/>
          <w:szCs w:val="20"/>
        </w:rPr>
        <w:t xml:space="preserve"> mėnesių </w:t>
      </w:r>
      <w:r w:rsidRPr="003E6825">
        <w:rPr>
          <w:rFonts w:ascii="Verdana" w:hAnsi="Verdana"/>
          <w:sz w:val="20"/>
          <w:szCs w:val="20"/>
        </w:rPr>
        <w:t xml:space="preserve">su galimybe pratęsti </w:t>
      </w:r>
      <w:r>
        <w:rPr>
          <w:rFonts w:ascii="Verdana" w:hAnsi="Verdana"/>
          <w:sz w:val="20"/>
          <w:szCs w:val="20"/>
        </w:rPr>
        <w:t xml:space="preserve">paslaugų teikimą  </w:t>
      </w:r>
      <w:r w:rsidRPr="003E6825">
        <w:rPr>
          <w:rFonts w:ascii="Verdana" w:hAnsi="Verdana"/>
          <w:sz w:val="20"/>
          <w:szCs w:val="20"/>
        </w:rPr>
        <w:t>du kartus po 12 mėnesių</w:t>
      </w:r>
      <w:r>
        <w:rPr>
          <w:rFonts w:ascii="Verdana" w:hAnsi="Verdana"/>
          <w:sz w:val="20"/>
          <w:szCs w:val="20"/>
        </w:rPr>
        <w:t xml:space="preserve">. </w:t>
      </w:r>
    </w:p>
    <w:p w14:paraId="2AA6FBD7"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sidRPr="00C40D8F">
        <w:rPr>
          <w:rFonts w:ascii="Verdana" w:eastAsia="Times New Roman" w:hAnsi="Verdana"/>
          <w:sz w:val="20"/>
          <w:szCs w:val="20"/>
        </w:rPr>
        <w:t>Sutarties kainos apskaičiavimo būdas – fiksuoto įkainio.</w:t>
      </w:r>
      <w:r w:rsidRPr="006B111E">
        <w:rPr>
          <w:rFonts w:ascii="Verdana" w:eastAsia="Times New Roman" w:hAnsi="Verdana"/>
        </w:rPr>
        <w:t xml:space="preserve"> </w:t>
      </w:r>
      <w:r w:rsidRPr="00C40D8F">
        <w:rPr>
          <w:rFonts w:ascii="Verdana" w:eastAsia="Times New Roman" w:hAnsi="Verdana"/>
          <w:sz w:val="20"/>
          <w:szCs w:val="20"/>
        </w:rPr>
        <w:t xml:space="preserve"> </w:t>
      </w:r>
    </w:p>
    <w:p w14:paraId="631823CC"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eastAsia="Times New Roman" w:hAnsi="Verdana"/>
          <w:sz w:val="20"/>
          <w:szCs w:val="20"/>
        </w:rPr>
      </w:pPr>
      <w:r w:rsidRPr="00385378">
        <w:rPr>
          <w:rFonts w:ascii="Verdana" w:eastAsia="Times New Roman" w:hAnsi="Verdana"/>
          <w:sz w:val="20"/>
          <w:szCs w:val="20"/>
        </w:rPr>
        <w:t xml:space="preserve">Į paslaugų </w:t>
      </w:r>
      <w:r>
        <w:rPr>
          <w:rFonts w:ascii="Verdana" w:eastAsia="Times New Roman" w:hAnsi="Verdana"/>
          <w:sz w:val="20"/>
          <w:szCs w:val="20"/>
        </w:rPr>
        <w:t>įkainį</w:t>
      </w:r>
      <w:r w:rsidRPr="00385378">
        <w:rPr>
          <w:rFonts w:ascii="Verdana" w:eastAsia="Times New Roman" w:hAnsi="Verdana"/>
          <w:sz w:val="20"/>
          <w:szCs w:val="20"/>
        </w:rPr>
        <w:t xml:space="preserve"> įtrauktos </w:t>
      </w:r>
      <w:r w:rsidRPr="00385378">
        <w:rPr>
          <w:rFonts w:ascii="Verdana" w:hAnsi="Verdana"/>
          <w:sz w:val="20"/>
          <w:szCs w:val="20"/>
        </w:rPr>
        <w:t xml:space="preserve">visos </w:t>
      </w:r>
      <w:r w:rsidRPr="00CA1A1B">
        <w:rPr>
          <w:rFonts w:ascii="Verdana" w:hAnsi="Verdana"/>
          <w:sz w:val="20"/>
          <w:szCs w:val="20"/>
        </w:rPr>
        <w:t>su</w:t>
      </w:r>
      <w:r>
        <w:rPr>
          <w:rFonts w:ascii="Verdana" w:hAnsi="Verdana"/>
          <w:sz w:val="20"/>
          <w:szCs w:val="20"/>
        </w:rPr>
        <w:t xml:space="preserve"> Užsakovo vartotojų</w:t>
      </w:r>
      <w:r w:rsidRPr="00CA1A1B">
        <w:rPr>
          <w:rFonts w:ascii="Verdana" w:hAnsi="Verdana"/>
          <w:sz w:val="20"/>
          <w:szCs w:val="20"/>
        </w:rPr>
        <w:t xml:space="preserve"> prieiga prie duomenų bazės ir duomenų bazės naudojimu susijusios išlaidos</w:t>
      </w:r>
      <w:r>
        <w:rPr>
          <w:rFonts w:ascii="Verdana" w:hAnsi="Verdana"/>
          <w:sz w:val="20"/>
          <w:szCs w:val="20"/>
        </w:rPr>
        <w:t>,</w:t>
      </w:r>
      <w:r w:rsidRPr="00CA1A1B">
        <w:rPr>
          <w:rFonts w:ascii="Verdana" w:hAnsi="Verdana"/>
          <w:sz w:val="20"/>
          <w:szCs w:val="20"/>
        </w:rPr>
        <w:t xml:space="preserve"> </w:t>
      </w:r>
      <w:r w:rsidRPr="00385378">
        <w:rPr>
          <w:rFonts w:ascii="Verdana" w:hAnsi="Verdana"/>
          <w:sz w:val="20"/>
          <w:szCs w:val="20"/>
        </w:rPr>
        <w:t>Tiekėjo numatytos ir nenumatytos išlaidos, taip pat ir išlaidos už sąskaitų Užsakovui pateikimą bei visi mokesčiai, įskaitant PVM, t. y. išlaidos, apimančios viską, ko reikia visiškam ir tinkamam sutarties įvykdymui.</w:t>
      </w:r>
    </w:p>
    <w:p w14:paraId="302227E5"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sidRPr="00385378">
        <w:rPr>
          <w:rFonts w:ascii="Verdana" w:hAnsi="Verdana"/>
          <w:sz w:val="20"/>
          <w:szCs w:val="20"/>
        </w:rPr>
        <w:t>Sudarius sutartį, tačiau ne vėliau negu sutartis pradedama vykdyti, Tiekėjas įsipareigoja Užsakovui pranešti tuo metu žinomų subtiekėjų pavadinimus, kontaktinius duomenis ir jų atstovus. Tiekėjas įsipareigoja informuoti Užsakovą apie minėtos informacijos pasikeitimus viso sutarties vykdymo metu, taip pat apie naujus subtiekėjus, kuriuos jis ketina pasitelkti vėliau.</w:t>
      </w:r>
      <w:r>
        <w:rPr>
          <w:rFonts w:ascii="Verdana" w:hAnsi="Verdana"/>
          <w:sz w:val="20"/>
          <w:szCs w:val="20"/>
        </w:rPr>
        <w:t xml:space="preserve"> </w:t>
      </w:r>
      <w:r w:rsidRPr="00385378">
        <w:rPr>
          <w:rFonts w:ascii="Verdana" w:hAnsi="Verdana"/>
          <w:sz w:val="20"/>
          <w:szCs w:val="20"/>
        </w:rPr>
        <w:t xml:space="preserve">Tiekėjas sutarties vykdymo metu gali inicijuoti naujo subtiekėjo pasitelkimą arba subtiekėjo pakeitimą, nurodydamas motyvus. Tiekėjas gali pasitelkti naujus arba keisti subtiekėjus tik prieš tai raštu pranešęs Užsakovui apie naujo subtiekėjo pasitelkimo arba keitimo būtinybę ir gavęs </w:t>
      </w:r>
      <w:r>
        <w:rPr>
          <w:rFonts w:ascii="Verdana" w:hAnsi="Verdana"/>
          <w:sz w:val="20"/>
          <w:szCs w:val="20"/>
        </w:rPr>
        <w:t>Užsakovo</w:t>
      </w:r>
      <w:r w:rsidRPr="00385378">
        <w:rPr>
          <w:rFonts w:ascii="Verdana" w:hAnsi="Verdana"/>
          <w:sz w:val="20"/>
          <w:szCs w:val="20"/>
        </w:rPr>
        <w:t xml:space="preserve"> raštišką sutikimą. </w:t>
      </w:r>
    </w:p>
    <w:p w14:paraId="29614D6A"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sidRPr="00385378">
        <w:rPr>
          <w:rFonts w:ascii="Verdana" w:hAnsi="Verdana"/>
          <w:sz w:val="20"/>
          <w:szCs w:val="20"/>
        </w:rPr>
        <w:t>Tiekėjas įsipareigoja neribotą laiką neatskleisti, neperduoti ar kitokiu būdu neperleisti tretiesiems asmenims jokios iš Užsakovo paslaugų suteikimui gautos informacijos (jei gauna), ją saugoti tinkamai ir protingai laikantis taikytinų profesinių standartų, naudoti šią informaciją tiktai vykdant įsipareigojimus pagal sutartį, dauginti šią informaciją tiktai tiek, kiek to reikia vykdyti įsipareigojimams pagal sutartį. Konfidencialumo reikalavimai netaikomi informacijai, kuri yra arba sutarties galiojimo laikotarpiu tapo viešai žinoma arba teisėtu pagrindu jau yra žinoma Tiekėjui, arba be apribojimų atskleista trečiajam asmeniui trečiojo asmens, arba nenaudojant šios informacijos sužinota savarankiškai, arba turi būti atskleista pagal galiojančių teisės aktų reikalavimus.</w:t>
      </w:r>
    </w:p>
    <w:p w14:paraId="14E3B174" w14:textId="77777777" w:rsidR="00CE22EA" w:rsidRPr="00385378"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sidRPr="00385378">
        <w:rPr>
          <w:rFonts w:ascii="Verdana" w:hAnsi="Verdana"/>
          <w:sz w:val="20"/>
          <w:szCs w:val="20"/>
        </w:rPr>
        <w:t>Už netinkamai teikiamas paslaugas Tiekėjas moka sutartyje nustatytas baudas ir delspinigius. Sutarties sąlygos jos galiojimo laikotarpiu gali būti keičiamos</w:t>
      </w:r>
      <w:r>
        <w:rPr>
          <w:rFonts w:ascii="Verdana" w:hAnsi="Verdana"/>
          <w:sz w:val="20"/>
          <w:szCs w:val="20"/>
        </w:rPr>
        <w:t xml:space="preserve"> sutartyje nurodytais atvejais</w:t>
      </w:r>
      <w:r w:rsidRPr="00385378">
        <w:rPr>
          <w:rFonts w:ascii="Verdana" w:hAnsi="Verdana"/>
          <w:sz w:val="20"/>
          <w:szCs w:val="20"/>
        </w:rPr>
        <w:t>. Sutarties pakeitimai turi būti įforminami raštu dokumentais, pasirašytais Tiekėjo ir Užsakovo įgaliotų asmenų, ir jie bus neatskiriamos sutarties dalys.</w:t>
      </w:r>
      <w:r>
        <w:rPr>
          <w:rFonts w:ascii="Verdana" w:hAnsi="Verdana"/>
          <w:sz w:val="20"/>
          <w:szCs w:val="20"/>
        </w:rPr>
        <w:t xml:space="preserve"> Sutartis gali būti nutraukiama joje nustatytais atvejais.</w:t>
      </w:r>
    </w:p>
    <w:p w14:paraId="7E1B6FBA" w14:textId="77777777" w:rsidR="00CE22EA" w:rsidRDefault="00CE22EA" w:rsidP="00CE22EA">
      <w:pPr>
        <w:pStyle w:val="ListParagraph"/>
        <w:numPr>
          <w:ilvl w:val="0"/>
          <w:numId w:val="2"/>
        </w:numPr>
        <w:tabs>
          <w:tab w:val="left" w:pos="851"/>
        </w:tabs>
        <w:spacing w:after="0" w:line="240" w:lineRule="auto"/>
        <w:ind w:left="0" w:firstLine="567"/>
        <w:jc w:val="both"/>
        <w:rPr>
          <w:rFonts w:ascii="Verdana" w:hAnsi="Verdana"/>
          <w:sz w:val="20"/>
          <w:szCs w:val="20"/>
        </w:rPr>
      </w:pPr>
      <w:r w:rsidRPr="00374C78">
        <w:rPr>
          <w:rFonts w:ascii="Verdana" w:hAnsi="Verdana"/>
          <w:sz w:val="20"/>
          <w:szCs w:val="20"/>
        </w:rPr>
        <w:t xml:space="preserve">Šalys įsipareigoja laikytis 2016 m. balandžio 27 d. Europos Parlamento ir Tarybos reglamento (ES) 2016/679 dėl fizinių asmenų apsaugos tvarkant asmens duomenis ir dėl laisvo tokių duomenų judėjimo, kuriuo panaikinama Direktyva 95/46 EB, Lietuvos Respublikos asmens duomenų teisinės apsaugos įstatymo ir kitų teisės aktų, reglamentuojančių asmens duomenų tvarkymą ir apsaugą, reikalavimų. Jeigu sutarties vykdymo metu bus tvarkoma informacija ar duomenys, kuriuose yra asmens duomenų, </w:t>
      </w:r>
      <w:r>
        <w:rPr>
          <w:rFonts w:ascii="Verdana" w:hAnsi="Verdana"/>
          <w:sz w:val="20"/>
          <w:szCs w:val="20"/>
        </w:rPr>
        <w:t xml:space="preserve">ne vėliau nei iki tokio asmens duomenų tvarkymo pradžios </w:t>
      </w:r>
      <w:r w:rsidRPr="00374C78">
        <w:rPr>
          <w:rFonts w:ascii="Verdana" w:hAnsi="Verdana"/>
          <w:sz w:val="20"/>
          <w:szCs w:val="20"/>
        </w:rPr>
        <w:t>Šalys įsipareigoja pasirašyti asmens duomenų tvarkymo susitarimą, kuriame nurodoma, dėl kokių duomenų tvarkymo veiksmų susitariama, duomenų tvarkymo teisinis pagrindas, duomenų tvarkymo tikslas, duomenų tvarkymo terminas, kokius tvarkymo veiksmus pavedama atlikti, kokie duomenys (rūšys ar kategorijos) tvarkomi, kokios Šalių teisės ir prievolės, asmens duomenų apsikeitimo būdai ir kitos sąlygos, būtinos asmens duomenų saugumui užtikrinti.</w:t>
      </w:r>
    </w:p>
    <w:p w14:paraId="7D9A226F" w14:textId="77777777" w:rsidR="00CE22EA" w:rsidRDefault="00CE22EA" w:rsidP="00CE22EA">
      <w:pPr>
        <w:pStyle w:val="ListParagraph"/>
        <w:tabs>
          <w:tab w:val="left" w:pos="851"/>
        </w:tabs>
        <w:spacing w:after="0" w:line="240" w:lineRule="auto"/>
        <w:ind w:left="567"/>
        <w:jc w:val="both"/>
        <w:rPr>
          <w:rFonts w:ascii="Verdana" w:hAnsi="Verdana"/>
          <w:sz w:val="20"/>
          <w:szCs w:val="20"/>
        </w:rPr>
      </w:pPr>
    </w:p>
    <w:p w14:paraId="1D2803DF" w14:textId="77777777" w:rsidR="00CE22EA" w:rsidRPr="00385378" w:rsidRDefault="00CE22EA" w:rsidP="00CE22EA">
      <w:pPr>
        <w:pStyle w:val="ListParagraph"/>
        <w:tabs>
          <w:tab w:val="left" w:pos="851"/>
        </w:tabs>
        <w:spacing w:after="0" w:line="240" w:lineRule="auto"/>
        <w:ind w:left="0" w:firstLine="567"/>
        <w:jc w:val="both"/>
        <w:rPr>
          <w:rFonts w:ascii="Verdana" w:hAnsi="Verdana"/>
          <w:sz w:val="20"/>
          <w:szCs w:val="20"/>
        </w:rPr>
      </w:pPr>
      <w:r w:rsidRPr="00124264">
        <w:rPr>
          <w:rFonts w:ascii="Verdana" w:hAnsi="Verdana"/>
          <w:sz w:val="20"/>
          <w:szCs w:val="20"/>
        </w:rPr>
        <w:t>Sutarties projektą parengia ir pateikia laimėjęs Tiekėjas. Sudaroma sutartis turi atitikti laimėjusio Tiekėjo pasiūlymą ir pirkimo sąlygas</w:t>
      </w:r>
      <w:r>
        <w:rPr>
          <w:rFonts w:ascii="Verdana" w:hAnsi="Verdana"/>
          <w:sz w:val="20"/>
          <w:szCs w:val="20"/>
        </w:rPr>
        <w:t>.</w:t>
      </w:r>
      <w:r w:rsidRPr="00124264">
        <w:rPr>
          <w:rFonts w:ascii="Verdana" w:hAnsi="Verdana"/>
          <w:sz w:val="20"/>
          <w:szCs w:val="20"/>
        </w:rPr>
        <w:t xml:space="preserve"> </w:t>
      </w:r>
      <w:r>
        <w:rPr>
          <w:rFonts w:ascii="Verdana" w:hAnsi="Verdana"/>
          <w:sz w:val="20"/>
          <w:szCs w:val="20"/>
        </w:rPr>
        <w:t>Tiekėjas turi pateikti susitarimo dėl asmens duomenų tvarkymo projektą.</w:t>
      </w:r>
    </w:p>
    <w:p w14:paraId="23294C1E" w14:textId="77777777" w:rsidR="00CE22EA" w:rsidRDefault="00CE22EA" w:rsidP="00CE22EA">
      <w:pPr>
        <w:spacing w:after="0" w:line="240" w:lineRule="auto"/>
        <w:ind w:firstLine="567"/>
        <w:jc w:val="both"/>
        <w:rPr>
          <w:rFonts w:ascii="Verdana" w:hAnsi="Verdana"/>
          <w:b/>
          <w:sz w:val="20"/>
          <w:szCs w:val="20"/>
        </w:rPr>
      </w:pPr>
    </w:p>
    <w:p w14:paraId="0259E708" w14:textId="77777777" w:rsidR="00CE22EA" w:rsidRPr="002A2F0D" w:rsidRDefault="00CE22EA" w:rsidP="00CE22EA">
      <w:pPr>
        <w:tabs>
          <w:tab w:val="left" w:pos="851"/>
        </w:tabs>
        <w:spacing w:after="0" w:line="240" w:lineRule="auto"/>
        <w:jc w:val="center"/>
        <w:rPr>
          <w:rFonts w:ascii="Verdana" w:hAnsi="Verdana"/>
          <w:b/>
          <w:bCs/>
          <w:sz w:val="20"/>
          <w:szCs w:val="20"/>
          <w:lang w:val="en-US"/>
        </w:rPr>
      </w:pPr>
      <w:r>
        <w:rPr>
          <w:rFonts w:ascii="Verdana" w:eastAsiaTheme="minorHAnsi" w:hAnsi="Verdana" w:cstheme="minorBidi"/>
          <w:sz w:val="20"/>
          <w:szCs w:val="20"/>
          <w:lang w:val="en-GB"/>
        </w:rPr>
        <w:t>___________________________</w:t>
      </w:r>
    </w:p>
    <w:sectPr w:rsidR="00CE22EA" w:rsidRPr="002A2F0D" w:rsidSect="00AB627E">
      <w:headerReference w:type="default" r:id="rId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A5423" w14:textId="77777777" w:rsidR="00DE72AE" w:rsidRDefault="00DE72AE" w:rsidP="00C33775">
      <w:pPr>
        <w:spacing w:after="0" w:line="240" w:lineRule="auto"/>
      </w:pPr>
      <w:r>
        <w:separator/>
      </w:r>
    </w:p>
  </w:endnote>
  <w:endnote w:type="continuationSeparator" w:id="0">
    <w:p w14:paraId="1AAB5867" w14:textId="77777777" w:rsidR="00DE72AE" w:rsidRDefault="00DE72AE" w:rsidP="00C3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237CE" w14:textId="77777777" w:rsidR="00DE72AE" w:rsidRDefault="00DE72AE" w:rsidP="00C33775">
      <w:pPr>
        <w:spacing w:after="0" w:line="240" w:lineRule="auto"/>
      </w:pPr>
      <w:r>
        <w:separator/>
      </w:r>
    </w:p>
  </w:footnote>
  <w:footnote w:type="continuationSeparator" w:id="0">
    <w:p w14:paraId="1893D0E7" w14:textId="77777777" w:rsidR="00DE72AE" w:rsidRDefault="00DE72AE" w:rsidP="00C33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1807" w14:textId="77777777" w:rsidR="004752FE" w:rsidRPr="004752FE" w:rsidRDefault="004752FE" w:rsidP="004752FE">
    <w:pPr>
      <w:jc w:val="right"/>
      <w:rPr>
        <w:rFonts w:ascii="Verdana" w:hAnsi="Verdana"/>
        <w:sz w:val="20"/>
        <w:szCs w:val="20"/>
      </w:rPr>
    </w:pPr>
    <w:r w:rsidRPr="004752FE">
      <w:rPr>
        <w:rFonts w:ascii="Verdana" w:hAnsi="Verdana"/>
        <w:sz w:val="20"/>
        <w:szCs w:val="20"/>
      </w:rPr>
      <w:t xml:space="preserve">6 priedas </w:t>
    </w:r>
  </w:p>
  <w:p w14:paraId="2CA604B6" w14:textId="77777777" w:rsidR="004752FE" w:rsidRDefault="004752FE" w:rsidP="00475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62DE7"/>
    <w:multiLevelType w:val="multilevel"/>
    <w:tmpl w:val="0F7EBEE4"/>
    <w:lvl w:ilvl="0">
      <w:start w:val="1"/>
      <w:numFmt w:val="decimal"/>
      <w:suff w:val="space"/>
      <w:lvlText w:val="%1."/>
      <w:lvlJc w:val="left"/>
      <w:pPr>
        <w:ind w:left="360" w:hanging="360"/>
      </w:pPr>
      <w:rPr>
        <w:rFonts w:hint="default"/>
      </w:rPr>
    </w:lvl>
    <w:lvl w:ilvl="1">
      <w:start w:val="1"/>
      <w:numFmt w:val="decimal"/>
      <w:suff w:val="space"/>
      <w:lvlText w:val="%1.%2."/>
      <w:lvlJc w:val="left"/>
      <w:pPr>
        <w:ind w:left="1425"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0F2BDD"/>
    <w:multiLevelType w:val="hybridMultilevel"/>
    <w:tmpl w:val="11903DF6"/>
    <w:lvl w:ilvl="0" w:tplc="942AB0F0">
      <w:start w:val="1"/>
      <w:numFmt w:val="decimal"/>
      <w:lvlText w:val="%1."/>
      <w:lvlJc w:val="left"/>
      <w:pPr>
        <w:ind w:left="107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0848167">
    <w:abstractNumId w:val="1"/>
  </w:num>
  <w:num w:numId="2" w16cid:durableId="204532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A5"/>
    <w:rsid w:val="00122125"/>
    <w:rsid w:val="00143DB1"/>
    <w:rsid w:val="001D35C5"/>
    <w:rsid w:val="0033190A"/>
    <w:rsid w:val="003C6597"/>
    <w:rsid w:val="003E5C3A"/>
    <w:rsid w:val="004752FE"/>
    <w:rsid w:val="00503891"/>
    <w:rsid w:val="00517886"/>
    <w:rsid w:val="006D4C2D"/>
    <w:rsid w:val="008D774E"/>
    <w:rsid w:val="00AB627E"/>
    <w:rsid w:val="00AC1748"/>
    <w:rsid w:val="00B57B96"/>
    <w:rsid w:val="00C33775"/>
    <w:rsid w:val="00C81D8B"/>
    <w:rsid w:val="00CE22EA"/>
    <w:rsid w:val="00D379A5"/>
    <w:rsid w:val="00DE72AE"/>
    <w:rsid w:val="00E52105"/>
    <w:rsid w:val="00FB4129"/>
    <w:rsid w:val="00FD7BB9"/>
    <w:rsid w:val="5760FE13"/>
    <w:rsid w:val="7022A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30E6"/>
  <w15:chartTrackingRefBased/>
  <w15:docId w15:val="{A0A86926-DACC-4A22-BDC1-47A85E51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88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517886"/>
    <w:pPr>
      <w:ind w:left="1296"/>
    </w:p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rsid w:val="00517886"/>
    <w:rPr>
      <w:rFonts w:ascii="Calibri" w:eastAsia="Calibri" w:hAnsi="Calibri" w:cs="Times New Roman"/>
      <w:kern w:val="0"/>
      <w14:ligatures w14:val="none"/>
    </w:rPr>
  </w:style>
  <w:style w:type="paragraph" w:styleId="Header">
    <w:name w:val="header"/>
    <w:basedOn w:val="Normal"/>
    <w:link w:val="HeaderChar"/>
    <w:uiPriority w:val="99"/>
    <w:unhideWhenUsed/>
    <w:rsid w:val="00C3377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33775"/>
    <w:rPr>
      <w:rFonts w:ascii="Calibri" w:eastAsia="Calibri" w:hAnsi="Calibri" w:cs="Times New Roman"/>
      <w:kern w:val="0"/>
      <w14:ligatures w14:val="none"/>
    </w:rPr>
  </w:style>
  <w:style w:type="paragraph" w:styleId="Footer">
    <w:name w:val="footer"/>
    <w:basedOn w:val="Normal"/>
    <w:link w:val="FooterChar"/>
    <w:uiPriority w:val="99"/>
    <w:unhideWhenUsed/>
    <w:rsid w:val="00C3377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3775"/>
    <w:rPr>
      <w:rFonts w:ascii="Calibri" w:eastAsia="Calibri" w:hAnsi="Calibri" w:cs="Times New Roman"/>
      <w:kern w:val="0"/>
      <w14:ligatures w14:val="none"/>
    </w:rPr>
  </w:style>
  <w:style w:type="paragraph" w:styleId="Revision">
    <w:name w:val="Revision"/>
    <w:hidden/>
    <w:uiPriority w:val="99"/>
    <w:semiHidden/>
    <w:rsid w:val="0012212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2691</Words>
  <Characters>1535</Characters>
  <Application>Microsoft Office Word</Application>
  <DocSecurity>0</DocSecurity>
  <Lines>12</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Klimaitė</dc:creator>
  <cp:keywords/>
  <dc:description/>
  <cp:lastModifiedBy>Agnė Adomaitis</cp:lastModifiedBy>
  <cp:revision>20</cp:revision>
  <dcterms:created xsi:type="dcterms:W3CDTF">2024-11-28T15:19:00Z</dcterms:created>
  <dcterms:modified xsi:type="dcterms:W3CDTF">2024-12-11T09:22:00Z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2024-11-28T15:19:06Z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890d81f7-215d-4a10-9cbe-eb36eb30225a</vt:lpwstr>
  </property>
  <property fmtid="{D5CDD505-2E9C-101B-9397-08002B2CF9AE}" pid="8" name="MSIP_Label_e5564178-1ca1-4992-b45e-fdaf9919e704_ContentBits">
    <vt:lpwstr>0</vt:lpwstr>
  </property>
</Properties>
</file>