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FEB0" w14:textId="77777777" w:rsidR="007F2290" w:rsidRDefault="007F2290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Cs/>
          <w:color w:val="000000"/>
          <w:lang w:val="lt-LT"/>
        </w:rPr>
      </w:pPr>
    </w:p>
    <w:p w14:paraId="3E37A4D4" w14:textId="77777777" w:rsidR="00525A31" w:rsidRPr="00202703" w:rsidRDefault="00525A31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Cs/>
          <w:color w:val="000000"/>
          <w:lang w:val="lt-LT"/>
        </w:rPr>
      </w:pPr>
    </w:p>
    <w:p w14:paraId="27205E35" w14:textId="6FA24836" w:rsidR="00E42163" w:rsidRPr="00DE0CB5" w:rsidRDefault="00E42163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sz w:val="20"/>
          <w:szCs w:val="20"/>
          <w:lang w:val="en-US"/>
        </w:rPr>
      </w:pPr>
      <w:r w:rsidRPr="00F60380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>Pirkimo dalyviams</w:t>
      </w:r>
      <w:r w:rsidR="00525A31" w:rsidRPr="00F60380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 xml:space="preserve"> /</w:t>
      </w:r>
      <w:r w:rsidR="007845E2" w:rsidRPr="00F60380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>/</w:t>
      </w:r>
      <w:r w:rsidR="00525A31" w:rsidRPr="00F60380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 xml:space="preserve"> </w:t>
      </w:r>
      <w:r w:rsidR="00312BB4" w:rsidRPr="00F60380">
        <w:rPr>
          <w:rFonts w:ascii="Arial" w:hAnsi="Arial" w:cs="Arial"/>
          <w:sz w:val="20"/>
          <w:szCs w:val="20"/>
        </w:rPr>
        <w:t>To the tenderers of the procurement</w:t>
      </w:r>
      <w:r w:rsidRPr="00F60380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ab/>
      </w:r>
      <w:r w:rsidRPr="00F60380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ab/>
      </w:r>
      <w:r w:rsidR="00312BB4" w:rsidRPr="00F60380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 xml:space="preserve">         </w:t>
      </w:r>
      <w:r w:rsidR="00B8105C" w:rsidRPr="00F60380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 xml:space="preserve">                                 </w:t>
      </w:r>
      <w:r w:rsidRPr="00F60380">
        <w:rPr>
          <w:rFonts w:ascii="Arial" w:eastAsia="Times New Roman" w:hAnsi="Arial" w:cs="Arial"/>
          <w:bCs/>
          <w:color w:val="000000"/>
          <w:sz w:val="20"/>
          <w:szCs w:val="20"/>
          <w:lang w:val="lt-LT"/>
        </w:rPr>
        <w:tab/>
      </w:r>
      <w:bookmarkStart w:id="0" w:name="_Hlk146196623"/>
      <w:r w:rsidR="003F7FDE" w:rsidRPr="003F7FDE">
        <w:rPr>
          <w:rFonts w:ascii="Arial" w:hAnsi="Arial" w:cs="Arial"/>
          <w:sz w:val="20"/>
          <w:szCs w:val="20"/>
          <w:lang w:val="lt-LT"/>
        </w:rPr>
        <w:t>2025-03-</w:t>
      </w:r>
      <w:bookmarkEnd w:id="0"/>
      <w:r w:rsidR="008C3EBC">
        <w:rPr>
          <w:rFonts w:ascii="Arial" w:hAnsi="Arial" w:cs="Arial"/>
          <w:sz w:val="20"/>
          <w:szCs w:val="20"/>
          <w:lang w:val="lt-LT"/>
        </w:rPr>
        <w:t>31</w:t>
      </w:r>
    </w:p>
    <w:p w14:paraId="7881D8EB" w14:textId="48C99512" w:rsidR="0024493C" w:rsidRPr="00F60380" w:rsidRDefault="0024493C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F60380">
        <w:rPr>
          <w:rFonts w:ascii="Arial" w:hAnsi="Arial" w:cs="Arial"/>
          <w:bCs/>
          <w:i/>
          <w:iCs/>
          <w:sz w:val="20"/>
          <w:szCs w:val="20"/>
          <w:lang w:val="lt-LT"/>
        </w:rPr>
        <w:t>(siunčiama CVP IS priemonėmis)</w:t>
      </w:r>
      <w:r w:rsidR="00312BB4" w:rsidRPr="00F60380">
        <w:rPr>
          <w:rFonts w:ascii="Arial" w:hAnsi="Arial" w:cs="Arial"/>
          <w:bCs/>
          <w:sz w:val="20"/>
          <w:szCs w:val="20"/>
          <w:lang w:val="lt-LT"/>
        </w:rPr>
        <w:t xml:space="preserve"> /</w:t>
      </w:r>
      <w:r w:rsidR="00571136" w:rsidRPr="00F60380">
        <w:rPr>
          <w:rFonts w:ascii="Arial" w:hAnsi="Arial" w:cs="Arial"/>
          <w:bCs/>
          <w:sz w:val="20"/>
          <w:szCs w:val="20"/>
          <w:lang w:val="lt-LT"/>
        </w:rPr>
        <w:t>/</w:t>
      </w:r>
      <w:r w:rsidR="00312BB4" w:rsidRPr="00F60380">
        <w:rPr>
          <w:rFonts w:ascii="Arial" w:hAnsi="Arial" w:cs="Arial"/>
          <w:bCs/>
          <w:sz w:val="20"/>
          <w:szCs w:val="20"/>
          <w:lang w:val="lt-LT"/>
        </w:rPr>
        <w:t xml:space="preserve"> </w:t>
      </w:r>
      <w:r w:rsidR="00736B23" w:rsidRPr="00F60380">
        <w:rPr>
          <w:rFonts w:ascii="Arial" w:hAnsi="Arial" w:cs="Arial"/>
          <w:bCs/>
          <w:i/>
          <w:iCs/>
          <w:sz w:val="20"/>
          <w:szCs w:val="20"/>
        </w:rPr>
        <w:t>(sent by the CPP IS means)</w:t>
      </w:r>
    </w:p>
    <w:p w14:paraId="68DA02FB" w14:textId="77777777" w:rsidR="00F52EBC" w:rsidRPr="00F60380" w:rsidRDefault="00F52EBC" w:rsidP="0024493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lt-LT"/>
        </w:rPr>
      </w:pPr>
    </w:p>
    <w:tbl>
      <w:tblPr>
        <w:tblStyle w:val="TableGrid"/>
        <w:tblW w:w="15328" w:type="dxa"/>
        <w:tblLook w:val="04A0" w:firstRow="1" w:lastRow="0" w:firstColumn="1" w:lastColumn="0" w:noHBand="0" w:noVBand="1"/>
      </w:tblPr>
      <w:tblGrid>
        <w:gridCol w:w="7098"/>
        <w:gridCol w:w="8230"/>
      </w:tblGrid>
      <w:tr w:rsidR="005420EA" w:rsidRPr="00F60380" w14:paraId="4D2FF8A2" w14:textId="77777777" w:rsidTr="00DC3304">
        <w:trPr>
          <w:trHeight w:val="379"/>
        </w:trPr>
        <w:tc>
          <w:tcPr>
            <w:tcW w:w="7098" w:type="dxa"/>
            <w:shd w:val="clear" w:color="auto" w:fill="FBE4D5" w:themeFill="accent2" w:themeFillTint="33"/>
            <w:vAlign w:val="center"/>
          </w:tcPr>
          <w:p w14:paraId="752BDA98" w14:textId="03CA8CA8" w:rsidR="005420EA" w:rsidRPr="00F60380" w:rsidRDefault="005420EA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lt-LT"/>
              </w:rPr>
            </w:pPr>
            <w:r w:rsidRPr="00F60380">
              <w:rPr>
                <w:rFonts w:ascii="Arial" w:hAnsi="Arial" w:cs="Arial"/>
                <w:lang w:val="lt-LT"/>
              </w:rPr>
              <w:t>CVP IS pirkimo numeris</w:t>
            </w:r>
            <w:r w:rsidR="00736B23" w:rsidRPr="00F60380">
              <w:rPr>
                <w:rFonts w:ascii="Arial" w:hAnsi="Arial" w:cs="Arial"/>
                <w:lang w:val="lt-LT"/>
              </w:rPr>
              <w:t xml:space="preserve"> /</w:t>
            </w:r>
            <w:r w:rsidR="007845E2" w:rsidRPr="00F60380">
              <w:rPr>
                <w:rFonts w:ascii="Arial" w:hAnsi="Arial" w:cs="Arial"/>
                <w:lang w:val="lt-LT"/>
              </w:rPr>
              <w:t>/</w:t>
            </w:r>
            <w:r w:rsidR="00736B23" w:rsidRPr="00F60380">
              <w:rPr>
                <w:rFonts w:ascii="Arial" w:hAnsi="Arial" w:cs="Arial"/>
                <w:lang w:val="lt-LT"/>
              </w:rPr>
              <w:t xml:space="preserve"> </w:t>
            </w:r>
            <w:r w:rsidR="00D42993" w:rsidRPr="00F60380">
              <w:rPr>
                <w:rFonts w:ascii="Arial" w:hAnsi="Arial" w:cs="Arial"/>
              </w:rPr>
              <w:t>Procurement number in the CPP IS</w:t>
            </w:r>
          </w:p>
        </w:tc>
        <w:tc>
          <w:tcPr>
            <w:tcW w:w="8230" w:type="dxa"/>
            <w:vAlign w:val="center"/>
          </w:tcPr>
          <w:p w14:paraId="2E6E012D" w14:textId="5A1DA41C" w:rsidR="005420EA" w:rsidRPr="00F60380" w:rsidRDefault="004657F4" w:rsidP="00F331CF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lt-LT"/>
              </w:rPr>
            </w:pPr>
            <w:r w:rsidRPr="00F60380">
              <w:rPr>
                <w:rFonts w:ascii="Arial" w:hAnsi="Arial" w:cs="Arial"/>
                <w:lang w:val="lt-LT"/>
              </w:rPr>
              <w:t>1656347 // 1656347</w:t>
            </w:r>
          </w:p>
        </w:tc>
      </w:tr>
      <w:tr w:rsidR="005420EA" w:rsidRPr="00F60380" w14:paraId="3DF0EEDE" w14:textId="77777777" w:rsidTr="00DC3304">
        <w:trPr>
          <w:trHeight w:val="379"/>
        </w:trPr>
        <w:tc>
          <w:tcPr>
            <w:tcW w:w="7098" w:type="dxa"/>
            <w:shd w:val="clear" w:color="auto" w:fill="FBE4D5" w:themeFill="accent2" w:themeFillTint="33"/>
            <w:vAlign w:val="center"/>
          </w:tcPr>
          <w:p w14:paraId="44623E29" w14:textId="0C82AD00" w:rsidR="005420EA" w:rsidRPr="00F60380" w:rsidRDefault="005420EA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lt-LT"/>
              </w:rPr>
            </w:pPr>
            <w:r w:rsidRPr="00F60380">
              <w:rPr>
                <w:rFonts w:ascii="Arial" w:hAnsi="Arial" w:cs="Arial"/>
                <w:lang w:val="lt-LT"/>
              </w:rPr>
              <w:t>Pirkimo būdas</w:t>
            </w:r>
            <w:r w:rsidR="00D42993" w:rsidRPr="00F60380">
              <w:rPr>
                <w:rFonts w:ascii="Arial" w:hAnsi="Arial" w:cs="Arial"/>
                <w:lang w:val="lt-LT"/>
              </w:rPr>
              <w:t xml:space="preserve"> /</w:t>
            </w:r>
            <w:r w:rsidR="007845E2" w:rsidRPr="00F60380">
              <w:rPr>
                <w:rFonts w:ascii="Arial" w:hAnsi="Arial" w:cs="Arial"/>
                <w:lang w:val="lt-LT"/>
              </w:rPr>
              <w:t>/</w:t>
            </w:r>
            <w:r w:rsidR="00D42993" w:rsidRPr="00F60380">
              <w:rPr>
                <w:rFonts w:ascii="Arial" w:hAnsi="Arial" w:cs="Arial"/>
                <w:lang w:val="lt-LT"/>
              </w:rPr>
              <w:t xml:space="preserve"> </w:t>
            </w:r>
            <w:r w:rsidR="001544C4" w:rsidRPr="00F60380">
              <w:rPr>
                <w:rFonts w:ascii="Arial" w:hAnsi="Arial" w:cs="Arial"/>
              </w:rPr>
              <w:t>Method of the procurement</w:t>
            </w:r>
          </w:p>
        </w:tc>
        <w:tc>
          <w:tcPr>
            <w:tcW w:w="8230" w:type="dxa"/>
            <w:vAlign w:val="center"/>
          </w:tcPr>
          <w:p w14:paraId="07F78689" w14:textId="1AC747E2" w:rsidR="005420EA" w:rsidRPr="00F60380" w:rsidRDefault="00DE683B" w:rsidP="00DE683B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lt-LT"/>
              </w:rPr>
            </w:pPr>
            <w:proofErr w:type="spellStart"/>
            <w:r w:rsidRPr="00F60380">
              <w:rPr>
                <w:rFonts w:ascii="Arial" w:hAnsi="Arial" w:cs="Arial"/>
              </w:rPr>
              <w:t>Skelbiamos</w:t>
            </w:r>
            <w:proofErr w:type="spellEnd"/>
            <w:r w:rsidRPr="00F60380">
              <w:rPr>
                <w:rFonts w:ascii="Arial" w:hAnsi="Arial" w:cs="Arial"/>
              </w:rPr>
              <w:t xml:space="preserve"> </w:t>
            </w:r>
            <w:proofErr w:type="spellStart"/>
            <w:r w:rsidRPr="00F60380">
              <w:rPr>
                <w:rFonts w:ascii="Arial" w:hAnsi="Arial" w:cs="Arial"/>
              </w:rPr>
              <w:t>derybos</w:t>
            </w:r>
            <w:proofErr w:type="spellEnd"/>
            <w:r w:rsidRPr="00F60380">
              <w:rPr>
                <w:rFonts w:ascii="Arial" w:hAnsi="Arial" w:cs="Arial"/>
              </w:rPr>
              <w:t xml:space="preserve"> // </w:t>
            </w:r>
            <w:r w:rsidR="00DC3304" w:rsidRPr="00F60380">
              <w:rPr>
                <w:rFonts w:ascii="Arial" w:hAnsi="Arial" w:cs="Arial"/>
                <w:lang w:val="en-US"/>
              </w:rPr>
              <w:t>Negotiated procedure with publication of a contract notice</w:t>
            </w:r>
          </w:p>
        </w:tc>
      </w:tr>
      <w:tr w:rsidR="005420EA" w:rsidRPr="00F60380" w14:paraId="66B20AB9" w14:textId="77777777" w:rsidTr="00DC3304">
        <w:trPr>
          <w:trHeight w:val="379"/>
        </w:trPr>
        <w:tc>
          <w:tcPr>
            <w:tcW w:w="7098" w:type="dxa"/>
            <w:shd w:val="clear" w:color="auto" w:fill="FBE4D5" w:themeFill="accent2" w:themeFillTint="33"/>
            <w:vAlign w:val="center"/>
          </w:tcPr>
          <w:p w14:paraId="405A2CCE" w14:textId="31B4E994" w:rsidR="005420EA" w:rsidRPr="00F60380" w:rsidRDefault="005420EA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lt-LT"/>
              </w:rPr>
            </w:pPr>
            <w:r w:rsidRPr="00F60380">
              <w:rPr>
                <w:rFonts w:ascii="Arial" w:hAnsi="Arial" w:cs="Arial"/>
                <w:lang w:val="lt-LT"/>
              </w:rPr>
              <w:t>Pirkimo pavadinimas</w:t>
            </w:r>
            <w:r w:rsidR="001544C4" w:rsidRPr="00F60380">
              <w:rPr>
                <w:rFonts w:ascii="Arial" w:hAnsi="Arial" w:cs="Arial"/>
                <w:lang w:val="lt-LT"/>
              </w:rPr>
              <w:t xml:space="preserve"> /</w:t>
            </w:r>
            <w:r w:rsidR="007845E2" w:rsidRPr="00F60380">
              <w:rPr>
                <w:rFonts w:ascii="Arial" w:hAnsi="Arial" w:cs="Arial"/>
                <w:lang w:val="lt-LT"/>
              </w:rPr>
              <w:t>/</w:t>
            </w:r>
            <w:r w:rsidR="001544C4" w:rsidRPr="00F60380">
              <w:rPr>
                <w:rFonts w:ascii="Arial" w:hAnsi="Arial" w:cs="Arial"/>
                <w:lang w:val="lt-LT"/>
              </w:rPr>
              <w:t xml:space="preserve"> </w:t>
            </w:r>
            <w:r w:rsidR="00A342AE" w:rsidRPr="00F60380">
              <w:rPr>
                <w:rFonts w:ascii="Arial" w:hAnsi="Arial" w:cs="Arial"/>
              </w:rPr>
              <w:t>Name of the procurement</w:t>
            </w:r>
          </w:p>
        </w:tc>
        <w:tc>
          <w:tcPr>
            <w:tcW w:w="8230" w:type="dxa"/>
            <w:vAlign w:val="center"/>
          </w:tcPr>
          <w:p w14:paraId="5E75C276" w14:textId="0C58B4DC" w:rsidR="005420EA" w:rsidRPr="00F60380" w:rsidRDefault="00803888" w:rsidP="00DC3304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lang w:val="lt-LT"/>
              </w:rPr>
            </w:pPr>
            <w:r w:rsidRPr="00F60380">
              <w:rPr>
                <w:rFonts w:ascii="Arial" w:hAnsi="Arial" w:cs="Arial"/>
                <w:lang w:val="lt-LT"/>
              </w:rPr>
              <w:t xml:space="preserve">29392 HYPERKONVERGUOTOS INFRASTRUKTŪROS, VIRTUALIZACIJOS IR ATSARGINIŲ KOPIJŲ SISTEMA // </w:t>
            </w:r>
            <w:proofErr w:type="spellStart"/>
            <w:r w:rsidRPr="00F60380">
              <w:rPr>
                <w:rFonts w:ascii="Arial" w:hAnsi="Arial" w:cs="Arial"/>
                <w:lang w:val="lt-LT"/>
              </w:rPr>
              <w:t>No</w:t>
            </w:r>
            <w:proofErr w:type="spellEnd"/>
            <w:r w:rsidRPr="00F60380">
              <w:rPr>
                <w:rFonts w:ascii="Arial" w:hAnsi="Arial" w:cs="Arial"/>
                <w:lang w:val="lt-LT"/>
              </w:rPr>
              <w:t xml:space="preserve">. 29392 PROCUREMENT OF A HYPERCONVERGED INFRASTRUCTURE, VIRTUALIZATION AND BACKUP SYSTEM </w:t>
            </w:r>
          </w:p>
        </w:tc>
      </w:tr>
    </w:tbl>
    <w:p w14:paraId="729266A0" w14:textId="77777777" w:rsidR="002D78B9" w:rsidRPr="00F60380" w:rsidRDefault="006E31FC" w:rsidP="002D78B9">
      <w:pPr>
        <w:pStyle w:val="ListParagraph"/>
        <w:tabs>
          <w:tab w:val="left" w:pos="284"/>
        </w:tabs>
        <w:spacing w:after="0"/>
        <w:ind w:left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60380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*toliau bendrai – Pirkimas</w:t>
      </w:r>
      <w:r w:rsidR="00A342AE" w:rsidRPr="00F60380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 xml:space="preserve"> / </w:t>
      </w:r>
      <w:r w:rsidR="002D78B9" w:rsidRPr="00F60380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</w:rPr>
        <w:t>*hereinafter collectively referred to as the “Procurement”</w:t>
      </w:r>
    </w:p>
    <w:p w14:paraId="467209C4" w14:textId="7578027B" w:rsidR="0024493C" w:rsidRPr="00F60380" w:rsidRDefault="0024493C" w:rsidP="0024493C">
      <w:pPr>
        <w:spacing w:after="0" w:line="240" w:lineRule="auto"/>
        <w:jc w:val="both"/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</w:pPr>
    </w:p>
    <w:p w14:paraId="56E87965" w14:textId="77777777" w:rsidR="006E31FC" w:rsidRPr="00F60380" w:rsidRDefault="006E31FC" w:rsidP="0024493C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lt-LT"/>
        </w:rPr>
      </w:pPr>
    </w:p>
    <w:p w14:paraId="73C01A0D" w14:textId="66F5BA3C" w:rsidR="0024493C" w:rsidRPr="002A642C" w:rsidRDefault="005420EA" w:rsidP="002A642C">
      <w:pPr>
        <w:pStyle w:val="ListParagraph"/>
        <w:tabs>
          <w:tab w:val="left" w:pos="284"/>
        </w:tabs>
        <w:spacing w:after="0"/>
        <w:ind w:left="0"/>
        <w:jc w:val="center"/>
        <w:textAlignment w:val="baseline"/>
        <w:rPr>
          <w:rFonts w:ascii="Arial" w:hAnsi="Arial" w:cs="Arial"/>
          <w:b/>
          <w:bCs/>
          <w:caps/>
          <w:sz w:val="20"/>
          <w:szCs w:val="20"/>
        </w:rPr>
      </w:pPr>
      <w:r w:rsidRPr="00F60380">
        <w:rPr>
          <w:rFonts w:ascii="Arial" w:hAnsi="Arial" w:cs="Arial"/>
          <w:b/>
          <w:bCs/>
          <w:caps/>
          <w:sz w:val="20"/>
          <w:szCs w:val="20"/>
          <w:lang w:val="lt-LT"/>
        </w:rPr>
        <w:t>DĖL</w:t>
      </w:r>
      <w:r w:rsidRPr="00F60380">
        <w:rPr>
          <w:rFonts w:ascii="Arial" w:hAnsi="Arial" w:cs="Arial"/>
          <w:b/>
          <w:bCs/>
          <w:sz w:val="20"/>
          <w:szCs w:val="20"/>
          <w:lang w:val="lt-LT"/>
        </w:rPr>
        <w:t xml:space="preserve"> </w:t>
      </w:r>
      <w:r w:rsidRPr="00F60380">
        <w:rPr>
          <w:rFonts w:ascii="Arial" w:hAnsi="Arial" w:cs="Arial"/>
          <w:b/>
          <w:bCs/>
          <w:caps/>
          <w:sz w:val="20"/>
          <w:szCs w:val="20"/>
          <w:lang w:val="lt-LT"/>
        </w:rPr>
        <w:t>prašym</w:t>
      </w:r>
      <w:r w:rsidR="00673DAB" w:rsidRPr="00F60380">
        <w:rPr>
          <w:rFonts w:ascii="Arial" w:hAnsi="Arial" w:cs="Arial"/>
          <w:b/>
          <w:bCs/>
          <w:caps/>
          <w:sz w:val="20"/>
          <w:szCs w:val="20"/>
          <w:lang w:val="lt-LT"/>
        </w:rPr>
        <w:t>Ų</w:t>
      </w:r>
      <w:r w:rsidRPr="00F60380">
        <w:rPr>
          <w:rFonts w:ascii="Arial" w:hAnsi="Arial" w:cs="Arial"/>
          <w:b/>
          <w:bCs/>
          <w:caps/>
          <w:sz w:val="20"/>
          <w:szCs w:val="20"/>
          <w:lang w:val="lt-LT"/>
        </w:rPr>
        <w:t xml:space="preserve"> </w:t>
      </w:r>
      <w:r w:rsidR="00673DAB" w:rsidRPr="00F60380">
        <w:rPr>
          <w:rFonts w:ascii="Arial" w:hAnsi="Arial" w:cs="Arial"/>
          <w:b/>
          <w:bCs/>
          <w:caps/>
          <w:sz w:val="20"/>
          <w:szCs w:val="20"/>
          <w:lang w:val="lt-LT"/>
        </w:rPr>
        <w:t>PAAIŠKINTI IR PATIKSLINTI</w:t>
      </w:r>
      <w:r w:rsidRPr="00F60380">
        <w:rPr>
          <w:rFonts w:ascii="Arial" w:hAnsi="Arial" w:cs="Arial"/>
          <w:b/>
          <w:bCs/>
          <w:caps/>
          <w:sz w:val="20"/>
          <w:szCs w:val="20"/>
          <w:lang w:val="lt-LT"/>
        </w:rPr>
        <w:t xml:space="preserve"> pirkimo dokumentus</w:t>
      </w:r>
      <w:r w:rsidR="00673DAB" w:rsidRPr="00F60380">
        <w:rPr>
          <w:rFonts w:ascii="Arial" w:hAnsi="Arial" w:cs="Arial"/>
          <w:b/>
          <w:bCs/>
          <w:caps/>
          <w:sz w:val="20"/>
          <w:szCs w:val="20"/>
          <w:lang w:val="lt-LT"/>
        </w:rPr>
        <w:t xml:space="preserve"> /</w:t>
      </w:r>
      <w:r w:rsidR="007845E2" w:rsidRPr="00F60380">
        <w:rPr>
          <w:rFonts w:ascii="Arial" w:hAnsi="Arial" w:cs="Arial"/>
          <w:b/>
          <w:bCs/>
          <w:caps/>
          <w:sz w:val="20"/>
          <w:szCs w:val="20"/>
          <w:lang w:val="lt-LT"/>
        </w:rPr>
        <w:t>/</w:t>
      </w:r>
      <w:r w:rsidR="00673DAB" w:rsidRPr="00F60380">
        <w:rPr>
          <w:rFonts w:ascii="Arial" w:hAnsi="Arial" w:cs="Arial"/>
          <w:b/>
          <w:bCs/>
          <w:caps/>
          <w:sz w:val="20"/>
          <w:szCs w:val="20"/>
          <w:lang w:val="lt-LT"/>
        </w:rPr>
        <w:t xml:space="preserve"> </w:t>
      </w:r>
      <w:r w:rsidR="009F64A9" w:rsidRPr="00F60380">
        <w:rPr>
          <w:rFonts w:ascii="Arial" w:hAnsi="Arial" w:cs="Arial"/>
          <w:b/>
          <w:bCs/>
          <w:caps/>
          <w:sz w:val="20"/>
          <w:szCs w:val="20"/>
        </w:rPr>
        <w:t xml:space="preserve">REQUEST FOR </w:t>
      </w:r>
      <w:r w:rsidR="009F64A9" w:rsidRPr="00F60380">
        <w:rPr>
          <w:rFonts w:ascii="Arial" w:hAnsi="Arial" w:cs="Arial"/>
          <w:b/>
          <w:bCs/>
          <w:caps/>
          <w:sz w:val="20"/>
          <w:szCs w:val="20"/>
          <w:lang w:val="en-US"/>
        </w:rPr>
        <w:t>CLARIFICATION AND ADJUSTMENT</w:t>
      </w:r>
      <w:r w:rsidR="009F64A9" w:rsidRPr="00F60380">
        <w:rPr>
          <w:rFonts w:ascii="Arial" w:hAnsi="Arial" w:cs="Arial"/>
          <w:b/>
          <w:bCs/>
          <w:caps/>
          <w:sz w:val="20"/>
          <w:szCs w:val="20"/>
        </w:rPr>
        <w:t xml:space="preserve"> OF THE PROCUREMENT DOCUMENTS</w:t>
      </w:r>
    </w:p>
    <w:p w14:paraId="3491E2E1" w14:textId="7082DD5E" w:rsidR="00C741EE" w:rsidRPr="00F60380" w:rsidRDefault="34721E57" w:rsidP="00CF442B">
      <w:pPr>
        <w:tabs>
          <w:tab w:val="left" w:pos="4005"/>
        </w:tabs>
        <w:spacing w:after="60" w:line="240" w:lineRule="auto"/>
        <w:ind w:firstLine="567"/>
        <w:jc w:val="both"/>
        <w:rPr>
          <w:rFonts w:ascii="Arial" w:hAnsi="Arial" w:cs="Arial"/>
          <w:sz w:val="20"/>
          <w:szCs w:val="20"/>
          <w:lang w:val="lt-LT"/>
        </w:rPr>
      </w:pPr>
      <w:r w:rsidRPr="00F60380">
        <w:rPr>
          <w:rStyle w:val="normaltextrun"/>
          <w:rFonts w:ascii="Arial" w:eastAsia="Arial" w:hAnsi="Arial" w:cs="Arial"/>
          <w:color w:val="000000" w:themeColor="text1"/>
          <w:sz w:val="20"/>
          <w:szCs w:val="20"/>
          <w:lang w:val="lt-LT"/>
        </w:rPr>
        <w:t>UAB „LTG Kompetencijų centras“ (toliau – KC)</w:t>
      </w:r>
      <w:r w:rsidR="00CF442B" w:rsidRPr="00F60380">
        <w:rPr>
          <w:rFonts w:ascii="Arial" w:hAnsi="Arial" w:cs="Arial"/>
          <w:sz w:val="20"/>
          <w:szCs w:val="20"/>
          <w:lang w:val="lt-LT"/>
        </w:rPr>
        <w:t xml:space="preserve">, </w:t>
      </w:r>
      <w:r w:rsidR="00CF442B" w:rsidRPr="00F60380">
        <w:rPr>
          <w:rStyle w:val="normaltextrun"/>
          <w:rFonts w:ascii="Arial" w:hAnsi="Arial" w:cs="Arial"/>
          <w:sz w:val="20"/>
          <w:szCs w:val="20"/>
          <w:lang w:val="fi-FI"/>
        </w:rPr>
        <w:t>vadovaudamas</w:t>
      </w:r>
      <w:r w:rsidR="7E4F95F0" w:rsidRPr="00F60380">
        <w:rPr>
          <w:rStyle w:val="normaltextrun"/>
          <w:rFonts w:ascii="Arial" w:hAnsi="Arial" w:cs="Arial"/>
          <w:sz w:val="20"/>
          <w:szCs w:val="20"/>
          <w:lang w:val="fi-FI"/>
        </w:rPr>
        <w:t>i</w:t>
      </w:r>
      <w:r w:rsidR="00D02C90" w:rsidRPr="00F60380">
        <w:rPr>
          <w:rStyle w:val="normaltextrun"/>
          <w:rFonts w:ascii="Arial" w:hAnsi="Arial" w:cs="Arial"/>
          <w:sz w:val="20"/>
          <w:szCs w:val="20"/>
          <w:lang w:val="fi-FI"/>
        </w:rPr>
        <w:t>s</w:t>
      </w:r>
      <w:r w:rsidR="00CF442B" w:rsidRPr="00F60380">
        <w:rPr>
          <w:rStyle w:val="normaltextrun"/>
          <w:rFonts w:ascii="Arial" w:hAnsi="Arial" w:cs="Arial"/>
          <w:sz w:val="20"/>
          <w:szCs w:val="20"/>
          <w:lang w:val="fi-FI"/>
        </w:rPr>
        <w:t xml:space="preserve"> Pirkimo sąlygose nustatytais reikalavimais ir tvarka,</w:t>
      </w:r>
      <w:r w:rsidR="00C741EE" w:rsidRPr="00F60380">
        <w:rPr>
          <w:rFonts w:ascii="Arial" w:hAnsi="Arial" w:cs="Arial"/>
          <w:sz w:val="20"/>
          <w:szCs w:val="20"/>
          <w:lang w:val="lt-LT"/>
        </w:rPr>
        <w:t xml:space="preserve"> išnagrinėj</w:t>
      </w:r>
      <w:r w:rsidR="00D02C90" w:rsidRPr="00F60380">
        <w:rPr>
          <w:rFonts w:ascii="Arial" w:hAnsi="Arial" w:cs="Arial"/>
          <w:sz w:val="20"/>
          <w:szCs w:val="20"/>
          <w:lang w:val="lt-LT"/>
        </w:rPr>
        <w:t>ęs</w:t>
      </w:r>
      <w:r w:rsidR="00C741EE" w:rsidRPr="00F60380">
        <w:rPr>
          <w:rFonts w:ascii="Arial" w:hAnsi="Arial" w:cs="Arial"/>
          <w:sz w:val="20"/>
          <w:szCs w:val="20"/>
          <w:lang w:val="lt-LT"/>
        </w:rPr>
        <w:t xml:space="preserve"> CVP IS priemonėmis suinteresuoto (-ų) tiekėjo (-ų) </w:t>
      </w:r>
      <w:r w:rsidR="00C52413" w:rsidRPr="00F60380">
        <w:rPr>
          <w:rFonts w:ascii="Arial" w:hAnsi="Arial" w:cs="Arial"/>
          <w:sz w:val="20"/>
          <w:szCs w:val="20"/>
          <w:lang w:val="lt-LT"/>
        </w:rPr>
        <w:t>pateik</w:t>
      </w:r>
      <w:r w:rsidR="00C741EE" w:rsidRPr="00F60380">
        <w:rPr>
          <w:rFonts w:ascii="Arial" w:hAnsi="Arial" w:cs="Arial"/>
          <w:sz w:val="20"/>
          <w:szCs w:val="20"/>
          <w:lang w:val="lt-LT"/>
        </w:rPr>
        <w:t>tą (-</w:t>
      </w:r>
      <w:proofErr w:type="spellStart"/>
      <w:r w:rsidR="00C741EE" w:rsidRPr="00F60380">
        <w:rPr>
          <w:rFonts w:ascii="Arial" w:hAnsi="Arial" w:cs="Arial"/>
          <w:sz w:val="20"/>
          <w:szCs w:val="20"/>
          <w:lang w:val="lt-LT"/>
        </w:rPr>
        <w:t>us</w:t>
      </w:r>
      <w:proofErr w:type="spellEnd"/>
      <w:r w:rsidR="00C741EE" w:rsidRPr="00F60380">
        <w:rPr>
          <w:rFonts w:ascii="Arial" w:hAnsi="Arial" w:cs="Arial"/>
          <w:sz w:val="20"/>
          <w:szCs w:val="20"/>
          <w:lang w:val="lt-LT"/>
        </w:rPr>
        <w:t>) prašymą (-</w:t>
      </w:r>
      <w:proofErr w:type="spellStart"/>
      <w:r w:rsidR="00C741EE" w:rsidRPr="00F60380">
        <w:rPr>
          <w:rFonts w:ascii="Arial" w:hAnsi="Arial" w:cs="Arial"/>
          <w:sz w:val="20"/>
          <w:szCs w:val="20"/>
          <w:lang w:val="lt-LT"/>
        </w:rPr>
        <w:t>us</w:t>
      </w:r>
      <w:proofErr w:type="spellEnd"/>
      <w:r w:rsidR="00C741EE" w:rsidRPr="00F60380">
        <w:rPr>
          <w:rFonts w:ascii="Arial" w:hAnsi="Arial" w:cs="Arial"/>
          <w:sz w:val="20"/>
          <w:szCs w:val="20"/>
          <w:lang w:val="lt-LT"/>
        </w:rPr>
        <w:t xml:space="preserve">) </w:t>
      </w:r>
      <w:r w:rsidR="004564D9" w:rsidRPr="00F60380">
        <w:rPr>
          <w:rFonts w:ascii="Arial" w:hAnsi="Arial" w:cs="Arial"/>
          <w:sz w:val="20"/>
          <w:szCs w:val="20"/>
          <w:lang w:val="lt-LT"/>
        </w:rPr>
        <w:t>paaiškinti ir patikslinti</w:t>
      </w:r>
      <w:r w:rsidR="00C741EE" w:rsidRPr="00F60380">
        <w:rPr>
          <w:rFonts w:ascii="Arial" w:hAnsi="Arial" w:cs="Arial"/>
          <w:sz w:val="20"/>
          <w:szCs w:val="20"/>
          <w:lang w:val="lt-LT"/>
        </w:rPr>
        <w:t xml:space="preserve"> Pirkimo dokumentus, teikia atsakymų suvestinę:</w:t>
      </w:r>
      <w:r w:rsidR="009F64A9" w:rsidRPr="00F60380">
        <w:rPr>
          <w:rFonts w:ascii="Arial" w:hAnsi="Arial" w:cs="Arial"/>
          <w:sz w:val="20"/>
          <w:szCs w:val="20"/>
          <w:lang w:val="lt-LT"/>
        </w:rPr>
        <w:t xml:space="preserve"> /</w:t>
      </w:r>
      <w:r w:rsidR="007845E2" w:rsidRPr="00F60380">
        <w:rPr>
          <w:rFonts w:ascii="Arial" w:hAnsi="Arial" w:cs="Arial"/>
          <w:sz w:val="20"/>
          <w:szCs w:val="20"/>
          <w:lang w:val="lt-LT"/>
        </w:rPr>
        <w:t>/</w:t>
      </w:r>
      <w:r w:rsidR="009F64A9" w:rsidRPr="00F60380">
        <w:rPr>
          <w:rFonts w:ascii="Arial" w:hAnsi="Arial" w:cs="Arial"/>
          <w:sz w:val="20"/>
          <w:szCs w:val="20"/>
          <w:lang w:val="lt-LT"/>
        </w:rPr>
        <w:t xml:space="preserve"> </w:t>
      </w:r>
    </w:p>
    <w:p w14:paraId="1A28EEFD" w14:textId="57130CBA" w:rsidR="007845E2" w:rsidRPr="00F60380" w:rsidRDefault="007845E2" w:rsidP="00CF442B">
      <w:pPr>
        <w:tabs>
          <w:tab w:val="left" w:pos="4005"/>
        </w:tabs>
        <w:spacing w:after="6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val="lt-LT"/>
        </w:rPr>
      </w:pPr>
      <w:r w:rsidRPr="00F60380">
        <w:rPr>
          <w:rFonts w:ascii="Arial" w:hAnsi="Arial" w:cs="Arial"/>
          <w:sz w:val="20"/>
          <w:szCs w:val="20"/>
        </w:rPr>
        <w:t xml:space="preserve">Following the requirements and procedure established in the Terms and Conditions of the Procurement, having examined the request for </w:t>
      </w:r>
      <w:bookmarkStart w:id="1" w:name="_Hlk151105554"/>
      <w:r w:rsidR="00571136" w:rsidRPr="00F60380">
        <w:rPr>
          <w:rFonts w:ascii="Arial" w:hAnsi="Arial" w:cs="Arial"/>
          <w:sz w:val="20"/>
          <w:szCs w:val="20"/>
          <w:lang w:val="en-US"/>
        </w:rPr>
        <w:t>clarification and adjustment</w:t>
      </w:r>
      <w:bookmarkEnd w:id="1"/>
      <w:r w:rsidRPr="00F60380">
        <w:rPr>
          <w:rFonts w:ascii="Arial" w:hAnsi="Arial" w:cs="Arial"/>
          <w:sz w:val="20"/>
          <w:szCs w:val="20"/>
        </w:rPr>
        <w:t xml:space="preserve"> of the Procurement documents submitted by the interested supplier(s) by the CPP</w:t>
      </w:r>
      <w:r w:rsidR="00EA7709" w:rsidRPr="00F60380">
        <w:rPr>
          <w:rFonts w:ascii="Arial" w:hAnsi="Arial" w:cs="Arial"/>
          <w:sz w:val="20"/>
          <w:szCs w:val="20"/>
        </w:rPr>
        <w:t xml:space="preserve"> IS</w:t>
      </w:r>
      <w:r w:rsidRPr="00F60380">
        <w:rPr>
          <w:rFonts w:ascii="Arial" w:hAnsi="Arial" w:cs="Arial"/>
          <w:sz w:val="20"/>
          <w:szCs w:val="20"/>
        </w:rPr>
        <w:t xml:space="preserve"> correspondence means, </w:t>
      </w:r>
      <w:r w:rsidRPr="00F60380">
        <w:rPr>
          <w:rFonts w:ascii="Arial" w:eastAsia="Arial" w:hAnsi="Arial" w:cs="Arial"/>
          <w:sz w:val="20"/>
          <w:szCs w:val="20"/>
          <w:lang w:val="lt"/>
        </w:rPr>
        <w:t>UAB LTG Kompetencijų centras</w:t>
      </w:r>
      <w:r w:rsidR="00FC26EE" w:rsidRPr="00F60380">
        <w:rPr>
          <w:rFonts w:ascii="Arial" w:eastAsia="Arial" w:hAnsi="Arial" w:cs="Arial"/>
          <w:sz w:val="20"/>
          <w:szCs w:val="20"/>
          <w:lang w:val="lt"/>
        </w:rPr>
        <w:t xml:space="preserve"> (</w:t>
      </w:r>
      <w:proofErr w:type="spellStart"/>
      <w:r w:rsidR="00682C73" w:rsidRPr="00F60380">
        <w:rPr>
          <w:rFonts w:ascii="Arial" w:eastAsia="Arial" w:hAnsi="Arial" w:cs="Arial"/>
          <w:sz w:val="20"/>
          <w:szCs w:val="20"/>
          <w:lang w:val="lt"/>
        </w:rPr>
        <w:t>hereinafter</w:t>
      </w:r>
      <w:proofErr w:type="spellEnd"/>
      <w:r w:rsidR="00682C73" w:rsidRPr="00F60380">
        <w:rPr>
          <w:rFonts w:ascii="Arial" w:eastAsia="Arial" w:hAnsi="Arial" w:cs="Arial"/>
          <w:sz w:val="20"/>
          <w:szCs w:val="20"/>
          <w:lang w:val="lt"/>
        </w:rPr>
        <w:t xml:space="preserve"> – KC)</w:t>
      </w:r>
      <w:r w:rsidRPr="00F60380">
        <w:rPr>
          <w:rFonts w:ascii="Arial" w:hAnsi="Arial" w:cs="Arial"/>
          <w:sz w:val="20"/>
          <w:szCs w:val="20"/>
        </w:rPr>
        <w:t xml:space="preserve"> provides the following summary of answers:</w:t>
      </w:r>
    </w:p>
    <w:tbl>
      <w:tblPr>
        <w:tblpPr w:leftFromText="180" w:rightFromText="180" w:vertAnchor="text" w:tblpY="1"/>
        <w:tblOverlap w:val="never"/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1498"/>
        <w:gridCol w:w="1629"/>
        <w:gridCol w:w="1645"/>
        <w:gridCol w:w="5160"/>
        <w:gridCol w:w="4701"/>
      </w:tblGrid>
      <w:tr w:rsidR="0047253E" w:rsidRPr="00F60380" w14:paraId="0199E5F2" w14:textId="77777777" w:rsidTr="1E32909B">
        <w:trPr>
          <w:tblHeader/>
        </w:trPr>
        <w:tc>
          <w:tcPr>
            <w:tcW w:w="624" w:type="dxa"/>
            <w:shd w:val="clear" w:color="auto" w:fill="FBE4D5" w:themeFill="accent2" w:themeFillTint="33"/>
            <w:vAlign w:val="center"/>
          </w:tcPr>
          <w:p w14:paraId="746A3E8C" w14:textId="7868BFE2" w:rsidR="0087623F" w:rsidRPr="00F60380" w:rsidRDefault="0087623F" w:rsidP="00A94CBA">
            <w:pPr>
              <w:spacing w:after="0" w:line="240" w:lineRule="auto"/>
              <w:ind w:left="-57" w:right="-57"/>
              <w:outlineLvl w:val="0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6038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Eil. Nr.</w:t>
            </w:r>
            <w:r w:rsidR="007A1203" w:rsidRPr="00F6038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 /</w:t>
            </w:r>
            <w:r w:rsidR="00571136" w:rsidRPr="00F6038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/</w:t>
            </w:r>
            <w:r w:rsidR="007A1203" w:rsidRPr="00F6038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 </w:t>
            </w:r>
            <w:r w:rsidR="00445F94" w:rsidRPr="00F60380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Seq. No.</w:t>
            </w:r>
          </w:p>
        </w:tc>
        <w:tc>
          <w:tcPr>
            <w:tcW w:w="1498" w:type="dxa"/>
            <w:shd w:val="clear" w:color="auto" w:fill="FBE4D5" w:themeFill="accent2" w:themeFillTint="33"/>
            <w:vAlign w:val="center"/>
          </w:tcPr>
          <w:p w14:paraId="2AEE7BDA" w14:textId="5BE90411" w:rsidR="0087623F" w:rsidRPr="00F60380" w:rsidRDefault="0087623F" w:rsidP="00A94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F6038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Data</w:t>
            </w:r>
            <w:r w:rsidR="002E2C8A" w:rsidRPr="00F6038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 // </w:t>
            </w:r>
            <w:proofErr w:type="spellStart"/>
            <w:r w:rsidR="002E2C8A" w:rsidRPr="00F6038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Date</w:t>
            </w:r>
            <w:proofErr w:type="spellEnd"/>
          </w:p>
        </w:tc>
        <w:tc>
          <w:tcPr>
            <w:tcW w:w="1629" w:type="dxa"/>
            <w:shd w:val="clear" w:color="auto" w:fill="FBE4D5" w:themeFill="accent2" w:themeFillTint="33"/>
            <w:vAlign w:val="center"/>
          </w:tcPr>
          <w:p w14:paraId="1A121F82" w14:textId="36D97298" w:rsidR="0087623F" w:rsidRPr="00F60380" w:rsidRDefault="0087623F" w:rsidP="00A94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F6038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Pirkimo sąlygų dokumentas</w:t>
            </w:r>
            <w:r w:rsidR="002E2C8A" w:rsidRPr="00F6038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 // </w:t>
            </w:r>
            <w:r w:rsidR="00376277" w:rsidRPr="00F60380">
              <w:rPr>
                <w:rFonts w:ascii="Arial" w:eastAsia="Times New Roman" w:hAnsi="Arial" w:cs="Arial"/>
                <w:b/>
                <w:sz w:val="20"/>
                <w:szCs w:val="20"/>
              </w:rPr>
              <w:t>Document of the Terms and Conditions of the Procurement</w:t>
            </w:r>
          </w:p>
        </w:tc>
        <w:tc>
          <w:tcPr>
            <w:tcW w:w="1645" w:type="dxa"/>
            <w:shd w:val="clear" w:color="auto" w:fill="FBE4D5" w:themeFill="accent2" w:themeFillTint="33"/>
            <w:vAlign w:val="center"/>
          </w:tcPr>
          <w:p w14:paraId="444F7260" w14:textId="0C5092E1" w:rsidR="0087623F" w:rsidRPr="00F60380" w:rsidRDefault="0087623F" w:rsidP="00A94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F6038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Pirkimo sąlygų punktas</w:t>
            </w:r>
            <w:r w:rsidR="00376277" w:rsidRPr="00F6038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 // </w:t>
            </w:r>
            <w:r w:rsidR="00BC3797" w:rsidRPr="00F60380">
              <w:rPr>
                <w:rFonts w:ascii="Arial" w:eastAsia="Times New Roman" w:hAnsi="Arial" w:cs="Arial"/>
                <w:b/>
                <w:sz w:val="20"/>
                <w:szCs w:val="20"/>
              </w:rPr>
              <w:t>Paragraph of the Terms and Conditions of the Procurement</w:t>
            </w:r>
          </w:p>
        </w:tc>
        <w:tc>
          <w:tcPr>
            <w:tcW w:w="5160" w:type="dxa"/>
            <w:shd w:val="clear" w:color="auto" w:fill="FBE4D5" w:themeFill="accent2" w:themeFillTint="33"/>
            <w:vAlign w:val="center"/>
          </w:tcPr>
          <w:p w14:paraId="7177C188" w14:textId="77777777" w:rsidR="0087623F" w:rsidRPr="00B17997" w:rsidRDefault="0087623F" w:rsidP="00A94C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B17997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Klausimas / prašymas*</w:t>
            </w:r>
            <w:r w:rsidR="00BC3797" w:rsidRPr="00B17997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 //</w:t>
            </w:r>
          </w:p>
          <w:p w14:paraId="36E3B6E6" w14:textId="4DBBC068" w:rsidR="00BC3797" w:rsidRPr="00B17997" w:rsidRDefault="00B903AC" w:rsidP="00A94C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17997">
              <w:rPr>
                <w:rFonts w:ascii="Arial" w:eastAsia="Times New Roman" w:hAnsi="Arial" w:cs="Arial"/>
                <w:b/>
                <w:sz w:val="20"/>
                <w:szCs w:val="20"/>
              </w:rPr>
              <w:t>Question</w:t>
            </w:r>
            <w:r w:rsidR="00743D8A" w:rsidRPr="00B1799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17997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743D8A" w:rsidRPr="00B1799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17997">
              <w:rPr>
                <w:rFonts w:ascii="Arial" w:eastAsia="Times New Roman" w:hAnsi="Arial" w:cs="Arial"/>
                <w:b/>
                <w:sz w:val="20"/>
                <w:szCs w:val="20"/>
              </w:rPr>
              <w:t>request*</w:t>
            </w:r>
          </w:p>
        </w:tc>
        <w:tc>
          <w:tcPr>
            <w:tcW w:w="4701" w:type="dxa"/>
            <w:shd w:val="clear" w:color="auto" w:fill="FBE4D5" w:themeFill="accent2" w:themeFillTint="33"/>
            <w:vAlign w:val="center"/>
          </w:tcPr>
          <w:p w14:paraId="58EC7037" w14:textId="7F023ED7" w:rsidR="0087623F" w:rsidRPr="00F60380" w:rsidRDefault="0087623F" w:rsidP="00A94CBA">
            <w:pPr>
              <w:tabs>
                <w:tab w:val="left" w:pos="40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F6038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Atsakymas</w:t>
            </w:r>
            <w:r w:rsidR="00401FAB" w:rsidRPr="00F60380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**</w:t>
            </w:r>
            <w:r w:rsidR="00B903AC" w:rsidRPr="00F60380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 // </w:t>
            </w:r>
            <w:r w:rsidR="00D4479B" w:rsidRPr="00F60380">
              <w:rPr>
                <w:rFonts w:ascii="Arial" w:eastAsia="Times New Roman" w:hAnsi="Arial" w:cs="Arial"/>
                <w:b/>
                <w:sz w:val="20"/>
                <w:szCs w:val="20"/>
              </w:rPr>
              <w:t>Answer</w:t>
            </w:r>
            <w:r w:rsidR="00401FAB" w:rsidRPr="00F60380">
              <w:rPr>
                <w:rFonts w:ascii="Arial" w:eastAsia="Times New Roman" w:hAnsi="Arial" w:cs="Arial"/>
                <w:b/>
                <w:sz w:val="20"/>
                <w:szCs w:val="20"/>
              </w:rPr>
              <w:t>**</w:t>
            </w:r>
          </w:p>
        </w:tc>
      </w:tr>
      <w:tr w:rsidR="0047253E" w:rsidRPr="00F60380" w14:paraId="14EC35F7" w14:textId="77777777" w:rsidTr="1E32909B">
        <w:trPr>
          <w:trHeight w:val="283"/>
        </w:trPr>
        <w:tc>
          <w:tcPr>
            <w:tcW w:w="624" w:type="dxa"/>
            <w:shd w:val="clear" w:color="auto" w:fill="auto"/>
            <w:vAlign w:val="center"/>
          </w:tcPr>
          <w:p w14:paraId="081720FA" w14:textId="77777777" w:rsidR="0087623F" w:rsidRPr="00F60380" w:rsidRDefault="0087623F" w:rsidP="00A94C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7A58C2CD" w14:textId="6E4E205A" w:rsidR="0087623F" w:rsidRPr="003F7FDE" w:rsidRDefault="00ED096F" w:rsidP="00A94CB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F7FDE">
              <w:rPr>
                <w:rFonts w:ascii="Arial" w:hAnsi="Arial" w:cs="Arial"/>
                <w:sz w:val="20"/>
                <w:szCs w:val="20"/>
                <w:lang w:val="lt-LT"/>
              </w:rPr>
              <w:t>2025-03-</w:t>
            </w:r>
            <w:r w:rsidR="008C3EBC">
              <w:rPr>
                <w:rFonts w:ascii="Arial" w:hAnsi="Arial" w:cs="Arial"/>
                <w:sz w:val="20"/>
                <w:szCs w:val="20"/>
                <w:lang w:val="lt-LT"/>
              </w:rPr>
              <w:t>31</w:t>
            </w:r>
          </w:p>
        </w:tc>
        <w:tc>
          <w:tcPr>
            <w:tcW w:w="1629" w:type="dxa"/>
            <w:vAlign w:val="center"/>
          </w:tcPr>
          <w:p w14:paraId="3A362FB7" w14:textId="18B4CC92" w:rsidR="0087623F" w:rsidRPr="00F60380" w:rsidRDefault="0041125F" w:rsidP="00A94CB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60380">
              <w:rPr>
                <w:rFonts w:ascii="Arial" w:hAnsi="Arial" w:cs="Arial"/>
                <w:sz w:val="20"/>
                <w:szCs w:val="20"/>
                <w:lang w:val="lt-LT"/>
              </w:rPr>
              <w:t xml:space="preserve">SD </w:t>
            </w:r>
            <w:r w:rsidR="0047253E" w:rsidRPr="00F60380">
              <w:rPr>
                <w:rFonts w:ascii="Arial" w:hAnsi="Arial" w:cs="Arial"/>
                <w:sz w:val="20"/>
                <w:szCs w:val="20"/>
                <w:lang w:val="lt-LT"/>
              </w:rPr>
              <w:t>Priedas Nr. 6 -</w:t>
            </w:r>
            <w:r w:rsidR="00ED096F" w:rsidRPr="00F60380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47253E" w:rsidRPr="00F60380">
              <w:rPr>
                <w:rFonts w:ascii="Arial" w:hAnsi="Arial" w:cs="Arial"/>
                <w:sz w:val="20"/>
                <w:szCs w:val="20"/>
                <w:lang w:val="lt-LT"/>
              </w:rPr>
              <w:t xml:space="preserve">Sutartis Specialiosios sąlygos // </w:t>
            </w:r>
            <w:r w:rsidR="00C87B31" w:rsidRPr="00F60380">
              <w:rPr>
                <w:rFonts w:ascii="Arial" w:hAnsi="Arial" w:cs="Arial"/>
                <w:sz w:val="20"/>
                <w:szCs w:val="20"/>
                <w:lang w:val="lt-LT"/>
              </w:rPr>
              <w:t xml:space="preserve">SP </w:t>
            </w:r>
            <w:proofErr w:type="spellStart"/>
            <w:r w:rsidR="00C87B31" w:rsidRPr="00F60380">
              <w:rPr>
                <w:rFonts w:ascii="Arial" w:hAnsi="Arial" w:cs="Arial"/>
                <w:sz w:val="20"/>
                <w:szCs w:val="20"/>
                <w:lang w:val="lt-LT"/>
              </w:rPr>
              <w:t>Annex</w:t>
            </w:r>
            <w:proofErr w:type="spellEnd"/>
            <w:r w:rsidR="00C87B31" w:rsidRPr="00F60380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87B31" w:rsidRPr="00F60380">
              <w:rPr>
                <w:rFonts w:ascii="Arial" w:hAnsi="Arial" w:cs="Arial"/>
                <w:sz w:val="20"/>
                <w:szCs w:val="20"/>
                <w:lang w:val="lt-LT"/>
              </w:rPr>
              <w:t>No</w:t>
            </w:r>
            <w:proofErr w:type="spellEnd"/>
            <w:r w:rsidR="00C87B31" w:rsidRPr="00F60380">
              <w:rPr>
                <w:rFonts w:ascii="Arial" w:hAnsi="Arial" w:cs="Arial"/>
                <w:sz w:val="20"/>
                <w:szCs w:val="20"/>
                <w:lang w:val="lt-LT"/>
              </w:rPr>
              <w:t xml:space="preserve">. 6 – </w:t>
            </w:r>
            <w:proofErr w:type="spellStart"/>
            <w:r w:rsidR="00C87B31" w:rsidRPr="00F60380">
              <w:rPr>
                <w:rFonts w:ascii="Arial" w:hAnsi="Arial" w:cs="Arial"/>
                <w:sz w:val="20"/>
                <w:szCs w:val="20"/>
                <w:lang w:val="lt-LT"/>
              </w:rPr>
              <w:t>Contract</w:t>
            </w:r>
            <w:proofErr w:type="spellEnd"/>
            <w:r w:rsidR="00C87B31" w:rsidRPr="00F60380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87B31" w:rsidRPr="00F60380">
              <w:rPr>
                <w:rFonts w:ascii="Arial" w:hAnsi="Arial" w:cs="Arial"/>
                <w:sz w:val="20"/>
                <w:szCs w:val="20"/>
                <w:lang w:val="lt-LT"/>
              </w:rPr>
              <w:t>Special</w:t>
            </w:r>
            <w:proofErr w:type="spellEnd"/>
            <w:r w:rsidR="00C87B31" w:rsidRPr="00F60380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87B31" w:rsidRPr="00F60380">
              <w:rPr>
                <w:rFonts w:ascii="Arial" w:hAnsi="Arial" w:cs="Arial"/>
                <w:sz w:val="20"/>
                <w:szCs w:val="20"/>
                <w:lang w:val="lt-LT"/>
              </w:rPr>
              <w:t>Conditions</w:t>
            </w:r>
            <w:proofErr w:type="spellEnd"/>
            <w:r w:rsidR="00C87B31" w:rsidRPr="00F60380">
              <w:rPr>
                <w:rFonts w:ascii="Arial" w:hAnsi="Arial" w:cs="Arial"/>
                <w:sz w:val="20"/>
                <w:szCs w:val="20"/>
                <w:lang w:val="lt-LT"/>
              </w:rPr>
              <w:t xml:space="preserve"> (SC)</w:t>
            </w:r>
          </w:p>
        </w:tc>
        <w:tc>
          <w:tcPr>
            <w:tcW w:w="1645" w:type="dxa"/>
            <w:vAlign w:val="center"/>
          </w:tcPr>
          <w:p w14:paraId="4BD15DAA" w14:textId="28459B3D" w:rsidR="0087623F" w:rsidRPr="00F60380" w:rsidRDefault="00AC1997" w:rsidP="00A94C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60380">
              <w:rPr>
                <w:rFonts w:ascii="Arial" w:hAnsi="Arial" w:cs="Arial"/>
                <w:sz w:val="20"/>
                <w:szCs w:val="20"/>
                <w:lang w:val="lt-LT"/>
              </w:rPr>
              <w:t>6.1.2. // 6.1.2.</w:t>
            </w:r>
          </w:p>
        </w:tc>
        <w:tc>
          <w:tcPr>
            <w:tcW w:w="5160" w:type="dxa"/>
            <w:shd w:val="clear" w:color="auto" w:fill="auto"/>
          </w:tcPr>
          <w:p w14:paraId="3E718EC0" w14:textId="0131DB46" w:rsidR="0087623F" w:rsidRPr="00B17997" w:rsidRDefault="0042074F" w:rsidP="00A94CBA">
            <w:pPr>
              <w:spacing w:after="0" w:line="240" w:lineRule="auto"/>
              <w:jc w:val="both"/>
              <w:rPr>
                <w:rFonts w:ascii="Arial" w:eastAsia="Calibri" w:hAnsi="Arial" w:cs="Arial"/>
                <w:i/>
                <w:sz w:val="20"/>
                <w:szCs w:val="20"/>
                <w:lang w:val="lt-LT"/>
              </w:rPr>
            </w:pPr>
            <w:r w:rsidRPr="00B17997">
              <w:rPr>
                <w:rFonts w:ascii="Arial" w:eastAsia="Calibri" w:hAnsi="Arial" w:cs="Arial"/>
                <w:i/>
                <w:sz w:val="20"/>
                <w:szCs w:val="20"/>
                <w:lang w:val="lt-LT"/>
              </w:rPr>
              <w:t xml:space="preserve">6.1.2. punkte nurodoma, kad sutarties užtikrinimui turi būti pateikta užsakovo naudai išduota pirmo pareikalavimo banko garantija (toliau – </w:t>
            </w:r>
            <w:r w:rsidRPr="00B17997"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lang w:val="lt-LT"/>
              </w:rPr>
              <w:t>banko garantija</w:t>
            </w:r>
            <w:r w:rsidRPr="00B17997">
              <w:rPr>
                <w:rFonts w:ascii="Arial" w:eastAsia="Calibri" w:hAnsi="Arial" w:cs="Arial"/>
                <w:i/>
                <w:sz w:val="20"/>
                <w:szCs w:val="20"/>
                <w:lang w:val="lt-LT"/>
              </w:rPr>
              <w:t>).</w:t>
            </w:r>
            <w:r w:rsidR="009460EB" w:rsidRPr="00B17997">
              <w:rPr>
                <w:rFonts w:ascii="Arial" w:eastAsia="Calibri" w:hAnsi="Arial" w:cs="Arial"/>
                <w:i/>
                <w:sz w:val="20"/>
                <w:szCs w:val="20"/>
                <w:lang w:val="lt-LT"/>
              </w:rPr>
              <w:t xml:space="preserve"> </w:t>
            </w:r>
          </w:p>
          <w:p w14:paraId="7E7BECFC" w14:textId="597FEAD8" w:rsidR="00C231BC" w:rsidRPr="00B17997" w:rsidRDefault="00C231BC" w:rsidP="00A94C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lt-LT"/>
              </w:rPr>
            </w:pPr>
            <w:r w:rsidRPr="00B17997">
              <w:rPr>
                <w:rFonts w:ascii="Arial" w:eastAsia="Times New Roman" w:hAnsi="Arial" w:cs="Arial"/>
                <w:i/>
                <w:sz w:val="20"/>
                <w:szCs w:val="20"/>
                <w:lang w:val="lt-LT"/>
              </w:rPr>
              <w:t xml:space="preserve">Prašome Jūsų patikslinti, ar kaip užtikrinimo priemonė gali būti pateikta </w:t>
            </w:r>
            <w:r w:rsidRPr="00B17997">
              <w:rPr>
                <w:rFonts w:ascii="Arial" w:eastAsia="Times New Roman" w:hAnsi="Arial" w:cs="Arial"/>
                <w:i/>
                <w:sz w:val="20"/>
                <w:szCs w:val="20"/>
                <w:u w:val="single"/>
                <w:lang w:val="lt-LT"/>
              </w:rPr>
              <w:t>tik banko garantija</w:t>
            </w:r>
            <w:r w:rsidRPr="00B17997">
              <w:rPr>
                <w:rFonts w:ascii="Arial" w:eastAsia="Times New Roman" w:hAnsi="Arial" w:cs="Arial"/>
                <w:i/>
                <w:sz w:val="20"/>
                <w:szCs w:val="20"/>
                <w:lang w:val="lt-LT"/>
              </w:rPr>
              <w:t>, ar taip pat gali būti pateiktas draudimo bendrovės laidavimo draudimo raštas?</w:t>
            </w:r>
            <w:r w:rsidR="00AB2F13" w:rsidRPr="00B17997">
              <w:rPr>
                <w:rFonts w:ascii="Arial" w:eastAsia="Times New Roman" w:hAnsi="Arial" w:cs="Arial"/>
                <w:i/>
                <w:sz w:val="20"/>
                <w:szCs w:val="20"/>
                <w:lang w:val="lt-LT"/>
              </w:rPr>
              <w:t xml:space="preserve"> //</w:t>
            </w:r>
          </w:p>
          <w:p w14:paraId="644ACC73" w14:textId="5B78EEB0" w:rsidR="00B541F9" w:rsidRPr="00B17997" w:rsidRDefault="00B541F9" w:rsidP="00C231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B1799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6.1.2. point </w:t>
            </w:r>
            <w:r w:rsidR="0004023C" w:rsidRPr="00B1799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specifies that a first-demand bank guarantee issued in favour of the Client (hereinafter referred to as</w:t>
            </w:r>
            <w:r w:rsidR="0004023C" w:rsidRPr="00B1799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4023C" w:rsidRPr="00B1799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lastRenderedPageBreak/>
              <w:t>the Bank Guarantee) must be provided for the purpose of securing the Agreement.</w:t>
            </w:r>
          </w:p>
          <w:p w14:paraId="3A0328F6" w14:textId="140022FC" w:rsidR="00C231BC" w:rsidRPr="00B17997" w:rsidRDefault="00396D69" w:rsidP="00A94CB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1799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Please clarify whether </w:t>
            </w:r>
            <w:r w:rsidRPr="00B857BC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</w:rPr>
              <w:t>only a bank guarantee</w:t>
            </w:r>
            <w:r w:rsidRPr="00B1799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can be submitted as security or whether a letter of guarantee from an insurance company can also be submitted</w:t>
            </w:r>
            <w:r w:rsidR="003E7FB4" w:rsidRPr="00B17997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/>
              </w:rPr>
              <w:t>?</w:t>
            </w:r>
          </w:p>
        </w:tc>
        <w:tc>
          <w:tcPr>
            <w:tcW w:w="4701" w:type="dxa"/>
          </w:tcPr>
          <w:p w14:paraId="71671F57" w14:textId="60D49168" w:rsidR="002E7C4A" w:rsidRPr="00573054" w:rsidRDefault="63275C1C" w:rsidP="00A94CB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lastRenderedPageBreak/>
              <w:t>Iš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pateikto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klausimo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nėra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aišku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klausiama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apie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27C1" w:rsidRPr="00573054">
              <w:rPr>
                <w:rFonts w:ascii="Arial" w:hAnsi="Arial" w:cs="Arial"/>
                <w:sz w:val="20"/>
                <w:szCs w:val="20"/>
              </w:rPr>
              <w:t>S</w:t>
            </w:r>
            <w:r w:rsidRPr="00573054">
              <w:rPr>
                <w:rFonts w:ascii="Arial" w:hAnsi="Arial" w:cs="Arial"/>
                <w:sz w:val="20"/>
                <w:szCs w:val="20"/>
              </w:rPr>
              <w:t>utarties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įvykdymo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užtikrinimą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27C1" w:rsidRPr="00573054">
              <w:rPr>
                <w:rFonts w:ascii="Arial" w:hAnsi="Arial" w:cs="Arial"/>
                <w:sz w:val="20"/>
                <w:szCs w:val="20"/>
              </w:rPr>
              <w:t>P</w:t>
            </w:r>
            <w:r w:rsidRPr="00573054">
              <w:rPr>
                <w:rFonts w:ascii="Arial" w:hAnsi="Arial" w:cs="Arial"/>
                <w:sz w:val="20"/>
                <w:szCs w:val="20"/>
              </w:rPr>
              <w:t>asiūlymo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galiojimo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užtikrinimą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Tačiau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atsižvelgiant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į tai,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kad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27C1" w:rsidRPr="00573054">
              <w:rPr>
                <w:rFonts w:ascii="Arial" w:hAnsi="Arial" w:cs="Arial"/>
                <w:sz w:val="20"/>
                <w:szCs w:val="20"/>
              </w:rPr>
              <w:t>P</w:t>
            </w:r>
            <w:r w:rsidRPr="00573054">
              <w:rPr>
                <w:rFonts w:ascii="Arial" w:hAnsi="Arial" w:cs="Arial"/>
                <w:sz w:val="20"/>
                <w:szCs w:val="20"/>
              </w:rPr>
              <w:t>irkimo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sąlygose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A54D5" w:rsidRPr="00573054">
              <w:rPr>
                <w:rFonts w:ascii="Arial" w:hAnsi="Arial" w:cs="Arial"/>
                <w:sz w:val="20"/>
                <w:szCs w:val="20"/>
              </w:rPr>
              <w:t>P</w:t>
            </w:r>
            <w:r w:rsidRPr="00573054">
              <w:rPr>
                <w:rFonts w:ascii="Arial" w:hAnsi="Arial" w:cs="Arial"/>
                <w:sz w:val="20"/>
                <w:szCs w:val="20"/>
              </w:rPr>
              <w:t>asiūlymo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galiojimo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užtikrinim</w:t>
            </w:r>
            <w:r w:rsidR="002E7C4A" w:rsidRPr="00573054">
              <w:rPr>
                <w:rFonts w:ascii="Arial" w:hAnsi="Arial" w:cs="Arial"/>
                <w:sz w:val="20"/>
                <w:szCs w:val="20"/>
              </w:rPr>
              <w:t>ui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numatyta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bauda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, o </w:t>
            </w:r>
            <w:proofErr w:type="spellStart"/>
            <w:r w:rsidR="00FA54D5" w:rsidRPr="00573054">
              <w:rPr>
                <w:rFonts w:ascii="Arial" w:hAnsi="Arial" w:cs="Arial"/>
                <w:sz w:val="20"/>
                <w:szCs w:val="20"/>
              </w:rPr>
              <w:t>S</w:t>
            </w:r>
            <w:r w:rsidRPr="00573054">
              <w:rPr>
                <w:rFonts w:ascii="Arial" w:hAnsi="Arial" w:cs="Arial"/>
                <w:sz w:val="20"/>
                <w:szCs w:val="20"/>
              </w:rPr>
              <w:t>utarties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įvykdymo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užtikrinimo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priemonė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banko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garantija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darome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išvadą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kad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klausimas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keliamas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tik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dėl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A54D5" w:rsidRPr="00573054">
              <w:rPr>
                <w:rFonts w:ascii="Arial" w:hAnsi="Arial" w:cs="Arial"/>
                <w:sz w:val="20"/>
                <w:szCs w:val="20"/>
              </w:rPr>
              <w:t>S</w:t>
            </w:r>
            <w:r w:rsidRPr="00573054">
              <w:rPr>
                <w:rFonts w:ascii="Arial" w:hAnsi="Arial" w:cs="Arial"/>
                <w:sz w:val="20"/>
                <w:szCs w:val="20"/>
              </w:rPr>
              <w:t>utarties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įvyk</w:t>
            </w:r>
            <w:r w:rsidR="00901061" w:rsidRPr="00573054">
              <w:rPr>
                <w:rFonts w:ascii="Arial" w:hAnsi="Arial" w:cs="Arial"/>
                <w:sz w:val="20"/>
                <w:szCs w:val="20"/>
              </w:rPr>
              <w:t>d</w:t>
            </w:r>
            <w:r w:rsidRPr="00573054">
              <w:rPr>
                <w:rFonts w:ascii="Arial" w:hAnsi="Arial" w:cs="Arial"/>
                <w:sz w:val="20"/>
                <w:szCs w:val="20"/>
              </w:rPr>
              <w:t>ymo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užtikrinimo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priemonės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8CFB218" w14:textId="55EF9766" w:rsidR="00AD6EED" w:rsidRPr="00573054" w:rsidRDefault="008B3787" w:rsidP="00A94CB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Sutarties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įvykdymo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užtikrinimo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priemonės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yra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skirtos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tam,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kad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būtų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užtikrintas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viešo</w:t>
            </w:r>
            <w:r w:rsidR="00513770" w:rsidRPr="00573054">
              <w:rPr>
                <w:rFonts w:ascii="Arial" w:hAnsi="Arial" w:cs="Arial"/>
                <w:sz w:val="20"/>
                <w:szCs w:val="20"/>
              </w:rPr>
              <w:t>jo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pirkimo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sutarties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(į)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vykdymas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kompensuoti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galimi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lastRenderedPageBreak/>
              <w:t>nuostoliai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jų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dalis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dėl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netinkamo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sutarties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vykdymo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>.</w:t>
            </w:r>
            <w:r w:rsidR="0059208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73B614F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4259FF8D" w:rsidRPr="00573054">
              <w:rPr>
                <w:rFonts w:ascii="Arial" w:hAnsi="Arial" w:cs="Arial"/>
                <w:sz w:val="20"/>
                <w:szCs w:val="20"/>
              </w:rPr>
              <w:t>Pažymėtina</w:t>
            </w:r>
            <w:proofErr w:type="spellEnd"/>
            <w:r w:rsidR="4259FF8D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4259FF8D" w:rsidRPr="00573054">
              <w:rPr>
                <w:rFonts w:ascii="Arial" w:hAnsi="Arial" w:cs="Arial"/>
                <w:sz w:val="20"/>
                <w:szCs w:val="20"/>
              </w:rPr>
              <w:t>kad</w:t>
            </w:r>
            <w:proofErr w:type="spellEnd"/>
            <w:r w:rsidR="4259FF8D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3E84" w:rsidRPr="00573054">
              <w:rPr>
                <w:rFonts w:ascii="Arial" w:hAnsi="Arial" w:cs="Arial"/>
                <w:sz w:val="20"/>
                <w:szCs w:val="20"/>
              </w:rPr>
              <w:t xml:space="preserve">Lietuvos </w:t>
            </w:r>
            <w:proofErr w:type="spellStart"/>
            <w:r w:rsidR="00303E84" w:rsidRPr="00573054">
              <w:rPr>
                <w:rFonts w:ascii="Arial" w:hAnsi="Arial" w:cs="Arial"/>
                <w:sz w:val="20"/>
                <w:szCs w:val="20"/>
              </w:rPr>
              <w:t>Respublikos</w:t>
            </w:r>
            <w:proofErr w:type="spellEnd"/>
            <w:r w:rsidR="00303E84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3E84" w:rsidRPr="00573054">
              <w:rPr>
                <w:rFonts w:ascii="Arial" w:hAnsi="Arial" w:cs="Arial"/>
                <w:sz w:val="20"/>
                <w:szCs w:val="20"/>
              </w:rPr>
              <w:t>viešųjų</w:t>
            </w:r>
            <w:proofErr w:type="spellEnd"/>
            <w:r w:rsidR="00303E84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3E84" w:rsidRPr="00573054">
              <w:rPr>
                <w:rFonts w:ascii="Arial" w:hAnsi="Arial" w:cs="Arial"/>
                <w:sz w:val="20"/>
                <w:szCs w:val="20"/>
              </w:rPr>
              <w:t>pirkimų</w:t>
            </w:r>
            <w:proofErr w:type="spellEnd"/>
            <w:r w:rsidR="00303E84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3E84" w:rsidRPr="00573054">
              <w:rPr>
                <w:rFonts w:ascii="Arial" w:hAnsi="Arial" w:cs="Arial"/>
                <w:sz w:val="20"/>
                <w:szCs w:val="20"/>
              </w:rPr>
              <w:t>įstatymo</w:t>
            </w:r>
            <w:proofErr w:type="spellEnd"/>
            <w:r w:rsidR="00303E84" w:rsidRPr="0057305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303E84" w:rsidRPr="00573054">
              <w:rPr>
                <w:rFonts w:ascii="Arial" w:hAnsi="Arial" w:cs="Arial"/>
                <w:sz w:val="20"/>
                <w:szCs w:val="20"/>
              </w:rPr>
              <w:t>toliau</w:t>
            </w:r>
            <w:proofErr w:type="spellEnd"/>
            <w:r w:rsidR="00303E84" w:rsidRPr="00573054">
              <w:rPr>
                <w:rFonts w:ascii="Arial" w:hAnsi="Arial" w:cs="Arial"/>
                <w:sz w:val="20"/>
                <w:szCs w:val="20"/>
              </w:rPr>
              <w:t xml:space="preserve"> – VPĮ) </w:t>
            </w:r>
            <w:r w:rsidR="00227DF9" w:rsidRPr="00573054">
              <w:rPr>
                <w:rFonts w:ascii="Arial" w:hAnsi="Arial" w:cs="Arial"/>
                <w:sz w:val="20"/>
                <w:szCs w:val="20"/>
              </w:rPr>
              <w:t xml:space="preserve">42 str. </w:t>
            </w:r>
            <w:proofErr w:type="spellStart"/>
            <w:r w:rsidR="110A7131" w:rsidRPr="00573054">
              <w:rPr>
                <w:rFonts w:ascii="Arial" w:hAnsi="Arial" w:cs="Arial"/>
                <w:sz w:val="20"/>
                <w:szCs w:val="20"/>
              </w:rPr>
              <w:t>n</w:t>
            </w:r>
            <w:r w:rsidR="705C2D51" w:rsidRPr="00573054">
              <w:rPr>
                <w:rFonts w:ascii="Arial" w:hAnsi="Arial" w:cs="Arial"/>
                <w:sz w:val="20"/>
                <w:szCs w:val="20"/>
              </w:rPr>
              <w:t>uostatomis</w:t>
            </w:r>
            <w:proofErr w:type="spellEnd"/>
            <w:r w:rsidR="705C2D51" w:rsidRPr="00573054">
              <w:rPr>
                <w:rFonts w:ascii="Arial" w:hAnsi="Arial" w:cs="Arial"/>
                <w:sz w:val="20"/>
                <w:szCs w:val="20"/>
              </w:rPr>
              <w:t>,</w:t>
            </w:r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Perkančioji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organizacija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gali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pareikalauti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kad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pasiūlymų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galiojimas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būtų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užtikrinamas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ir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privalo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pareikalauti</w:t>
            </w:r>
            <w:proofErr w:type="spellEnd"/>
            <w:r w:rsidR="3F0B33D2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3F0B33D2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išskyrus</w:t>
            </w:r>
            <w:proofErr w:type="spellEnd"/>
            <w:r w:rsidR="3F0B33D2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3F0B33D2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mažos</w:t>
            </w:r>
            <w:proofErr w:type="spellEnd"/>
            <w:r w:rsidR="3F0B33D2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3F0B33D2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vertės</w:t>
            </w:r>
            <w:proofErr w:type="spellEnd"/>
            <w:r w:rsidR="3F0B33D2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3F0B33D2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pirkimų</w:t>
            </w:r>
            <w:proofErr w:type="spellEnd"/>
            <w:r w:rsidR="3F0B33D2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3F0B33D2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atveju</w:t>
            </w:r>
            <w:proofErr w:type="spellEnd"/>
            <w:r w:rsidR="3F0B33D2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),</w:t>
            </w:r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kad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pirkimo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sutarties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įvykdymas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būtų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užtikrinamas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Civilinio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kodekso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6.70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straipsnyje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nustatytais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prievolių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įvykdymo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užtikrinimo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būdais</w:t>
            </w:r>
            <w:proofErr w:type="spellEnd"/>
            <w:r w:rsidR="6E77B55F" w:rsidRPr="0057305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</w:t>
            </w:r>
            <w:r w:rsidR="705C2D51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>Remiantis</w:t>
            </w:r>
            <w:proofErr w:type="spellEnd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 xml:space="preserve"> </w:t>
            </w:r>
            <w:hyperlink r:id="rId11" w:history="1">
              <w:r w:rsidR="7279027B" w:rsidRPr="00573054">
                <w:rPr>
                  <w:rStyle w:val="Hyperlink"/>
                  <w:rFonts w:ascii="Arial" w:eastAsia="Segoe UI" w:hAnsi="Arial" w:cs="Arial"/>
                  <w:color w:val="273B51"/>
                  <w:sz w:val="20"/>
                  <w:szCs w:val="20"/>
                  <w:u w:val="none"/>
                </w:rPr>
                <w:t>VPĮ</w:t>
              </w:r>
            </w:hyperlink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 xml:space="preserve"> 42 </w:t>
            </w:r>
            <w:proofErr w:type="spellStart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>straipsnio</w:t>
            </w:r>
            <w:proofErr w:type="spellEnd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 xml:space="preserve"> 1 </w:t>
            </w:r>
            <w:proofErr w:type="spellStart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>dalimi</w:t>
            </w:r>
            <w:proofErr w:type="spellEnd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>pasiūlymų</w:t>
            </w:r>
            <w:proofErr w:type="spellEnd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>galiojimas</w:t>
            </w:r>
            <w:proofErr w:type="spellEnd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>ir</w:t>
            </w:r>
            <w:proofErr w:type="spellEnd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>pirkimo</w:t>
            </w:r>
            <w:proofErr w:type="spellEnd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>sutarties</w:t>
            </w:r>
            <w:proofErr w:type="spellEnd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>įvykdymas</w:t>
            </w:r>
            <w:proofErr w:type="spellEnd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>gali</w:t>
            </w:r>
            <w:proofErr w:type="spellEnd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>būti</w:t>
            </w:r>
            <w:proofErr w:type="spellEnd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>užtikrinami</w:t>
            </w:r>
            <w:proofErr w:type="spellEnd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 xml:space="preserve"> </w:t>
            </w:r>
            <w:hyperlink r:id="rId12" w:history="1">
              <w:r w:rsidR="7279027B" w:rsidRPr="00573054">
                <w:rPr>
                  <w:rStyle w:val="Hyperlink"/>
                  <w:rFonts w:ascii="Arial" w:eastAsia="Segoe UI" w:hAnsi="Arial" w:cs="Arial"/>
                  <w:color w:val="273B51"/>
                  <w:sz w:val="20"/>
                  <w:szCs w:val="20"/>
                  <w:u w:val="none"/>
                </w:rPr>
                <w:t>CK</w:t>
              </w:r>
            </w:hyperlink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 xml:space="preserve"> 6.70 </w:t>
            </w:r>
            <w:proofErr w:type="spellStart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>straipsnyje</w:t>
            </w:r>
            <w:proofErr w:type="spellEnd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>nustatytais</w:t>
            </w:r>
            <w:proofErr w:type="spellEnd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>ir</w:t>
            </w:r>
            <w:proofErr w:type="spellEnd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>kitais</w:t>
            </w:r>
            <w:proofErr w:type="spellEnd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>prievolių</w:t>
            </w:r>
            <w:proofErr w:type="spellEnd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>užtikrinimo</w:t>
            </w:r>
            <w:proofErr w:type="spellEnd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7279027B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>būdais</w:t>
            </w:r>
            <w:proofErr w:type="spellEnd"/>
            <w:r w:rsidR="00227DF9" w:rsidRPr="00573054">
              <w:rPr>
                <w:rFonts w:ascii="Arial" w:eastAsia="Segoe UI" w:hAnsi="Arial" w:cs="Arial"/>
                <w:color w:val="000000" w:themeColor="text1"/>
                <w:sz w:val="20"/>
                <w:szCs w:val="20"/>
              </w:rPr>
              <w:t>,</w:t>
            </w:r>
            <w:r w:rsidR="0059726F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9726F" w:rsidRPr="00573054">
              <w:rPr>
                <w:rFonts w:ascii="Arial" w:hAnsi="Arial" w:cs="Arial"/>
                <w:sz w:val="20"/>
                <w:szCs w:val="20"/>
              </w:rPr>
              <w:t>pavyzdžiui</w:t>
            </w:r>
            <w:proofErr w:type="spellEnd"/>
            <w:r w:rsidR="0059726F" w:rsidRPr="00573054">
              <w:rPr>
                <w:rFonts w:ascii="Arial" w:hAnsi="Arial" w:cs="Arial"/>
                <w:sz w:val="20"/>
                <w:szCs w:val="20"/>
              </w:rPr>
              <w:t>:</w:t>
            </w:r>
            <w:r w:rsidR="00344A50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4A50" w:rsidRPr="00573054">
              <w:rPr>
                <w:rFonts w:ascii="Arial" w:hAnsi="Arial" w:cs="Arial"/>
                <w:sz w:val="20"/>
                <w:szCs w:val="20"/>
              </w:rPr>
              <w:t>netesybomis</w:t>
            </w:r>
            <w:proofErr w:type="spellEnd"/>
            <w:r w:rsidR="00344A50" w:rsidRPr="00573054">
              <w:rPr>
                <w:rFonts w:ascii="Arial" w:hAnsi="Arial" w:cs="Arial"/>
                <w:sz w:val="20"/>
                <w:szCs w:val="20"/>
              </w:rPr>
              <w:t xml:space="preserve"> – tai </w:t>
            </w:r>
            <w:proofErr w:type="spellStart"/>
            <w:r w:rsidR="00344A50" w:rsidRPr="00573054">
              <w:rPr>
                <w:rFonts w:ascii="Arial" w:hAnsi="Arial" w:cs="Arial"/>
                <w:sz w:val="20"/>
                <w:szCs w:val="20"/>
              </w:rPr>
              <w:t>gali</w:t>
            </w:r>
            <w:proofErr w:type="spellEnd"/>
            <w:r w:rsidR="00344A50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4A50" w:rsidRPr="00573054">
              <w:rPr>
                <w:rFonts w:ascii="Arial" w:hAnsi="Arial" w:cs="Arial"/>
                <w:sz w:val="20"/>
                <w:szCs w:val="20"/>
              </w:rPr>
              <w:t>būti</w:t>
            </w:r>
            <w:proofErr w:type="spellEnd"/>
            <w:r w:rsidR="00344A50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4A50" w:rsidRPr="00573054">
              <w:rPr>
                <w:rFonts w:ascii="Arial" w:hAnsi="Arial" w:cs="Arial"/>
                <w:sz w:val="20"/>
                <w:szCs w:val="20"/>
              </w:rPr>
              <w:t>bauda</w:t>
            </w:r>
            <w:proofErr w:type="spellEnd"/>
            <w:r w:rsidR="00344A50" w:rsidRPr="0057305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344A50" w:rsidRPr="00573054">
              <w:rPr>
                <w:rFonts w:ascii="Arial" w:hAnsi="Arial" w:cs="Arial"/>
                <w:sz w:val="20"/>
                <w:szCs w:val="20"/>
              </w:rPr>
              <w:t>fiksuota</w:t>
            </w:r>
            <w:proofErr w:type="spellEnd"/>
            <w:r w:rsidR="00344A50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4A50" w:rsidRPr="00573054">
              <w:rPr>
                <w:rFonts w:ascii="Arial" w:hAnsi="Arial" w:cs="Arial"/>
                <w:sz w:val="20"/>
                <w:szCs w:val="20"/>
              </w:rPr>
              <w:t>suma</w:t>
            </w:r>
            <w:proofErr w:type="spellEnd"/>
            <w:r w:rsidR="00344A50" w:rsidRPr="00573054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="00344A50" w:rsidRPr="00573054">
              <w:rPr>
                <w:rFonts w:ascii="Arial" w:hAnsi="Arial" w:cs="Arial"/>
                <w:sz w:val="20"/>
                <w:szCs w:val="20"/>
              </w:rPr>
              <w:t>arba</w:t>
            </w:r>
            <w:proofErr w:type="spellEnd"/>
            <w:r w:rsidR="00344A50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4A50" w:rsidRPr="00573054">
              <w:rPr>
                <w:rFonts w:ascii="Arial" w:hAnsi="Arial" w:cs="Arial"/>
                <w:sz w:val="20"/>
                <w:szCs w:val="20"/>
              </w:rPr>
              <w:t>delspinigiai</w:t>
            </w:r>
            <w:proofErr w:type="spellEnd"/>
            <w:r w:rsidR="00344A50" w:rsidRPr="0057305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344A50" w:rsidRPr="00573054">
              <w:rPr>
                <w:rFonts w:ascii="Arial" w:hAnsi="Arial" w:cs="Arial"/>
                <w:sz w:val="20"/>
                <w:szCs w:val="20"/>
              </w:rPr>
              <w:t>procentine</w:t>
            </w:r>
            <w:proofErr w:type="spellEnd"/>
            <w:r w:rsidR="00344A50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4A50" w:rsidRPr="00573054">
              <w:rPr>
                <w:rFonts w:ascii="Arial" w:hAnsi="Arial" w:cs="Arial"/>
                <w:sz w:val="20"/>
                <w:szCs w:val="20"/>
              </w:rPr>
              <w:t>atitinkamos</w:t>
            </w:r>
            <w:proofErr w:type="spellEnd"/>
            <w:r w:rsidR="00344A50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4A50" w:rsidRPr="00573054">
              <w:rPr>
                <w:rFonts w:ascii="Arial" w:hAnsi="Arial" w:cs="Arial"/>
                <w:sz w:val="20"/>
                <w:szCs w:val="20"/>
              </w:rPr>
              <w:t>vertės</w:t>
            </w:r>
            <w:proofErr w:type="spellEnd"/>
            <w:r w:rsidR="00344A50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44A50" w:rsidRPr="00573054">
              <w:rPr>
                <w:rFonts w:ascii="Arial" w:hAnsi="Arial" w:cs="Arial"/>
                <w:sz w:val="20"/>
                <w:szCs w:val="20"/>
              </w:rPr>
              <w:t>išraiška</w:t>
            </w:r>
            <w:proofErr w:type="spellEnd"/>
            <w:r w:rsidR="00344A50" w:rsidRPr="00573054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="00344A50" w:rsidRPr="00573054">
              <w:rPr>
                <w:rFonts w:ascii="Arial" w:hAnsi="Arial" w:cs="Arial"/>
                <w:sz w:val="20"/>
                <w:szCs w:val="20"/>
              </w:rPr>
              <w:t>laidavimu</w:t>
            </w:r>
            <w:proofErr w:type="spellEnd"/>
            <w:r w:rsidR="00344A50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44A50" w:rsidRPr="00573054">
              <w:rPr>
                <w:rFonts w:ascii="Arial" w:hAnsi="Arial" w:cs="Arial"/>
                <w:sz w:val="20"/>
                <w:szCs w:val="20"/>
              </w:rPr>
              <w:t>garantija</w:t>
            </w:r>
            <w:proofErr w:type="spellEnd"/>
            <w:r w:rsidR="00344A50" w:rsidRPr="0057305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344A50" w:rsidRPr="00573054">
              <w:rPr>
                <w:rFonts w:ascii="Arial" w:hAnsi="Arial" w:cs="Arial"/>
                <w:sz w:val="20"/>
                <w:szCs w:val="20"/>
              </w:rPr>
              <w:t>pavyzdžiui</w:t>
            </w:r>
            <w:proofErr w:type="spellEnd"/>
            <w:r w:rsidR="00344A50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44A50" w:rsidRPr="00573054">
              <w:rPr>
                <w:rFonts w:ascii="Arial" w:hAnsi="Arial" w:cs="Arial"/>
                <w:sz w:val="20"/>
                <w:szCs w:val="20"/>
              </w:rPr>
              <w:t>banko</w:t>
            </w:r>
            <w:proofErr w:type="spellEnd"/>
            <w:r w:rsidR="00344A50" w:rsidRPr="00573054">
              <w:rPr>
                <w:rFonts w:ascii="Arial" w:hAnsi="Arial" w:cs="Arial"/>
                <w:sz w:val="20"/>
                <w:szCs w:val="20"/>
              </w:rPr>
              <w:t>)</w:t>
            </w:r>
            <w:r w:rsidR="007D2BE4" w:rsidRPr="00573054">
              <w:rPr>
                <w:rFonts w:ascii="Arial" w:hAnsi="Arial" w:cs="Arial"/>
                <w:sz w:val="20"/>
                <w:szCs w:val="20"/>
              </w:rPr>
              <w:t xml:space="preserve">. Taip pat </w:t>
            </w:r>
            <w:proofErr w:type="spellStart"/>
            <w:r w:rsidR="007D2BE4" w:rsidRPr="00573054">
              <w:rPr>
                <w:rFonts w:ascii="Arial" w:hAnsi="Arial" w:cs="Arial"/>
                <w:sz w:val="20"/>
                <w:szCs w:val="20"/>
              </w:rPr>
              <w:t>gali</w:t>
            </w:r>
            <w:proofErr w:type="spellEnd"/>
            <w:r w:rsidR="007D2BE4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D2BE4" w:rsidRPr="00573054">
              <w:rPr>
                <w:rFonts w:ascii="Arial" w:hAnsi="Arial" w:cs="Arial"/>
                <w:sz w:val="20"/>
                <w:szCs w:val="20"/>
              </w:rPr>
              <w:t>būti</w:t>
            </w:r>
            <w:proofErr w:type="spellEnd"/>
            <w:r w:rsidR="007D2BE4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D2BE4" w:rsidRPr="00573054">
              <w:rPr>
                <w:rFonts w:ascii="Arial" w:hAnsi="Arial" w:cs="Arial"/>
                <w:sz w:val="20"/>
                <w:szCs w:val="20"/>
              </w:rPr>
              <w:t>taikomi</w:t>
            </w:r>
            <w:proofErr w:type="spellEnd"/>
            <w:r w:rsidR="007D2BE4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D2BE4" w:rsidRPr="00573054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="007D2BE4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D2BE4" w:rsidRPr="00573054">
              <w:rPr>
                <w:rFonts w:ascii="Arial" w:hAnsi="Arial" w:cs="Arial"/>
                <w:sz w:val="20"/>
                <w:szCs w:val="20"/>
              </w:rPr>
              <w:t>kiti</w:t>
            </w:r>
            <w:proofErr w:type="spellEnd"/>
            <w:r w:rsidR="007D2BE4" w:rsidRPr="00573054">
              <w:rPr>
                <w:rFonts w:ascii="Arial" w:hAnsi="Arial" w:cs="Arial"/>
                <w:sz w:val="20"/>
                <w:szCs w:val="20"/>
              </w:rPr>
              <w:t>, C</w:t>
            </w:r>
            <w:r w:rsidR="00DF3E50" w:rsidRPr="00573054">
              <w:rPr>
                <w:rFonts w:ascii="Arial" w:hAnsi="Arial" w:cs="Arial"/>
                <w:sz w:val="20"/>
                <w:szCs w:val="20"/>
              </w:rPr>
              <w:t>K</w:t>
            </w:r>
            <w:r w:rsidR="007D2BE4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D2BE4" w:rsidRPr="00573054">
              <w:rPr>
                <w:rFonts w:ascii="Arial" w:hAnsi="Arial" w:cs="Arial"/>
                <w:sz w:val="20"/>
                <w:szCs w:val="20"/>
              </w:rPr>
              <w:t>neįvardint</w:t>
            </w:r>
            <w:r w:rsidR="00DF3E50" w:rsidRPr="00573054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7D2BE4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D2BE4" w:rsidRPr="00573054">
              <w:rPr>
                <w:rFonts w:ascii="Arial" w:hAnsi="Arial" w:cs="Arial"/>
                <w:sz w:val="20"/>
                <w:szCs w:val="20"/>
              </w:rPr>
              <w:t>būd</w:t>
            </w:r>
            <w:r w:rsidR="00DF3E50" w:rsidRPr="00573054">
              <w:rPr>
                <w:rFonts w:ascii="Arial" w:hAnsi="Arial" w:cs="Arial"/>
                <w:sz w:val="20"/>
                <w:szCs w:val="20"/>
              </w:rPr>
              <w:t>ai</w:t>
            </w:r>
            <w:proofErr w:type="spellEnd"/>
            <w:r w:rsidR="007D2BE4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D2BE4" w:rsidRPr="00573054">
              <w:rPr>
                <w:rFonts w:ascii="Arial" w:hAnsi="Arial" w:cs="Arial"/>
                <w:sz w:val="20"/>
                <w:szCs w:val="20"/>
              </w:rPr>
              <w:t>pavyzdžiui</w:t>
            </w:r>
            <w:proofErr w:type="spellEnd"/>
            <w:r w:rsidR="007D2BE4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D2BE4" w:rsidRPr="00573054">
              <w:rPr>
                <w:rFonts w:ascii="Arial" w:hAnsi="Arial" w:cs="Arial"/>
                <w:sz w:val="20"/>
                <w:szCs w:val="20"/>
              </w:rPr>
              <w:t>laidavimo</w:t>
            </w:r>
            <w:proofErr w:type="spellEnd"/>
            <w:r w:rsidR="007D2BE4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D2BE4" w:rsidRPr="00573054">
              <w:rPr>
                <w:rFonts w:ascii="Arial" w:hAnsi="Arial" w:cs="Arial"/>
                <w:sz w:val="20"/>
                <w:szCs w:val="20"/>
              </w:rPr>
              <w:t>draudimas</w:t>
            </w:r>
            <w:proofErr w:type="spellEnd"/>
            <w:r w:rsidR="007D2BE4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D2BE4" w:rsidRPr="00573054">
              <w:rPr>
                <w:rFonts w:ascii="Arial" w:hAnsi="Arial" w:cs="Arial"/>
                <w:sz w:val="20"/>
                <w:szCs w:val="20"/>
              </w:rPr>
              <w:t>užstatas</w:t>
            </w:r>
            <w:proofErr w:type="spellEnd"/>
            <w:r w:rsidR="007D2BE4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D2BE4" w:rsidRPr="00573054">
              <w:rPr>
                <w:rFonts w:ascii="Arial" w:hAnsi="Arial" w:cs="Arial"/>
                <w:sz w:val="20"/>
                <w:szCs w:val="20"/>
              </w:rPr>
              <w:t>dalies</w:t>
            </w:r>
            <w:proofErr w:type="spellEnd"/>
            <w:r w:rsidR="007D2BE4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D2BE4" w:rsidRPr="00573054">
              <w:rPr>
                <w:rFonts w:ascii="Arial" w:hAnsi="Arial" w:cs="Arial"/>
                <w:sz w:val="20"/>
                <w:szCs w:val="20"/>
              </w:rPr>
              <w:t>mokėjimo</w:t>
            </w:r>
            <w:proofErr w:type="spellEnd"/>
            <w:r w:rsidR="007D2BE4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D2BE4" w:rsidRPr="00573054">
              <w:rPr>
                <w:rFonts w:ascii="Arial" w:hAnsi="Arial" w:cs="Arial"/>
                <w:sz w:val="20"/>
                <w:szCs w:val="20"/>
              </w:rPr>
              <w:t>sulaikymas</w:t>
            </w:r>
            <w:proofErr w:type="spellEnd"/>
            <w:r w:rsidR="007D2BE4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D2BE4" w:rsidRPr="00573054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="007D2BE4" w:rsidRPr="00573054">
              <w:rPr>
                <w:rFonts w:ascii="Arial" w:hAnsi="Arial" w:cs="Arial"/>
                <w:sz w:val="20"/>
                <w:szCs w:val="20"/>
              </w:rPr>
              <w:t xml:space="preserve"> kt.</w:t>
            </w:r>
            <w:r w:rsidR="00652341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52341" w:rsidRPr="00573054">
              <w:rPr>
                <w:rFonts w:ascii="Arial" w:hAnsi="Arial" w:cs="Arial"/>
                <w:sz w:val="20"/>
                <w:szCs w:val="20"/>
              </w:rPr>
              <w:t>Tačiau</w:t>
            </w:r>
            <w:proofErr w:type="spellEnd"/>
            <w:r w:rsidR="00546EB5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46EB5" w:rsidRPr="00573054">
              <w:rPr>
                <w:rFonts w:ascii="Arial" w:hAnsi="Arial" w:cs="Arial"/>
                <w:sz w:val="20"/>
                <w:szCs w:val="20"/>
              </w:rPr>
              <w:t>kaip</w:t>
            </w:r>
            <w:proofErr w:type="spellEnd"/>
            <w:r w:rsidR="00546EB5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46EB5" w:rsidRPr="00573054">
              <w:rPr>
                <w:rFonts w:ascii="Arial" w:hAnsi="Arial" w:cs="Arial"/>
                <w:sz w:val="20"/>
                <w:szCs w:val="20"/>
              </w:rPr>
              <w:t>nurodo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</w:rPr>
              <w:t>Viešųjų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</w:rPr>
              <w:t>pirkimų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</w:rPr>
              <w:t>tarnyba</w:t>
            </w:r>
            <w:proofErr w:type="spellEnd"/>
            <w:r w:rsidR="00546EB5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07E9E" w:rsidRPr="00573054">
              <w:rPr>
                <w:rFonts w:ascii="Arial" w:hAnsi="Arial" w:cs="Arial"/>
                <w:sz w:val="20"/>
                <w:szCs w:val="20"/>
              </w:rPr>
              <w:t xml:space="preserve">VPĮ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</w:rPr>
              <w:t>numatyta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</w:rPr>
              <w:t>pareiga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</w:rPr>
              <w:t>reikalauti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</w:rPr>
              <w:t>sutarties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</w:rPr>
              <w:t>įvykdymo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</w:rPr>
              <w:t>užtikrinimo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</w:rPr>
              <w:t>priemonių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</w:rPr>
              <w:t> </w:t>
            </w:r>
            <w:proofErr w:type="spellStart"/>
            <w:r w:rsidR="00507E9E" w:rsidRPr="00573054">
              <w:rPr>
                <w:rFonts w:ascii="Arial" w:hAnsi="Arial" w:cs="Arial"/>
                <w:b/>
                <w:sz w:val="20"/>
                <w:szCs w:val="20"/>
              </w:rPr>
              <w:t>nereiškia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 xml:space="preserve">jog </w:t>
            </w:r>
            <w:r w:rsidR="004C3C85" w:rsidRPr="00573054">
              <w:rPr>
                <w:rFonts w:ascii="Arial" w:hAnsi="Arial" w:cs="Arial"/>
                <w:sz w:val="20"/>
                <w:szCs w:val="20"/>
                <w:u w:val="single"/>
              </w:rPr>
              <w:t>“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>pirkimo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>vykdytojai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>visais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>atvejais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>turi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>reikalauti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 xml:space="preserve">,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>kad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>tiekėjas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>pateiktų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>banko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>garantiją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>ar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>draudimo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>bendrovės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>išduotą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>laidavimo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>draudimą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 xml:space="preserve"> tam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>tikrai</w:t>
            </w:r>
            <w:proofErr w:type="spellEnd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="00507E9E" w:rsidRPr="00573054">
              <w:rPr>
                <w:rFonts w:ascii="Arial" w:hAnsi="Arial" w:cs="Arial"/>
                <w:sz w:val="20"/>
                <w:szCs w:val="20"/>
                <w:u w:val="single"/>
              </w:rPr>
              <w:t>sumai</w:t>
            </w:r>
            <w:proofErr w:type="spellEnd"/>
            <w:r w:rsidR="004C3C85" w:rsidRPr="00573054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&lt;…&gt;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Pažymėtina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kad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pats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pirkimo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vykdytojas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sprendžia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kokius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reikalavimus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susijusius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sutarties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įvykdymo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užtikrinimu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nustatyti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pirkimo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sąlygose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Pirkimo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vykdytojas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įvertinęs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konkretaus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pirkimo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objektą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galimas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rizikas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kitus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aspektus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gali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nuspręsti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, jog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geriausiai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jo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interesus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užtikrins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banko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garantija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o</w:t>
            </w:r>
            <w:r w:rsidR="004D3C78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CCE" w:rsidRPr="00573054">
              <w:rPr>
                <w:rFonts w:ascii="Arial" w:hAnsi="Arial" w:cs="Arial"/>
                <w:sz w:val="20"/>
                <w:szCs w:val="20"/>
              </w:rPr>
              <w:t>ne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draudimo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bendrovės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lastRenderedPageBreak/>
              <w:t>išduodamas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laidavimo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draudimas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todėl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prašyti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tik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banko</w:t>
            </w:r>
            <w:proofErr w:type="spellEnd"/>
            <w:r w:rsidR="00B22CC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22CCE" w:rsidRPr="00573054">
              <w:rPr>
                <w:rFonts w:ascii="Arial" w:hAnsi="Arial" w:cs="Arial"/>
                <w:sz w:val="20"/>
                <w:szCs w:val="20"/>
              </w:rPr>
              <w:t>garantijos</w:t>
            </w:r>
            <w:proofErr w:type="spellEnd"/>
            <w:r w:rsidR="4434CA60" w:rsidRPr="00573054">
              <w:rPr>
                <w:rFonts w:ascii="Arial" w:hAnsi="Arial" w:cs="Arial"/>
                <w:sz w:val="20"/>
                <w:szCs w:val="20"/>
              </w:rPr>
              <w:t>.</w:t>
            </w:r>
            <w:r w:rsidR="5DD77D5F" w:rsidRPr="00573054">
              <w:rPr>
                <w:rFonts w:ascii="Arial" w:hAnsi="Arial" w:cs="Arial"/>
                <w:sz w:val="20"/>
                <w:szCs w:val="20"/>
              </w:rPr>
              <w:t>”</w:t>
            </w:r>
            <w:r w:rsidR="004954D0" w:rsidRPr="00573054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  <w:r w:rsidR="00E1789B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6F8C89" w14:textId="7507BCF2" w:rsidR="00BF7C47" w:rsidRPr="00573054" w:rsidRDefault="00E1789B" w:rsidP="00A94CBA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Šiuo</w:t>
            </w:r>
            <w:proofErr w:type="spellEnd"/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73054">
              <w:rPr>
                <w:rFonts w:ascii="Arial" w:hAnsi="Arial" w:cs="Arial"/>
                <w:sz w:val="20"/>
                <w:szCs w:val="20"/>
              </w:rPr>
              <w:t>atveju</w:t>
            </w:r>
            <w:proofErr w:type="spellEnd"/>
            <w:r w:rsidR="00F30ACA" w:rsidRPr="00573054">
              <w:rPr>
                <w:rFonts w:ascii="Arial" w:hAnsi="Arial" w:cs="Arial"/>
                <w:sz w:val="20"/>
                <w:szCs w:val="20"/>
              </w:rPr>
              <w:t xml:space="preserve"> KC, </w:t>
            </w:r>
            <w:proofErr w:type="spellStart"/>
            <w:r w:rsidR="00F30ACA" w:rsidRPr="00573054">
              <w:rPr>
                <w:rFonts w:ascii="Arial" w:hAnsi="Arial" w:cs="Arial"/>
                <w:sz w:val="20"/>
                <w:szCs w:val="20"/>
              </w:rPr>
              <w:t>įvertinęs</w:t>
            </w:r>
            <w:proofErr w:type="spellEnd"/>
            <w:r w:rsidR="00F30ACA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30ACA" w:rsidRPr="00573054">
              <w:rPr>
                <w:rFonts w:ascii="Arial" w:hAnsi="Arial" w:cs="Arial"/>
                <w:sz w:val="20"/>
                <w:szCs w:val="20"/>
              </w:rPr>
              <w:t>Pirkimo</w:t>
            </w:r>
            <w:proofErr w:type="spellEnd"/>
            <w:r w:rsidR="00F30ACA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30ACA" w:rsidRPr="00573054">
              <w:rPr>
                <w:rFonts w:ascii="Arial" w:hAnsi="Arial" w:cs="Arial"/>
                <w:sz w:val="20"/>
                <w:szCs w:val="20"/>
              </w:rPr>
              <w:t>objekto</w:t>
            </w:r>
            <w:proofErr w:type="spellEnd"/>
            <w:r w:rsidR="00F30ACA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30ACA" w:rsidRPr="00573054">
              <w:rPr>
                <w:rFonts w:ascii="Arial" w:hAnsi="Arial" w:cs="Arial"/>
                <w:sz w:val="20"/>
                <w:szCs w:val="20"/>
              </w:rPr>
              <w:t>svarbą</w:t>
            </w:r>
            <w:proofErr w:type="spellEnd"/>
            <w:r w:rsidR="00F30ACA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64EDB" w:rsidRPr="00573054">
              <w:rPr>
                <w:rFonts w:ascii="Arial" w:hAnsi="Arial" w:cs="Arial"/>
                <w:sz w:val="20"/>
                <w:szCs w:val="20"/>
              </w:rPr>
              <w:t>nustatė</w:t>
            </w:r>
            <w:proofErr w:type="spellEnd"/>
            <w:r w:rsidR="00364EDB" w:rsidRPr="00573054">
              <w:rPr>
                <w:rFonts w:ascii="Arial" w:hAnsi="Arial" w:cs="Arial"/>
                <w:sz w:val="20"/>
                <w:szCs w:val="20"/>
              </w:rPr>
              <w:t xml:space="preserve">, jog </w:t>
            </w:r>
            <w:proofErr w:type="spellStart"/>
            <w:r w:rsidR="00364EDB" w:rsidRPr="00573054">
              <w:rPr>
                <w:rFonts w:ascii="Arial" w:hAnsi="Arial" w:cs="Arial"/>
                <w:sz w:val="20"/>
                <w:szCs w:val="20"/>
              </w:rPr>
              <w:t>geriausiai</w:t>
            </w:r>
            <w:proofErr w:type="spellEnd"/>
            <w:r w:rsidR="00364EDB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D0578" w:rsidRPr="00573054">
              <w:rPr>
                <w:rFonts w:ascii="Arial" w:hAnsi="Arial" w:cs="Arial"/>
                <w:sz w:val="20"/>
                <w:szCs w:val="20"/>
              </w:rPr>
              <w:t>Pirkimo</w:t>
            </w:r>
            <w:proofErr w:type="spellEnd"/>
            <w:r w:rsidR="007D0578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D0578" w:rsidRPr="00573054">
              <w:rPr>
                <w:rFonts w:ascii="Arial" w:hAnsi="Arial" w:cs="Arial"/>
                <w:sz w:val="20"/>
                <w:szCs w:val="20"/>
              </w:rPr>
              <w:t>vykdytojo</w:t>
            </w:r>
            <w:proofErr w:type="spellEnd"/>
            <w:r w:rsidR="007D0578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D0578" w:rsidRPr="00573054">
              <w:rPr>
                <w:rFonts w:ascii="Arial" w:hAnsi="Arial" w:cs="Arial"/>
                <w:sz w:val="20"/>
                <w:szCs w:val="20"/>
              </w:rPr>
              <w:t>interesus</w:t>
            </w:r>
            <w:proofErr w:type="spellEnd"/>
            <w:r w:rsidR="007D0578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A6617" w:rsidRPr="00573054">
              <w:rPr>
                <w:rFonts w:ascii="Arial" w:hAnsi="Arial" w:cs="Arial"/>
                <w:sz w:val="20"/>
                <w:szCs w:val="20"/>
              </w:rPr>
              <w:t>užtikrintų</w:t>
            </w:r>
            <w:proofErr w:type="spellEnd"/>
            <w:r w:rsidR="000A6617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1608" w:rsidRPr="00573054">
              <w:rPr>
                <w:rFonts w:ascii="Arial" w:hAnsi="Arial" w:cs="Arial"/>
                <w:sz w:val="20"/>
                <w:szCs w:val="20"/>
              </w:rPr>
              <w:t>banko</w:t>
            </w:r>
            <w:proofErr w:type="spellEnd"/>
            <w:r w:rsidR="00071608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71608" w:rsidRPr="00573054">
              <w:rPr>
                <w:rFonts w:ascii="Arial" w:hAnsi="Arial" w:cs="Arial"/>
                <w:sz w:val="20"/>
                <w:szCs w:val="20"/>
              </w:rPr>
              <w:t>garantija</w:t>
            </w:r>
            <w:proofErr w:type="spellEnd"/>
            <w:r w:rsidR="00071608" w:rsidRPr="0057305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071608" w:rsidRPr="00573054">
              <w:rPr>
                <w:rFonts w:ascii="Arial" w:hAnsi="Arial" w:cs="Arial"/>
                <w:sz w:val="20"/>
                <w:szCs w:val="20"/>
              </w:rPr>
              <w:t>Tačiau</w:t>
            </w:r>
            <w:proofErr w:type="spellEnd"/>
            <w:r w:rsidR="00071608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7299" w:rsidRPr="00573054">
              <w:rPr>
                <w:rFonts w:ascii="Arial" w:hAnsi="Arial" w:cs="Arial"/>
                <w:sz w:val="20"/>
                <w:szCs w:val="20"/>
              </w:rPr>
              <w:t xml:space="preserve">KC </w:t>
            </w:r>
            <w:proofErr w:type="spellStart"/>
            <w:r w:rsidR="00E07299" w:rsidRPr="00573054">
              <w:rPr>
                <w:rFonts w:ascii="Arial" w:hAnsi="Arial" w:cs="Arial"/>
                <w:sz w:val="20"/>
                <w:szCs w:val="20"/>
              </w:rPr>
              <w:t>taip</w:t>
            </w:r>
            <w:proofErr w:type="spellEnd"/>
            <w:r w:rsidR="00E07299" w:rsidRPr="00573054">
              <w:rPr>
                <w:rFonts w:ascii="Arial" w:hAnsi="Arial" w:cs="Arial"/>
                <w:sz w:val="20"/>
                <w:szCs w:val="20"/>
              </w:rPr>
              <w:t xml:space="preserve"> pat </w:t>
            </w:r>
            <w:proofErr w:type="spellStart"/>
            <w:r w:rsidR="00E07299" w:rsidRPr="00573054">
              <w:rPr>
                <w:rFonts w:ascii="Arial" w:hAnsi="Arial" w:cs="Arial"/>
                <w:sz w:val="20"/>
                <w:szCs w:val="20"/>
              </w:rPr>
              <w:t>atkreipia</w:t>
            </w:r>
            <w:proofErr w:type="spellEnd"/>
            <w:r w:rsidR="00E07299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07299" w:rsidRPr="00573054">
              <w:rPr>
                <w:rFonts w:ascii="Arial" w:hAnsi="Arial" w:cs="Arial"/>
                <w:sz w:val="20"/>
                <w:szCs w:val="20"/>
              </w:rPr>
              <w:t>dėmesį</w:t>
            </w:r>
            <w:proofErr w:type="spellEnd"/>
            <w:r w:rsidR="00E07299" w:rsidRPr="00573054">
              <w:rPr>
                <w:rFonts w:ascii="Arial" w:hAnsi="Arial" w:cs="Arial"/>
                <w:sz w:val="20"/>
                <w:szCs w:val="20"/>
              </w:rPr>
              <w:t xml:space="preserve">, jog </w:t>
            </w:r>
            <w:proofErr w:type="spellStart"/>
            <w:r w:rsidR="00AF4066" w:rsidRPr="00573054">
              <w:rPr>
                <w:rFonts w:ascii="Arial" w:hAnsi="Arial" w:cs="Arial"/>
                <w:sz w:val="20"/>
                <w:szCs w:val="20"/>
              </w:rPr>
              <w:t>Skelbiamų</w:t>
            </w:r>
            <w:proofErr w:type="spellEnd"/>
            <w:r w:rsidR="00AF4066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F4066" w:rsidRPr="00573054">
              <w:rPr>
                <w:rFonts w:ascii="Arial" w:hAnsi="Arial" w:cs="Arial"/>
                <w:sz w:val="20"/>
                <w:szCs w:val="20"/>
              </w:rPr>
              <w:t>derybų</w:t>
            </w:r>
            <w:proofErr w:type="spellEnd"/>
            <w:r w:rsidR="00AF4066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C721E" w:rsidRPr="00573054">
              <w:rPr>
                <w:rFonts w:ascii="Arial" w:hAnsi="Arial" w:cs="Arial"/>
                <w:sz w:val="20"/>
                <w:szCs w:val="20"/>
              </w:rPr>
              <w:t>pirkimo</w:t>
            </w:r>
            <w:proofErr w:type="spellEnd"/>
            <w:r w:rsidR="009C721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C721E" w:rsidRPr="00573054">
              <w:rPr>
                <w:rFonts w:ascii="Arial" w:hAnsi="Arial" w:cs="Arial"/>
                <w:sz w:val="20"/>
                <w:szCs w:val="20"/>
              </w:rPr>
              <w:t>sąlygų</w:t>
            </w:r>
            <w:proofErr w:type="spellEnd"/>
            <w:r w:rsidR="009C721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0EFA" w:rsidRPr="00573054">
              <w:rPr>
                <w:rFonts w:ascii="Arial" w:hAnsi="Arial" w:cs="Arial"/>
                <w:sz w:val="20"/>
                <w:szCs w:val="20"/>
              </w:rPr>
              <w:t>specialiosios</w:t>
            </w:r>
            <w:proofErr w:type="spellEnd"/>
            <w:r w:rsidR="00610EFA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10EFA" w:rsidRPr="00573054">
              <w:rPr>
                <w:rFonts w:ascii="Arial" w:hAnsi="Arial" w:cs="Arial"/>
                <w:sz w:val="20"/>
                <w:szCs w:val="20"/>
              </w:rPr>
              <w:t>dalies</w:t>
            </w:r>
            <w:proofErr w:type="spellEnd"/>
            <w:r w:rsidR="00610EFA" w:rsidRPr="0057305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3B623A" w:rsidRPr="00573054">
              <w:rPr>
                <w:rFonts w:ascii="Arial" w:hAnsi="Arial" w:cs="Arial"/>
                <w:sz w:val="20"/>
                <w:szCs w:val="20"/>
              </w:rPr>
              <w:t>toliau</w:t>
            </w:r>
            <w:proofErr w:type="spellEnd"/>
            <w:r w:rsidR="003B623A" w:rsidRPr="00573054">
              <w:rPr>
                <w:rFonts w:ascii="Arial" w:hAnsi="Arial" w:cs="Arial"/>
                <w:sz w:val="20"/>
                <w:szCs w:val="20"/>
              </w:rPr>
              <w:t xml:space="preserve"> – SD) </w:t>
            </w:r>
            <w:r w:rsidR="007B0ED4" w:rsidRPr="00573054">
              <w:rPr>
                <w:rFonts w:ascii="Arial" w:hAnsi="Arial" w:cs="Arial"/>
                <w:sz w:val="20"/>
                <w:szCs w:val="20"/>
              </w:rPr>
              <w:t xml:space="preserve">3.3. </w:t>
            </w:r>
            <w:proofErr w:type="spellStart"/>
            <w:r w:rsidR="007B0ED4" w:rsidRPr="00573054">
              <w:rPr>
                <w:rFonts w:ascii="Arial" w:hAnsi="Arial" w:cs="Arial"/>
                <w:sz w:val="20"/>
                <w:szCs w:val="20"/>
              </w:rPr>
              <w:t>punkto</w:t>
            </w:r>
            <w:proofErr w:type="spellEnd"/>
            <w:r w:rsidR="007B0ED4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14D7F" w:rsidRPr="00573054">
              <w:rPr>
                <w:rFonts w:ascii="Arial" w:hAnsi="Arial" w:cs="Arial"/>
                <w:sz w:val="20"/>
                <w:szCs w:val="20"/>
              </w:rPr>
              <w:t>dalyje</w:t>
            </w:r>
            <w:proofErr w:type="spellEnd"/>
            <w:r w:rsidR="00114D7F" w:rsidRPr="00573054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="00C85D63" w:rsidRPr="00573054">
              <w:rPr>
                <w:rFonts w:ascii="Arial" w:hAnsi="Arial" w:cs="Arial"/>
                <w:sz w:val="20"/>
                <w:szCs w:val="20"/>
              </w:rPr>
              <w:t>Sąlygos</w:t>
            </w:r>
            <w:proofErr w:type="spellEnd"/>
            <w:r w:rsidR="00C85D63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85D63" w:rsidRPr="00573054">
              <w:rPr>
                <w:rFonts w:ascii="Arial" w:hAnsi="Arial" w:cs="Arial"/>
                <w:sz w:val="20"/>
                <w:szCs w:val="20"/>
              </w:rPr>
              <w:t>kurios</w:t>
            </w:r>
            <w:proofErr w:type="spellEnd"/>
            <w:r w:rsidR="00C85D63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85D63" w:rsidRPr="00573054">
              <w:rPr>
                <w:rFonts w:ascii="Arial" w:hAnsi="Arial" w:cs="Arial"/>
                <w:sz w:val="20"/>
                <w:szCs w:val="20"/>
              </w:rPr>
              <w:t>yra</w:t>
            </w:r>
            <w:proofErr w:type="spellEnd"/>
            <w:r w:rsidR="00C85D63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85D63" w:rsidRPr="00573054">
              <w:rPr>
                <w:rFonts w:ascii="Arial" w:hAnsi="Arial" w:cs="Arial"/>
                <w:sz w:val="20"/>
                <w:szCs w:val="20"/>
              </w:rPr>
              <w:t>Derybų</w:t>
            </w:r>
            <w:proofErr w:type="spellEnd"/>
            <w:r w:rsidR="00C85D63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85D63" w:rsidRPr="00573054">
              <w:rPr>
                <w:rFonts w:ascii="Arial" w:hAnsi="Arial" w:cs="Arial"/>
                <w:sz w:val="20"/>
                <w:szCs w:val="20"/>
              </w:rPr>
              <w:t>objektas</w:t>
            </w:r>
            <w:proofErr w:type="spellEnd"/>
            <w:r w:rsidR="00C85D63" w:rsidRPr="00573054">
              <w:rPr>
                <w:rFonts w:ascii="Arial" w:hAnsi="Arial" w:cs="Arial"/>
                <w:sz w:val="20"/>
                <w:szCs w:val="20"/>
              </w:rPr>
              <w:t>“</w:t>
            </w:r>
            <w:r w:rsidR="00762AA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6220F" w:rsidRPr="00573054">
              <w:rPr>
                <w:rFonts w:ascii="Arial" w:hAnsi="Arial" w:cs="Arial"/>
                <w:sz w:val="20"/>
                <w:szCs w:val="20"/>
              </w:rPr>
              <w:t>nurodyta</w:t>
            </w:r>
            <w:proofErr w:type="spellEnd"/>
            <w:r w:rsidR="0046220F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32BEF" w:rsidRPr="00573054">
              <w:rPr>
                <w:rFonts w:ascii="Arial" w:hAnsi="Arial" w:cs="Arial"/>
                <w:sz w:val="20"/>
                <w:szCs w:val="20"/>
              </w:rPr>
              <w:t>kad</w:t>
            </w:r>
            <w:proofErr w:type="spellEnd"/>
            <w:r w:rsidR="0046220F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B3F59" w:rsidRPr="00573054">
              <w:rPr>
                <w:rFonts w:ascii="Arial" w:hAnsi="Arial" w:cs="Arial"/>
                <w:sz w:val="20"/>
                <w:szCs w:val="20"/>
              </w:rPr>
              <w:t>Sutarties</w:t>
            </w:r>
            <w:proofErr w:type="spellEnd"/>
            <w:r w:rsidR="005B3F59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15220" w:rsidRPr="00573054">
              <w:rPr>
                <w:rFonts w:ascii="Arial" w:hAnsi="Arial" w:cs="Arial"/>
                <w:sz w:val="20"/>
                <w:szCs w:val="20"/>
              </w:rPr>
              <w:t>S</w:t>
            </w:r>
            <w:r w:rsidR="005B3F59" w:rsidRPr="00573054">
              <w:rPr>
                <w:rFonts w:ascii="Arial" w:hAnsi="Arial" w:cs="Arial"/>
                <w:sz w:val="20"/>
                <w:szCs w:val="20"/>
              </w:rPr>
              <w:t>peciali</w:t>
            </w:r>
            <w:r w:rsidR="00646A09" w:rsidRPr="00573054">
              <w:rPr>
                <w:rFonts w:ascii="Arial" w:hAnsi="Arial" w:cs="Arial"/>
                <w:sz w:val="20"/>
                <w:szCs w:val="20"/>
              </w:rPr>
              <w:t>ųjų</w:t>
            </w:r>
            <w:proofErr w:type="spellEnd"/>
            <w:r w:rsidR="00646A09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46A09" w:rsidRPr="00573054">
              <w:rPr>
                <w:rFonts w:ascii="Arial" w:hAnsi="Arial" w:cs="Arial"/>
                <w:sz w:val="20"/>
                <w:szCs w:val="20"/>
              </w:rPr>
              <w:t>sąlygų</w:t>
            </w:r>
            <w:proofErr w:type="spellEnd"/>
            <w:r w:rsidR="005B3F59" w:rsidRPr="00573054">
              <w:rPr>
                <w:rFonts w:ascii="Arial" w:hAnsi="Arial" w:cs="Arial"/>
                <w:sz w:val="20"/>
                <w:szCs w:val="20"/>
              </w:rPr>
              <w:t xml:space="preserve"> 6 </w:t>
            </w:r>
            <w:proofErr w:type="spellStart"/>
            <w:r w:rsidR="005B3F59" w:rsidRPr="00573054">
              <w:rPr>
                <w:rFonts w:ascii="Arial" w:hAnsi="Arial" w:cs="Arial"/>
                <w:sz w:val="20"/>
                <w:szCs w:val="20"/>
              </w:rPr>
              <w:t>skyrius</w:t>
            </w:r>
            <w:proofErr w:type="spellEnd"/>
            <w:r w:rsidR="008D09A7" w:rsidRPr="00573054">
              <w:rPr>
                <w:rFonts w:ascii="Arial" w:hAnsi="Arial" w:cs="Arial"/>
                <w:sz w:val="20"/>
                <w:szCs w:val="20"/>
              </w:rPr>
              <w:t xml:space="preserve">, į </w:t>
            </w:r>
            <w:proofErr w:type="spellStart"/>
            <w:r w:rsidR="008D09A7" w:rsidRPr="00573054">
              <w:rPr>
                <w:rFonts w:ascii="Arial" w:hAnsi="Arial" w:cs="Arial"/>
                <w:sz w:val="20"/>
                <w:szCs w:val="20"/>
              </w:rPr>
              <w:t>kurį</w:t>
            </w:r>
            <w:proofErr w:type="spellEnd"/>
            <w:r w:rsidR="008D09A7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D09A7" w:rsidRPr="00573054">
              <w:rPr>
                <w:rFonts w:ascii="Arial" w:hAnsi="Arial" w:cs="Arial"/>
                <w:sz w:val="20"/>
                <w:szCs w:val="20"/>
              </w:rPr>
              <w:t>patenka</w:t>
            </w:r>
            <w:proofErr w:type="spellEnd"/>
            <w:r w:rsidR="00606901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06901" w:rsidRPr="00573054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="008D09A7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1419" w:rsidRPr="00573054">
              <w:rPr>
                <w:rFonts w:ascii="Arial" w:hAnsi="Arial" w:cs="Arial"/>
                <w:sz w:val="20"/>
                <w:szCs w:val="20"/>
              </w:rPr>
              <w:t>klausime</w:t>
            </w:r>
            <w:proofErr w:type="spellEnd"/>
            <w:r w:rsidR="001C1419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C1419" w:rsidRPr="00573054">
              <w:rPr>
                <w:rFonts w:ascii="Arial" w:hAnsi="Arial" w:cs="Arial"/>
                <w:sz w:val="20"/>
                <w:szCs w:val="20"/>
              </w:rPr>
              <w:t>aptariamas</w:t>
            </w:r>
            <w:proofErr w:type="spellEnd"/>
            <w:r w:rsidR="001C1419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23A8F" w:rsidRPr="00573054">
              <w:rPr>
                <w:rFonts w:ascii="Arial" w:hAnsi="Arial" w:cs="Arial"/>
                <w:sz w:val="20"/>
                <w:szCs w:val="20"/>
              </w:rPr>
              <w:t>Sutarties</w:t>
            </w:r>
            <w:proofErr w:type="spellEnd"/>
            <w:r w:rsidR="00C23A8F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10F2A" w:rsidRPr="00573054">
              <w:rPr>
                <w:rFonts w:ascii="Arial" w:hAnsi="Arial" w:cs="Arial"/>
                <w:sz w:val="20"/>
                <w:szCs w:val="20"/>
              </w:rPr>
              <w:t>S</w:t>
            </w:r>
            <w:r w:rsidR="00C23A8F" w:rsidRPr="00573054">
              <w:rPr>
                <w:rFonts w:ascii="Arial" w:hAnsi="Arial" w:cs="Arial"/>
                <w:sz w:val="20"/>
                <w:szCs w:val="20"/>
              </w:rPr>
              <w:t>pecial</w:t>
            </w:r>
            <w:r w:rsidR="00646A09" w:rsidRPr="00573054">
              <w:rPr>
                <w:rFonts w:ascii="Arial" w:hAnsi="Arial" w:cs="Arial"/>
                <w:sz w:val="20"/>
                <w:szCs w:val="20"/>
              </w:rPr>
              <w:t>iųjų</w:t>
            </w:r>
            <w:proofErr w:type="spellEnd"/>
            <w:r w:rsidR="00646A09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46A09" w:rsidRPr="00573054">
              <w:rPr>
                <w:rFonts w:ascii="Arial" w:hAnsi="Arial" w:cs="Arial"/>
                <w:sz w:val="20"/>
                <w:szCs w:val="20"/>
              </w:rPr>
              <w:t>sąlygų</w:t>
            </w:r>
            <w:proofErr w:type="spellEnd"/>
            <w:r w:rsidR="00C23A8F" w:rsidRPr="00573054">
              <w:rPr>
                <w:rFonts w:ascii="Arial" w:hAnsi="Arial" w:cs="Arial"/>
                <w:sz w:val="20"/>
                <w:szCs w:val="20"/>
              </w:rPr>
              <w:t xml:space="preserve"> 6.1.2. </w:t>
            </w:r>
            <w:proofErr w:type="spellStart"/>
            <w:r w:rsidR="00C23A8F" w:rsidRPr="00573054">
              <w:rPr>
                <w:rFonts w:ascii="Arial" w:hAnsi="Arial" w:cs="Arial"/>
                <w:sz w:val="20"/>
                <w:szCs w:val="20"/>
              </w:rPr>
              <w:t>punktas</w:t>
            </w:r>
            <w:proofErr w:type="spellEnd"/>
            <w:r w:rsidR="00C23A8F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C23A8F" w:rsidRPr="00573054">
              <w:rPr>
                <w:rFonts w:ascii="Arial" w:hAnsi="Arial" w:cs="Arial"/>
                <w:sz w:val="20"/>
                <w:szCs w:val="20"/>
              </w:rPr>
              <w:t>yra</w:t>
            </w:r>
            <w:proofErr w:type="spellEnd"/>
            <w:r w:rsidR="00C23A8F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45A93" w:rsidRPr="00573054">
              <w:rPr>
                <w:rFonts w:ascii="Arial" w:hAnsi="Arial" w:cs="Arial"/>
                <w:sz w:val="20"/>
                <w:szCs w:val="20"/>
              </w:rPr>
              <w:t>derybų</w:t>
            </w:r>
            <w:proofErr w:type="spellEnd"/>
            <w:r w:rsidR="00145A93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45A93" w:rsidRPr="00573054">
              <w:rPr>
                <w:rFonts w:ascii="Arial" w:hAnsi="Arial" w:cs="Arial"/>
                <w:sz w:val="20"/>
                <w:szCs w:val="20"/>
              </w:rPr>
              <w:t>objektas</w:t>
            </w:r>
            <w:proofErr w:type="spellEnd"/>
            <w:r w:rsidR="00145A93" w:rsidRPr="0057305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762AAE" w:rsidRPr="00573054">
              <w:rPr>
                <w:rFonts w:ascii="Arial" w:hAnsi="Arial" w:cs="Arial"/>
                <w:sz w:val="20"/>
                <w:szCs w:val="20"/>
              </w:rPr>
              <w:t>Todėl</w:t>
            </w:r>
            <w:proofErr w:type="spellEnd"/>
            <w:r w:rsidR="00762AAE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62AAE" w:rsidRPr="00573054">
              <w:rPr>
                <w:rFonts w:ascii="Arial" w:hAnsi="Arial" w:cs="Arial"/>
                <w:sz w:val="20"/>
                <w:szCs w:val="20"/>
              </w:rPr>
              <w:t>esant</w:t>
            </w:r>
            <w:proofErr w:type="spellEnd"/>
            <w:r w:rsidR="00762AAE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62AAE" w:rsidRPr="00573054">
              <w:rPr>
                <w:rFonts w:ascii="Arial" w:hAnsi="Arial" w:cs="Arial"/>
                <w:sz w:val="20"/>
                <w:szCs w:val="20"/>
              </w:rPr>
              <w:t>poreikiui</w:t>
            </w:r>
            <w:proofErr w:type="spellEnd"/>
            <w:r w:rsidR="00762AAE" w:rsidRPr="005730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23C4D" w:rsidRPr="00573054">
              <w:rPr>
                <w:rFonts w:ascii="Arial" w:hAnsi="Arial" w:cs="Arial"/>
                <w:sz w:val="20"/>
                <w:szCs w:val="20"/>
              </w:rPr>
              <w:t>Pirkimo</w:t>
            </w:r>
            <w:proofErr w:type="spellEnd"/>
            <w:r w:rsidR="00723C4D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3C4D" w:rsidRPr="00573054">
              <w:rPr>
                <w:rFonts w:ascii="Arial" w:hAnsi="Arial" w:cs="Arial"/>
                <w:sz w:val="20"/>
                <w:szCs w:val="20"/>
              </w:rPr>
              <w:t>procedūros</w:t>
            </w:r>
            <w:proofErr w:type="spellEnd"/>
            <w:r w:rsidR="00723C4D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57B63" w:rsidRPr="00573054">
              <w:rPr>
                <w:rFonts w:ascii="Arial" w:hAnsi="Arial" w:cs="Arial"/>
                <w:sz w:val="20"/>
                <w:szCs w:val="20"/>
              </w:rPr>
              <w:t>derybų</w:t>
            </w:r>
            <w:proofErr w:type="spellEnd"/>
            <w:r w:rsidR="00723C4D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23C4D" w:rsidRPr="00573054">
              <w:rPr>
                <w:rFonts w:ascii="Arial" w:hAnsi="Arial" w:cs="Arial"/>
                <w:sz w:val="20"/>
                <w:szCs w:val="20"/>
              </w:rPr>
              <w:t>etape</w:t>
            </w:r>
            <w:proofErr w:type="spellEnd"/>
            <w:r w:rsidR="000458DC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458DC" w:rsidRPr="00573054">
              <w:rPr>
                <w:rFonts w:ascii="Arial" w:hAnsi="Arial" w:cs="Arial"/>
                <w:sz w:val="20"/>
                <w:szCs w:val="20"/>
              </w:rPr>
              <w:t>būtų</w:t>
            </w:r>
            <w:proofErr w:type="spellEnd"/>
            <w:r w:rsidR="000458DC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6084" w:rsidRPr="00573054">
              <w:rPr>
                <w:rFonts w:ascii="Arial" w:hAnsi="Arial" w:cs="Arial"/>
                <w:sz w:val="20"/>
                <w:szCs w:val="20"/>
              </w:rPr>
              <w:t>galima</w:t>
            </w:r>
            <w:proofErr w:type="spellEnd"/>
            <w:r w:rsidR="00856084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6084" w:rsidRPr="00573054">
              <w:rPr>
                <w:rFonts w:ascii="Arial" w:hAnsi="Arial" w:cs="Arial"/>
                <w:sz w:val="20"/>
                <w:szCs w:val="20"/>
              </w:rPr>
              <w:t>svarstyti</w:t>
            </w:r>
            <w:proofErr w:type="spellEnd"/>
            <w:r w:rsidR="00856084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56084" w:rsidRPr="00573054">
              <w:rPr>
                <w:rFonts w:ascii="Arial" w:hAnsi="Arial" w:cs="Arial"/>
                <w:sz w:val="20"/>
                <w:szCs w:val="20"/>
              </w:rPr>
              <w:t>dėl</w:t>
            </w:r>
            <w:proofErr w:type="spellEnd"/>
            <w:r w:rsidR="00856084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515A7" w:rsidRPr="00573054">
              <w:rPr>
                <w:rFonts w:ascii="Arial" w:hAnsi="Arial" w:cs="Arial"/>
                <w:sz w:val="20"/>
                <w:szCs w:val="20"/>
              </w:rPr>
              <w:t>Sutarties</w:t>
            </w:r>
            <w:proofErr w:type="spellEnd"/>
            <w:r w:rsidR="004515A7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028E8" w:rsidRPr="00573054">
              <w:rPr>
                <w:rFonts w:ascii="Arial" w:hAnsi="Arial" w:cs="Arial"/>
                <w:sz w:val="20"/>
                <w:szCs w:val="20"/>
              </w:rPr>
              <w:t>S</w:t>
            </w:r>
            <w:r w:rsidR="004515A7" w:rsidRPr="00573054">
              <w:rPr>
                <w:rFonts w:ascii="Arial" w:hAnsi="Arial" w:cs="Arial"/>
                <w:sz w:val="20"/>
                <w:szCs w:val="20"/>
              </w:rPr>
              <w:t>p</w:t>
            </w:r>
            <w:r w:rsidR="00C73F0D" w:rsidRPr="00573054">
              <w:rPr>
                <w:rFonts w:ascii="Arial" w:hAnsi="Arial" w:cs="Arial"/>
                <w:sz w:val="20"/>
                <w:szCs w:val="20"/>
              </w:rPr>
              <w:t>ecialiųjų</w:t>
            </w:r>
            <w:proofErr w:type="spellEnd"/>
            <w:r w:rsidR="00C73F0D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73F0D" w:rsidRPr="00573054">
              <w:rPr>
                <w:rFonts w:ascii="Arial" w:hAnsi="Arial" w:cs="Arial"/>
                <w:sz w:val="20"/>
                <w:szCs w:val="20"/>
              </w:rPr>
              <w:t>sąlygų</w:t>
            </w:r>
            <w:proofErr w:type="spellEnd"/>
            <w:r w:rsidR="004515A7" w:rsidRPr="00573054">
              <w:rPr>
                <w:rFonts w:ascii="Arial" w:hAnsi="Arial" w:cs="Arial"/>
                <w:sz w:val="20"/>
                <w:szCs w:val="20"/>
              </w:rPr>
              <w:t xml:space="preserve"> 6.1.2. </w:t>
            </w:r>
            <w:proofErr w:type="spellStart"/>
            <w:r w:rsidR="004515A7" w:rsidRPr="00573054">
              <w:rPr>
                <w:rFonts w:ascii="Arial" w:hAnsi="Arial" w:cs="Arial"/>
                <w:sz w:val="20"/>
                <w:szCs w:val="20"/>
              </w:rPr>
              <w:t>punkto</w:t>
            </w:r>
            <w:proofErr w:type="spellEnd"/>
            <w:r w:rsidR="004515A7"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515A7" w:rsidRPr="00573054">
              <w:rPr>
                <w:rFonts w:ascii="Arial" w:hAnsi="Arial" w:cs="Arial"/>
                <w:sz w:val="20"/>
                <w:szCs w:val="20"/>
              </w:rPr>
              <w:t>koregavimo</w:t>
            </w:r>
            <w:proofErr w:type="spellEnd"/>
            <w:r w:rsidR="005642BA" w:rsidRPr="0057305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17A88" w:rsidRPr="00573054">
              <w:rPr>
                <w:rFonts w:ascii="Arial" w:hAnsi="Arial" w:cs="Arial"/>
                <w:sz w:val="20"/>
                <w:szCs w:val="20"/>
              </w:rPr>
              <w:t>//</w:t>
            </w:r>
          </w:p>
          <w:p w14:paraId="319B7447" w14:textId="017747F2" w:rsidR="00315C68" w:rsidRPr="00573054" w:rsidRDefault="005B5133" w:rsidP="1E32909B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1E32909B">
              <w:rPr>
                <w:rFonts w:ascii="Arial" w:hAnsi="Arial" w:cs="Arial"/>
                <w:sz w:val="20"/>
                <w:szCs w:val="20"/>
              </w:rPr>
              <w:t>It is not clear from the question whether the question refers to a</w:t>
            </w:r>
            <w:r w:rsidR="00B00456" w:rsidRPr="1E32909B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Pr="1E32909B">
              <w:rPr>
                <w:rFonts w:ascii="Arial" w:hAnsi="Arial" w:cs="Arial"/>
                <w:sz w:val="20"/>
                <w:szCs w:val="20"/>
              </w:rPr>
              <w:t xml:space="preserve"> performance </w:t>
            </w:r>
            <w:r w:rsidR="00B3058F" w:rsidRPr="1E32909B">
              <w:rPr>
                <w:rFonts w:ascii="Arial" w:hAnsi="Arial" w:cs="Arial"/>
                <w:sz w:val="20"/>
                <w:szCs w:val="20"/>
              </w:rPr>
              <w:t>security</w:t>
            </w:r>
            <w:r w:rsidRPr="1E32909B">
              <w:rPr>
                <w:rFonts w:ascii="Arial" w:hAnsi="Arial" w:cs="Arial"/>
                <w:sz w:val="20"/>
                <w:szCs w:val="20"/>
              </w:rPr>
              <w:t xml:space="preserve"> or a </w:t>
            </w:r>
            <w:r w:rsidR="00CD36EC" w:rsidRPr="1E32909B">
              <w:rPr>
                <w:rFonts w:ascii="Arial" w:hAnsi="Arial" w:cs="Arial"/>
                <w:sz w:val="20"/>
                <w:szCs w:val="20"/>
              </w:rPr>
              <w:t>T</w:t>
            </w:r>
            <w:r w:rsidR="00F25368" w:rsidRPr="1E32909B">
              <w:rPr>
                <w:rFonts w:ascii="Arial" w:hAnsi="Arial" w:cs="Arial"/>
                <w:sz w:val="20"/>
                <w:szCs w:val="20"/>
              </w:rPr>
              <w:t>ender</w:t>
            </w:r>
            <w:r w:rsidRPr="1E32909B">
              <w:rPr>
                <w:rFonts w:ascii="Arial" w:hAnsi="Arial" w:cs="Arial"/>
                <w:sz w:val="20"/>
                <w:szCs w:val="20"/>
              </w:rPr>
              <w:t xml:space="preserve"> validity </w:t>
            </w:r>
            <w:r w:rsidR="00361537" w:rsidRPr="1E32909B">
              <w:rPr>
                <w:rFonts w:ascii="Arial" w:hAnsi="Arial" w:cs="Arial"/>
                <w:sz w:val="20"/>
                <w:szCs w:val="20"/>
              </w:rPr>
              <w:t>security</w:t>
            </w:r>
            <w:r w:rsidRPr="1E32909B">
              <w:rPr>
                <w:rFonts w:ascii="Arial" w:hAnsi="Arial" w:cs="Arial"/>
                <w:sz w:val="20"/>
                <w:szCs w:val="20"/>
              </w:rPr>
              <w:t>.</w:t>
            </w:r>
            <w:r w:rsidR="00DC4532" w:rsidRPr="1E3290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C68" w:rsidRPr="1E32909B">
              <w:rPr>
                <w:rFonts w:ascii="Arial" w:hAnsi="Arial" w:cs="Arial"/>
                <w:sz w:val="20"/>
                <w:szCs w:val="20"/>
              </w:rPr>
              <w:t>However, taking into account that the Procurement Terms and Conditions provide for a fine to ensure the validity of the Tender, and the measure of enforcement of the Contract is a bank guarantee, we conclude that the issue is raised only with regard to the measure of enforcement of the Contract</w:t>
            </w:r>
            <w:r w:rsidRPr="1E32909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05DD6A" w14:textId="6CF5BA2F" w:rsidR="005B5133" w:rsidRPr="00573054" w:rsidRDefault="005B5133" w:rsidP="1E32909B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purpose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performance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B583E" w:rsidRPr="1E32909B">
              <w:rPr>
                <w:rFonts w:ascii="Arial" w:hAnsi="Arial" w:cs="Arial"/>
                <w:sz w:val="20"/>
                <w:szCs w:val="20"/>
                <w:lang w:val="lt-LT"/>
              </w:rPr>
              <w:t>security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is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ensure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performance</w:t>
            </w:r>
            <w:proofErr w:type="spellEnd"/>
            <w:r w:rsidR="00CA53AB"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53AB" w:rsidRPr="1E32909B">
              <w:rPr>
                <w:rFonts w:ascii="Arial" w:hAnsi="Arial" w:cs="Arial"/>
                <w:sz w:val="20"/>
                <w:szCs w:val="20"/>
                <w:lang w:val="lt-LT"/>
              </w:rPr>
              <w:t>and</w:t>
            </w:r>
            <w:proofErr w:type="spellEnd"/>
            <w:r w:rsidR="00CA53AB"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53AB" w:rsidRPr="1E32909B">
              <w:rPr>
                <w:rFonts w:ascii="Arial" w:hAnsi="Arial" w:cs="Arial"/>
                <w:sz w:val="20"/>
                <w:szCs w:val="20"/>
                <w:lang w:val="lt-LT"/>
              </w:rPr>
              <w:t>completion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public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procurement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contract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and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compensate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for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possible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losses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or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part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thereof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resulting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from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improper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performance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contract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.  It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should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noted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that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according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provisions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Article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42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Law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on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Public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Procurement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Republic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lastRenderedPageBreak/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Lithuania (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hereinafter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referred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as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"PPL"),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Contracting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Authority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may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require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that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validity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tenders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guaranteed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is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obliged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require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except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case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low-value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procurement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that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performance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contract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guaranteed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means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performance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security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provided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Article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6.70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Civil</w:t>
            </w:r>
            <w:proofErr w:type="spellEnd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9A6C8E"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83E17"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(</w:t>
            </w:r>
            <w:proofErr w:type="spellStart"/>
            <w:r w:rsidR="00EE0EFC"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hereinafte</w:t>
            </w:r>
            <w:r w:rsidR="00024708"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>r</w:t>
            </w:r>
            <w:proofErr w:type="spellEnd"/>
            <w:r w:rsidR="00024708"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 – CC)</w:t>
            </w:r>
            <w:r w:rsidRPr="1E32909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Pursuant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Article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42(1)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hyperlink r:id="rId13" w:history="1">
              <w:proofErr w:type="spellStart"/>
              <w:r w:rsidRPr="1E32909B">
                <w:rPr>
                  <w:rStyle w:val="Hyperlink"/>
                  <w:rFonts w:ascii="Arial" w:eastAsia="Segoe UI" w:hAnsi="Arial" w:cs="Arial"/>
                  <w:color w:val="273B51"/>
                  <w:sz w:val="20"/>
                  <w:szCs w:val="20"/>
                  <w:lang w:val="lt-LT"/>
                </w:rPr>
                <w:t>Public</w:t>
              </w:r>
              <w:proofErr w:type="spellEnd"/>
              <w:r w:rsidRPr="1E32909B">
                <w:rPr>
                  <w:rStyle w:val="Hyperlink"/>
                  <w:rFonts w:ascii="Arial" w:eastAsia="Segoe UI" w:hAnsi="Arial" w:cs="Arial"/>
                  <w:color w:val="273B51"/>
                  <w:sz w:val="20"/>
                  <w:szCs w:val="20"/>
                  <w:lang w:val="lt-LT"/>
                </w:rPr>
                <w:t xml:space="preserve"> </w:t>
              </w:r>
              <w:proofErr w:type="spellStart"/>
              <w:r w:rsidRPr="1E32909B">
                <w:rPr>
                  <w:rStyle w:val="Hyperlink"/>
                  <w:rFonts w:ascii="Arial" w:eastAsia="Segoe UI" w:hAnsi="Arial" w:cs="Arial"/>
                  <w:color w:val="273B51"/>
                  <w:sz w:val="20"/>
                  <w:szCs w:val="20"/>
                  <w:lang w:val="lt-LT"/>
                </w:rPr>
                <w:t>Procurement</w:t>
              </w:r>
              <w:proofErr w:type="spellEnd"/>
              <w:r w:rsidRPr="1E32909B">
                <w:rPr>
                  <w:rStyle w:val="Hyperlink"/>
                  <w:rFonts w:ascii="Arial" w:eastAsia="Segoe UI" w:hAnsi="Arial" w:cs="Arial"/>
                  <w:color w:val="273B51"/>
                  <w:sz w:val="20"/>
                  <w:szCs w:val="20"/>
                  <w:lang w:val="lt-LT"/>
                </w:rPr>
                <w:t xml:space="preserve"> </w:t>
              </w:r>
              <w:proofErr w:type="spellStart"/>
              <w:r w:rsidRPr="1E32909B">
                <w:rPr>
                  <w:rStyle w:val="Hyperlink"/>
                  <w:rFonts w:ascii="Arial" w:eastAsia="Segoe UI" w:hAnsi="Arial" w:cs="Arial"/>
                  <w:color w:val="273B51"/>
                  <w:sz w:val="20"/>
                  <w:szCs w:val="20"/>
                  <w:lang w:val="lt-LT"/>
                </w:rPr>
                <w:t>Law</w:t>
              </w:r>
              <w:proofErr w:type="spellEnd"/>
            </w:hyperlink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validity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tenders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performance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contract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may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secured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other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forms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security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provided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Article</w:t>
            </w:r>
            <w:proofErr w:type="spellEnd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 6.70 </w:t>
            </w:r>
            <w:proofErr w:type="spellStart"/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="003E2287" w:rsidRPr="1E32909B">
              <w:rPr>
                <w:lang w:val="lt-LT"/>
              </w:rPr>
              <w:t xml:space="preserve"> </w:t>
            </w:r>
            <w:proofErr w:type="spellStart"/>
            <w:r w:rsidR="003E2287"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="003E2287"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CC</w:t>
            </w:r>
            <w:r w:rsidRPr="1E32909B">
              <w:rPr>
                <w:rFonts w:ascii="Arial" w:eastAsia="Segoe UI" w:hAnsi="Arial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such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as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: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liquidated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damages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which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may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be a fine (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fixed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amount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or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default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interest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expressed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as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percentage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relevant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value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), a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surety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, a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guarantee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e.g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. a bank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guarantee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).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Other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methods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not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listed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in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CC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may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also be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used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such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as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surety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insurance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security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withholding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part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payment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, etc.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However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as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Public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Procurement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Office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points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out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obligation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under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PP</w:t>
            </w:r>
            <w:r w:rsidR="006E4A2C" w:rsidRPr="1E32909B">
              <w:rPr>
                <w:rFonts w:ascii="Arial" w:hAnsi="Arial" w:cs="Arial"/>
                <w:sz w:val="20"/>
                <w:szCs w:val="20"/>
                <w:lang w:val="lt-LT"/>
              </w:rPr>
              <w:t>L</w:t>
            </w:r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require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performance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security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does</w:t>
            </w:r>
            <w:proofErr w:type="spellEnd"/>
            <w:r w:rsidRPr="1E32909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not</w:t>
            </w:r>
            <w:proofErr w:type="spellEnd"/>
            <w:r w:rsidRPr="1E32909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imply</w:t>
            </w:r>
            <w:proofErr w:type="spellEnd"/>
            <w:r w:rsidRPr="1E32909B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that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"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procuring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entity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must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in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all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cases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require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supplier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to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provide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a bank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guarantee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or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surety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insurance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issued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by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an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insurance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company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for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a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certain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>amount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  <w:t xml:space="preserve">. </w:t>
            </w:r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&lt;...&gt; It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should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noted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that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it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is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up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contracting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authority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decide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which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requirements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relating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performance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security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set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out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in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contract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conditions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contracting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authority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may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decide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after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assessing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subject-matter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contract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risks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involved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and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other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aspects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that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its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interests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are best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served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by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a bank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guarantee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rather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than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surety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bond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issued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by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an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insurance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company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and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therefore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request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only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a bank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guarantee</w:t>
            </w:r>
            <w:proofErr w:type="spellEnd"/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 xml:space="preserve"> </m:t>
                  </m:r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p>
              </m:sSup>
            </m:oMath>
            <w:r w:rsidR="00B8736C" w:rsidRPr="1E32909B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  <w:p w14:paraId="5B517775" w14:textId="7624164A" w:rsidR="005B5133" w:rsidRPr="00573054" w:rsidRDefault="005B5133" w:rsidP="1E32909B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u w:val="single"/>
                <w:lang w:val="lt-LT"/>
              </w:rPr>
            </w:pP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lastRenderedPageBreak/>
              <w:t>In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this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case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r w:rsidR="00D93A24" w:rsidRPr="1E32909B">
              <w:rPr>
                <w:rFonts w:ascii="Arial" w:hAnsi="Arial" w:cs="Arial"/>
                <w:sz w:val="20"/>
                <w:szCs w:val="20"/>
                <w:lang w:val="lt-LT"/>
              </w:rPr>
              <w:t>KC</w:t>
            </w:r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having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assessed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importance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subject-matter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Procurement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determined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that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a bank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guarantee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would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best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way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safeguard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interests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Contracting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Authority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However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r w:rsidR="002905C6" w:rsidRPr="1E32909B">
              <w:rPr>
                <w:rFonts w:ascii="Arial" w:hAnsi="Arial" w:cs="Arial"/>
                <w:sz w:val="20"/>
                <w:szCs w:val="20"/>
                <w:lang w:val="lt-LT"/>
              </w:rPr>
              <w:t>KC</w:t>
            </w:r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also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points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out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that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point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3.3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Special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Part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5F53" w:rsidRPr="1E32909B">
              <w:rPr>
                <w:rFonts w:ascii="Arial" w:hAnsi="Arial" w:cs="Arial"/>
                <w:sz w:val="20"/>
                <w:szCs w:val="20"/>
                <w:lang w:val="lt-LT"/>
              </w:rPr>
              <w:t>Procurement</w:t>
            </w:r>
            <w:proofErr w:type="spellEnd"/>
            <w:r w:rsidR="003B5F53"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Conditions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for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1923FC"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a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negotiated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444872" w:rsidRPr="1E32909B">
              <w:rPr>
                <w:rFonts w:ascii="Arial" w:hAnsi="Arial" w:cs="Arial"/>
                <w:sz w:val="20"/>
                <w:szCs w:val="20"/>
                <w:lang w:val="lt-LT"/>
              </w:rPr>
              <w:t>procedure</w:t>
            </w:r>
            <w:proofErr w:type="spellEnd"/>
            <w:r w:rsidR="00C53BF1"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3BF1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with</w:t>
            </w:r>
            <w:proofErr w:type="spellEnd"/>
            <w:r w:rsidR="00C53BF1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3BF1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publication</w:t>
            </w:r>
            <w:proofErr w:type="spellEnd"/>
            <w:r w:rsidR="00C53BF1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3BF1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="00C53BF1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a </w:t>
            </w:r>
            <w:proofErr w:type="spellStart"/>
            <w:r w:rsidR="00C53BF1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contract</w:t>
            </w:r>
            <w:proofErr w:type="spellEnd"/>
            <w:r w:rsidR="00C53BF1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53BF1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notice</w:t>
            </w:r>
            <w:proofErr w:type="spellEnd"/>
            <w:r w:rsidR="000C5728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(SP)</w:t>
            </w:r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states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that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Chapter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6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Special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Conditions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Contract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which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includes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Special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Conditions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Contract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referred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in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questionnaire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under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point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6.1.2,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is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subject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negotiation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Therefore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if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necessary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an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adjustment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Clause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6.1.2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Specific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Conditions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Contract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could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considered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during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negotiation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phase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procurement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>procedure</w:t>
            </w:r>
            <w:proofErr w:type="spellEnd"/>
            <w:r w:rsidRPr="1E32909B">
              <w:rPr>
                <w:rFonts w:ascii="Arial" w:hAnsi="Arial" w:cs="Arial"/>
                <w:sz w:val="20"/>
                <w:szCs w:val="20"/>
                <w:lang w:val="lt-LT"/>
              </w:rPr>
              <w:t xml:space="preserve">. </w:t>
            </w:r>
          </w:p>
          <w:p w14:paraId="264735EB" w14:textId="126DFC2A" w:rsidR="0087623F" w:rsidRPr="00573054" w:rsidRDefault="00490457" w:rsidP="00A94CBA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30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7253E" w:rsidRPr="00F60380" w14:paraId="359ECDB2" w14:textId="77777777" w:rsidTr="1E32909B">
        <w:trPr>
          <w:trHeight w:val="283"/>
        </w:trPr>
        <w:tc>
          <w:tcPr>
            <w:tcW w:w="624" w:type="dxa"/>
            <w:shd w:val="clear" w:color="auto" w:fill="auto"/>
            <w:vAlign w:val="center"/>
          </w:tcPr>
          <w:p w14:paraId="44DF040B" w14:textId="77777777" w:rsidR="0087623F" w:rsidRPr="00F60380" w:rsidRDefault="0087623F" w:rsidP="00A94CB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14:paraId="3AAB067E" w14:textId="2302F91C" w:rsidR="0087623F" w:rsidRPr="00415FF4" w:rsidRDefault="00ED096F" w:rsidP="00A94CB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2025-03-</w:t>
            </w:r>
            <w:r w:rsidR="008C3EBC">
              <w:rPr>
                <w:rFonts w:ascii="Arial" w:hAnsi="Arial" w:cs="Arial"/>
                <w:sz w:val="20"/>
                <w:szCs w:val="20"/>
                <w:lang w:val="lt-LT"/>
              </w:rPr>
              <w:t>31</w:t>
            </w:r>
          </w:p>
        </w:tc>
        <w:tc>
          <w:tcPr>
            <w:tcW w:w="1629" w:type="dxa"/>
            <w:vAlign w:val="center"/>
          </w:tcPr>
          <w:p w14:paraId="4E24EA36" w14:textId="57A53638" w:rsidR="0087623F" w:rsidRPr="00415FF4" w:rsidRDefault="0041125F" w:rsidP="00A94CB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SD </w:t>
            </w:r>
            <w:r w:rsidR="0047253E" w:rsidRPr="00415FF4">
              <w:rPr>
                <w:rFonts w:ascii="Arial" w:hAnsi="Arial" w:cs="Arial"/>
                <w:sz w:val="20"/>
                <w:szCs w:val="20"/>
                <w:lang w:val="lt-LT"/>
              </w:rPr>
              <w:t>Priedas Nr. 6 -</w:t>
            </w:r>
            <w:r w:rsidR="00ED096F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47253E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Sutartis Specialiosios sąlygos // </w:t>
            </w:r>
            <w:proofErr w:type="spellStart"/>
            <w:r w:rsidR="00592B62" w:rsidRPr="00415FF4">
              <w:rPr>
                <w:rFonts w:ascii="Arial" w:hAnsi="Arial" w:cs="Arial"/>
                <w:sz w:val="20"/>
                <w:szCs w:val="20"/>
                <w:lang w:val="lt-LT"/>
              </w:rPr>
              <w:t>Annex</w:t>
            </w:r>
            <w:proofErr w:type="spellEnd"/>
            <w:r w:rsidR="00592B62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92B62" w:rsidRPr="00415FF4">
              <w:rPr>
                <w:rFonts w:ascii="Arial" w:hAnsi="Arial" w:cs="Arial"/>
                <w:sz w:val="20"/>
                <w:szCs w:val="20"/>
                <w:lang w:val="lt-LT"/>
              </w:rPr>
              <w:t>No</w:t>
            </w:r>
            <w:proofErr w:type="spellEnd"/>
            <w:r w:rsidR="00592B62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. 6 – </w:t>
            </w:r>
            <w:proofErr w:type="spellStart"/>
            <w:r w:rsidR="00592B62" w:rsidRPr="00415FF4">
              <w:rPr>
                <w:rFonts w:ascii="Arial" w:hAnsi="Arial" w:cs="Arial"/>
                <w:sz w:val="20"/>
                <w:szCs w:val="20"/>
                <w:lang w:val="lt-LT"/>
              </w:rPr>
              <w:t>Contract</w:t>
            </w:r>
            <w:proofErr w:type="spellEnd"/>
            <w:r w:rsidR="00592B62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92B62" w:rsidRPr="00415FF4">
              <w:rPr>
                <w:rFonts w:ascii="Arial" w:hAnsi="Arial" w:cs="Arial"/>
                <w:sz w:val="20"/>
                <w:szCs w:val="20"/>
                <w:lang w:val="lt-LT"/>
              </w:rPr>
              <w:t>Special</w:t>
            </w:r>
            <w:proofErr w:type="spellEnd"/>
            <w:r w:rsidR="00592B62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92B62" w:rsidRPr="00415FF4">
              <w:rPr>
                <w:rFonts w:ascii="Arial" w:hAnsi="Arial" w:cs="Arial"/>
                <w:sz w:val="20"/>
                <w:szCs w:val="20"/>
                <w:lang w:val="lt-LT"/>
              </w:rPr>
              <w:t>Conditions</w:t>
            </w:r>
            <w:proofErr w:type="spellEnd"/>
            <w:r w:rsidR="00592B62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(SC)</w:t>
            </w:r>
          </w:p>
        </w:tc>
        <w:tc>
          <w:tcPr>
            <w:tcW w:w="1645" w:type="dxa"/>
            <w:vAlign w:val="center"/>
          </w:tcPr>
          <w:p w14:paraId="7939FCAB" w14:textId="46DBCC20" w:rsidR="0087623F" w:rsidRPr="00415FF4" w:rsidRDefault="003D672C" w:rsidP="00A94CB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6.1.2. // 6.1.2.</w:t>
            </w:r>
          </w:p>
        </w:tc>
        <w:tc>
          <w:tcPr>
            <w:tcW w:w="5160" w:type="dxa"/>
            <w:shd w:val="clear" w:color="auto" w:fill="auto"/>
          </w:tcPr>
          <w:p w14:paraId="4E5BD112" w14:textId="77777777" w:rsidR="0087623F" w:rsidRPr="00415FF4" w:rsidRDefault="002C0D2B" w:rsidP="00A94C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20"/>
                <w:szCs w:val="20"/>
                <w:lang w:val="lt-LT" w:eastAsia="lt-LT"/>
              </w:rPr>
            </w:pPr>
            <w:r w:rsidRPr="00415FF4">
              <w:rPr>
                <w:rFonts w:ascii="Arial" w:eastAsia="Times New Roman" w:hAnsi="Arial" w:cs="Arial"/>
                <w:i/>
                <w:iCs/>
                <w:sz w:val="20"/>
                <w:szCs w:val="20"/>
                <w:lang w:val="lt-LT" w:eastAsia="lt-LT"/>
              </w:rPr>
              <w:t>Jeigu konkurse dalyvaujama Jungtinės veiklos pagrindu, ar sutarties įvykdymo užtikrinimo suma gali būti proporcingai išdalinta kiekvienam JVS nariui ir pateikiamos dvi banko garantijos? //</w:t>
            </w:r>
          </w:p>
          <w:p w14:paraId="409F3145" w14:textId="284C4EF6" w:rsidR="002C0D2B" w:rsidRPr="00415FF4" w:rsidRDefault="00396D69" w:rsidP="00A94CBA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val="lt-LT" w:eastAsia="lt-LT"/>
              </w:rPr>
            </w:pPr>
            <w:r w:rsidRPr="00415FF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If the tender is awarded on the basis of a Joint </w:t>
            </w:r>
            <w:r w:rsidR="00551D15" w:rsidRPr="00415FF4">
              <w:t xml:space="preserve"> </w:t>
            </w:r>
            <w:r w:rsidR="00551D15" w:rsidRPr="00415FF4">
              <w:rPr>
                <w:rFonts w:ascii="Arial" w:eastAsia="Times New Roman" w:hAnsi="Arial" w:cs="Arial"/>
                <w:i/>
                <w:sz w:val="20"/>
                <w:szCs w:val="20"/>
              </w:rPr>
              <w:t>Venture Agreement</w:t>
            </w:r>
            <w:r w:rsidRPr="00415FF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, can the amount of the </w:t>
            </w:r>
            <w:r w:rsidR="00AD4536" w:rsidRPr="00415FF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Contract </w:t>
            </w:r>
            <w:r w:rsidRPr="00415FF4">
              <w:rPr>
                <w:rFonts w:ascii="Arial" w:eastAsia="Times New Roman" w:hAnsi="Arial" w:cs="Arial"/>
                <w:i/>
                <w:sz w:val="20"/>
                <w:szCs w:val="20"/>
              </w:rPr>
              <w:t>performance security be apportioned to each member of the J</w:t>
            </w:r>
            <w:r w:rsidR="00BF2259" w:rsidRPr="00415FF4">
              <w:rPr>
                <w:rFonts w:ascii="Arial" w:eastAsia="Times New Roman" w:hAnsi="Arial" w:cs="Arial"/>
                <w:i/>
                <w:sz w:val="20"/>
                <w:szCs w:val="20"/>
              </w:rPr>
              <w:t>VA</w:t>
            </w:r>
            <w:r w:rsidRPr="00415FF4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and two bank guarantees be provided?</w:t>
            </w:r>
          </w:p>
        </w:tc>
        <w:tc>
          <w:tcPr>
            <w:tcW w:w="4701" w:type="dxa"/>
          </w:tcPr>
          <w:p w14:paraId="05544703" w14:textId="0B77ABFC" w:rsidR="003A679B" w:rsidRPr="00415FF4" w:rsidRDefault="00F064A0" w:rsidP="00A94CB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</w:pPr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KC pažymi, jog Tiekėjo teikiamas </w:t>
            </w:r>
            <w:r w:rsidR="00E34EA4" w:rsidRPr="00415FF4">
              <w:rPr>
                <w:rFonts w:ascii="Arial" w:hAnsi="Arial" w:cs="Arial"/>
                <w:sz w:val="20"/>
                <w:szCs w:val="20"/>
                <w:lang w:val="lt-LT"/>
              </w:rPr>
              <w:t>S</w:t>
            </w:r>
            <w:r w:rsidR="00BF4583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utarties įvykdymo užtikrinimas turi atitikti Pirkimo sąlygose keliamus reikalavimus. </w:t>
            </w:r>
            <w:r w:rsidR="004B1042" w:rsidRPr="00415FF4">
              <w:rPr>
                <w:rFonts w:ascii="Arial" w:hAnsi="Arial" w:cs="Arial"/>
                <w:sz w:val="20"/>
                <w:szCs w:val="20"/>
                <w:lang w:val="lt-LT"/>
              </w:rPr>
              <w:t>Sutarties įvykdymo užtikrinimui keliami reikalavimai yra nustatyti Sutarties Specialiųjų sąlygų 6-oje dalyje “S</w:t>
            </w:r>
            <w:r w:rsidR="004B1042" w:rsidRPr="1E32909B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utarties įvykdymo užtikrinimas</w:t>
            </w:r>
            <w:r w:rsidR="004B1042" w:rsidRPr="00415FF4">
              <w:rPr>
                <w:rFonts w:ascii="Arial" w:hAnsi="Arial" w:cs="Arial"/>
                <w:sz w:val="20"/>
                <w:szCs w:val="20"/>
                <w:lang w:val="lt-LT"/>
              </w:rPr>
              <w:t>“.</w:t>
            </w:r>
            <w:r w:rsidR="007E7473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Atkreiptinas dėmesys, jog </w:t>
            </w:r>
            <w:r w:rsidR="003D6A35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Sutarties Specialiųjų sąlygų 6-oje dalyje nėra </w:t>
            </w:r>
            <w:r w:rsidR="00FC25BB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nustatytos </w:t>
            </w:r>
            <w:r w:rsidR="00BE1A5C" w:rsidRPr="00415FF4">
              <w:rPr>
                <w:rFonts w:ascii="Arial" w:hAnsi="Arial" w:cs="Arial"/>
                <w:sz w:val="20"/>
                <w:szCs w:val="20"/>
                <w:lang w:val="lt-LT"/>
              </w:rPr>
              <w:t>imperatyvi</w:t>
            </w:r>
            <w:r w:rsidR="00FC25BB" w:rsidRPr="00415FF4">
              <w:rPr>
                <w:rFonts w:ascii="Arial" w:hAnsi="Arial" w:cs="Arial"/>
                <w:sz w:val="20"/>
                <w:szCs w:val="20"/>
                <w:lang w:val="lt-LT"/>
              </w:rPr>
              <w:t>os pareigos</w:t>
            </w:r>
            <w:r w:rsidR="00BE1A5C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3D3675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kiekvienam </w:t>
            </w:r>
            <w:r w:rsidR="008E6A59" w:rsidRPr="00415FF4">
              <w:rPr>
                <w:rFonts w:ascii="Arial" w:hAnsi="Arial" w:cs="Arial"/>
                <w:sz w:val="20"/>
                <w:szCs w:val="20"/>
                <w:lang w:val="lt-LT"/>
              </w:rPr>
              <w:t>Jungtinės veiklos nariui teikti atskir</w:t>
            </w:r>
            <w:r w:rsidR="00FB3C9F" w:rsidRPr="00415FF4">
              <w:rPr>
                <w:rFonts w:ascii="Arial" w:hAnsi="Arial" w:cs="Arial"/>
                <w:sz w:val="20"/>
                <w:szCs w:val="20"/>
                <w:lang w:val="lt-LT"/>
              </w:rPr>
              <w:t>ą Sutarties įvykdymo užtikrinimą</w:t>
            </w:r>
            <w:r w:rsidR="00DA3506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proporcingai pagal prisiimtus įsipareigojimus</w:t>
            </w:r>
            <w:r w:rsidR="009B5212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tuo atveju, kai </w:t>
            </w:r>
            <w:r w:rsidR="00863184" w:rsidRPr="00415FF4">
              <w:rPr>
                <w:rFonts w:ascii="Arial" w:hAnsi="Arial" w:cs="Arial"/>
                <w:sz w:val="20"/>
                <w:szCs w:val="20"/>
                <w:lang w:val="lt-LT"/>
              </w:rPr>
              <w:t>Pasiūlymas teikiamas Jungtinės veiklos sutarties</w:t>
            </w:r>
            <w:r w:rsidR="00C9365E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(toliau – JVS)</w:t>
            </w:r>
            <w:r w:rsidR="00863184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11176C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narių vardu. </w:t>
            </w:r>
            <w:r w:rsidR="00B16639" w:rsidRPr="00415FF4">
              <w:rPr>
                <w:rFonts w:ascii="Arial" w:hAnsi="Arial" w:cs="Arial"/>
                <w:sz w:val="20"/>
                <w:szCs w:val="20"/>
                <w:lang w:val="lt-LT"/>
              </w:rPr>
              <w:t>P</w:t>
            </w:r>
            <w:r w:rsidR="00C01FAC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agal </w:t>
            </w:r>
            <w:r w:rsidR="00B71353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SD </w:t>
            </w:r>
            <w:r w:rsidR="005C5D81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Priedo Nr. 1. - Bendrųjų nuostatų aprašo (BNA) </w:t>
            </w:r>
            <w:r w:rsidR="005802B3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–</w:t>
            </w:r>
            <w:r w:rsidR="005C5D81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802B3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56 punkto b) papunktį </w:t>
            </w:r>
            <w:r w:rsidR="00987CD6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viena iš privalomų J</w:t>
            </w:r>
            <w:r w:rsidR="00D246B5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VS</w:t>
            </w:r>
            <w:r w:rsidR="00987CD6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nuostatų yra sąlyga</w:t>
            </w:r>
            <w:r w:rsidR="0092378E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,</w:t>
            </w:r>
            <w:r w:rsidR="00987CD6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2378E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n</w:t>
            </w:r>
            <w:r w:rsidR="00987CD6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umat</w:t>
            </w:r>
            <w:r w:rsidR="0092378E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anti</w:t>
            </w:r>
            <w:r w:rsidR="00987CD6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solidar</w:t>
            </w:r>
            <w:r w:rsidR="0092378E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ią</w:t>
            </w:r>
            <w:r w:rsidR="00987CD6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visų JVS narių atsakomyb</w:t>
            </w:r>
            <w:r w:rsidR="00C84BCF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ę</w:t>
            </w:r>
            <w:r w:rsidR="00987CD6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už sutartinių įsipareigojimų neįvykdymą arba </w:t>
            </w:r>
            <w:r w:rsidR="00987CD6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lastRenderedPageBreak/>
              <w:t>netinkamą įvykdymą</w:t>
            </w:r>
            <w:r w:rsidR="08AE4539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75E27CB3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Remiantis</w:t>
            </w:r>
            <w:r w:rsidR="7923CE01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ak</w:t>
            </w:r>
            <w:r w:rsidR="00DE0CB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7923CE01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ualia</w:t>
            </w:r>
            <w:r w:rsidR="75E27CB3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teismų praktika</w:t>
            </w:r>
            <w:r w:rsidR="626A2EA4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r w:rsidR="45843267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nei VPĮ, nei CK nenumato imperatyvaus draudimo tiekėjui</w:t>
            </w:r>
            <w:r w:rsidR="7AE77533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net</w:t>
            </w:r>
            <w:r w:rsidR="45843267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pasitelkti trečiąjį asmenį perkančiajai organizacijai pateikiant sutarties įvykdymo užtikrinimą. </w:t>
            </w:r>
            <w:r w:rsidR="2AE7B205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Byloje buvo </w:t>
            </w:r>
            <w:r w:rsidR="4713D1F5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akcentuota dėl pirkimo sąlygų viršenybės ir sutarties įvykdymo užtikrinimo</w:t>
            </w:r>
            <w:r w:rsidR="4F499915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93FC637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tikslo</w:t>
            </w:r>
            <w:r w:rsidR="4F499915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,</w:t>
            </w:r>
            <w:r w:rsidR="2AE7B205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r w:rsidR="004500AD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jog</w:t>
            </w:r>
            <w:r w:rsidR="2AE7B205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“</w:t>
            </w:r>
            <w:r w:rsidR="004500AD" w:rsidRPr="00821B8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lt-LT"/>
              </w:rPr>
              <w:t>v</w:t>
            </w:r>
            <w:r w:rsidR="45843267" w:rsidRPr="00821B8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lt-LT"/>
              </w:rPr>
              <w:t>ien tai, kad sutar</w:t>
            </w:r>
            <w:r w:rsidR="25225422" w:rsidRPr="00821B8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ties sąlygose </w:t>
            </w:r>
            <w:r w:rsidR="45843267" w:rsidRPr="00821B8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lt-LT"/>
              </w:rPr>
              <w:t>nurodyta, jog sutarčių užtikrinimą privalo pateikti tiekėjas, neleidžia teigti, kad tokia nuostata įtvirtintas aiškus draudimas trečiajam asmeniui sumokėti užstatą už tiekėją remiantis bendrosiomis CK įtvirtintomis teisės normomis.</w:t>
            </w:r>
            <w:r w:rsidR="45843267" w:rsidRPr="00821B8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 Tokiu atveju svarbu atsižvelgti į tai, ar tiekėjui pasitelkus trečiąjį asmenį </w:t>
            </w:r>
            <w:r w:rsidR="45843267" w:rsidRPr="00821B8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lt-LT"/>
              </w:rPr>
              <w:t>sutarčių įvykdymo užtikrinimui pateikti, bus pasiektas šio instituto tikslas – užtikrinti tinkamą pirkimo sutarčių įvykdymą bei kompensuoti perkančiosios organizacijos patirtus nuostolius, atsiradusius dėl netinkamo pirkimo sutarčių įvykdymo ar jos neįvykdymo, ar nebus kliūčių perkančiajai organizacijai pasinaudoti užtikrinimo priemone</w:t>
            </w:r>
            <w:r w:rsidR="45843267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51BFF70F" w:rsidRPr="00415FF4">
              <w:rPr>
                <w:rStyle w:val="FootnoteReference"/>
                <w:rFonts w:ascii="Arial" w:hAnsi="Arial" w:cs="Arial"/>
                <w:color w:val="000000" w:themeColor="text1"/>
                <w:sz w:val="20"/>
                <w:szCs w:val="20"/>
              </w:rPr>
              <w:footnoteReference w:id="3"/>
            </w:r>
            <w:r w:rsidR="003A679B" w:rsidRPr="00415FF4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D8D4226" w14:textId="49594E23" w:rsidR="0087623F" w:rsidRPr="00415FF4" w:rsidRDefault="00E06E4C" w:rsidP="53969DDC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</w:pPr>
            <w:r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Taigi </w:t>
            </w:r>
            <w:r w:rsidR="0028787C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JVS atveju </w:t>
            </w:r>
            <w:r w:rsidR="00412A24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Sutarties įvykdymo užtikrinimas gali būti</w:t>
            </w:r>
            <w:r w:rsidR="00785947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išduotas ir vieno </w:t>
            </w:r>
            <w:r w:rsidR="006762EB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JVS nario </w:t>
            </w:r>
            <w:r w:rsidR="00852F31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vardu, tačiau privalo atitikti </w:t>
            </w:r>
            <w:r w:rsidR="0091727C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Sutarties įvykdymo užtikrinimui keliamus reikalavimus</w:t>
            </w:r>
            <w:r w:rsidR="24EBAF88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, numatytus Pirkimo sąlygose (sutartyje)</w:t>
            </w:r>
            <w:r w:rsidR="0091727C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ir</w:t>
            </w:r>
            <w:r w:rsidR="00A11E3F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tokiu būdu</w:t>
            </w:r>
            <w:r w:rsidR="0091727C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tinkamai užtikrinti Sutarties vykdymą</w:t>
            </w:r>
            <w:r w:rsidR="00322C28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6247CA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549C2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Kilus nea</w:t>
            </w:r>
            <w:r w:rsidR="001744E5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iškum</w:t>
            </w:r>
            <w:r w:rsidR="00D06BA9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ams ir esant poreikiui, </w:t>
            </w:r>
            <w:r w:rsidR="00DB45A2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KC turi teisę kreiptis </w:t>
            </w:r>
            <w:r w:rsidR="00D06BA9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su prašymu patikslinti, ar JVS nario prisiimama prievolė apimtų </w:t>
            </w:r>
            <w:r w:rsidR="00D06BA9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lastRenderedPageBreak/>
              <w:t>ir kitų subjektų, veikiančių jungtinėje veikloje, veiksmus.</w:t>
            </w:r>
            <w:r w:rsidR="004E0579" w:rsidRPr="1E32909B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//</w:t>
            </w:r>
          </w:p>
          <w:p w14:paraId="3886224A" w14:textId="0997CBC8" w:rsidR="00F12977" w:rsidRPr="00821B85" w:rsidRDefault="00F12977" w:rsidP="00AD477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</w:pP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383666" w:rsidRPr="00415FF4">
              <w:rPr>
                <w:rFonts w:ascii="Arial" w:hAnsi="Arial" w:cs="Arial"/>
                <w:sz w:val="20"/>
                <w:szCs w:val="20"/>
                <w:lang w:val="lt-LT"/>
              </w:rPr>
              <w:t>KC</w:t>
            </w:r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notes</w:t>
            </w:r>
            <w:proofErr w:type="spellEnd"/>
            <w:r w:rsidR="00383666" w:rsidRPr="00415FF4">
              <w:rPr>
                <w:rFonts w:ascii="Arial" w:hAnsi="Arial" w:cs="Arial"/>
                <w:sz w:val="20"/>
                <w:szCs w:val="20"/>
                <w:lang w:val="lt-LT"/>
              </w:rPr>
              <w:t>,</w:t>
            </w:r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that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90F45" w:rsidRPr="00415FF4">
              <w:rPr>
                <w:rFonts w:ascii="Arial" w:hAnsi="Arial" w:cs="Arial"/>
                <w:sz w:val="20"/>
                <w:szCs w:val="20"/>
                <w:lang w:val="lt-LT"/>
              </w:rPr>
              <w:t>Contract</w:t>
            </w:r>
            <w:proofErr w:type="spellEnd"/>
            <w:r w:rsidR="00690F45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performance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security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to be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provided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by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Supplier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must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comply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with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requirements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set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out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in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P</w:t>
            </w:r>
            <w:r w:rsidR="00524C70" w:rsidRPr="00415FF4">
              <w:rPr>
                <w:rFonts w:ascii="Arial" w:hAnsi="Arial" w:cs="Arial"/>
                <w:sz w:val="20"/>
                <w:szCs w:val="20"/>
                <w:lang w:val="lt-LT"/>
              </w:rPr>
              <w:t>rocurement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Conditions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requirements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for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24C70" w:rsidRPr="00415FF4">
              <w:rPr>
                <w:rFonts w:ascii="Arial" w:hAnsi="Arial" w:cs="Arial"/>
                <w:sz w:val="20"/>
                <w:szCs w:val="20"/>
                <w:lang w:val="lt-LT"/>
              </w:rPr>
              <w:t>Contract</w:t>
            </w:r>
            <w:proofErr w:type="spellEnd"/>
            <w:r w:rsidR="00524C70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performance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security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are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set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out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in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Part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6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Special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Conditions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Contract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'</w:t>
            </w:r>
            <w:proofErr w:type="spellStart"/>
            <w:r w:rsidR="00121D1F" w:rsidRPr="00415FF4">
              <w:rPr>
                <w:rFonts w:ascii="Arial" w:hAnsi="Arial" w:cs="Arial"/>
                <w:sz w:val="20"/>
                <w:szCs w:val="20"/>
                <w:lang w:val="lt-LT"/>
              </w:rPr>
              <w:t>Contract</w:t>
            </w:r>
            <w:proofErr w:type="spellEnd"/>
            <w:r w:rsidR="00121D1F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Performance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Security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'. It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should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noted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that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Paragraph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6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Special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Conditions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Contract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does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not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impose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mandatory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obligation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on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each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member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Joint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26217" w:rsidRPr="00415FF4">
              <w:rPr>
                <w:rFonts w:ascii="Arial" w:hAnsi="Arial" w:cs="Arial"/>
                <w:sz w:val="20"/>
                <w:szCs w:val="20"/>
                <w:lang w:val="lt-LT"/>
              </w:rPr>
              <w:t>Venture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provide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separate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Performance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Security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in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proportion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obligations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undertaken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in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event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that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E7893" w:rsidRPr="00415FF4">
              <w:rPr>
                <w:rFonts w:ascii="Arial" w:hAnsi="Arial" w:cs="Arial"/>
                <w:sz w:val="20"/>
                <w:szCs w:val="20"/>
                <w:lang w:val="lt-LT"/>
              </w:rPr>
              <w:t>Tender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is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submitted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on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behalf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members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Joint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366AB" w:rsidRPr="00415FF4">
              <w:rPr>
                <w:rFonts w:ascii="Arial" w:hAnsi="Arial" w:cs="Arial"/>
                <w:sz w:val="20"/>
                <w:szCs w:val="20"/>
                <w:lang w:val="lt-LT"/>
              </w:rPr>
              <w:t>Venture</w:t>
            </w:r>
            <w:proofErr w:type="spellEnd"/>
            <w:r w:rsidR="005366AB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366AB" w:rsidRPr="00415FF4">
              <w:rPr>
                <w:rFonts w:ascii="Arial" w:hAnsi="Arial" w:cs="Arial"/>
                <w:sz w:val="20"/>
                <w:szCs w:val="20"/>
                <w:lang w:val="lt-LT"/>
              </w:rPr>
              <w:t>Agreement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(</w:t>
            </w:r>
            <w:proofErr w:type="spellStart"/>
            <w:r w:rsidR="008F2793" w:rsidRPr="00415FF4">
              <w:rPr>
                <w:rFonts w:ascii="Arial" w:hAnsi="Arial" w:cs="Arial"/>
                <w:sz w:val="20"/>
                <w:szCs w:val="20"/>
                <w:lang w:val="lt-LT"/>
              </w:rPr>
              <w:t>hereinafter</w:t>
            </w:r>
            <w:proofErr w:type="spellEnd"/>
            <w:r w:rsidR="008F2793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- </w:t>
            </w:r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J</w:t>
            </w:r>
            <w:r w:rsidR="005366AB" w:rsidRPr="00415FF4">
              <w:rPr>
                <w:rFonts w:ascii="Arial" w:hAnsi="Arial" w:cs="Arial"/>
                <w:sz w:val="20"/>
                <w:szCs w:val="20"/>
                <w:lang w:val="lt-LT"/>
              </w:rPr>
              <w:t>VA</w:t>
            </w:r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).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According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point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56(b)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9407E" w:rsidRPr="00415FF4">
              <w:rPr>
                <w:rFonts w:ascii="Arial" w:hAnsi="Arial" w:cs="Arial"/>
                <w:sz w:val="20"/>
                <w:szCs w:val="20"/>
                <w:lang w:val="lt-LT"/>
              </w:rPr>
              <w:t>Annex</w:t>
            </w:r>
            <w:proofErr w:type="spellEnd"/>
            <w:r w:rsidR="00C9407E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9407E" w:rsidRPr="00415FF4">
              <w:rPr>
                <w:rFonts w:ascii="Arial" w:hAnsi="Arial" w:cs="Arial"/>
                <w:sz w:val="20"/>
                <w:szCs w:val="20"/>
                <w:lang w:val="lt-LT"/>
              </w:rPr>
              <w:t>No</w:t>
            </w:r>
            <w:proofErr w:type="spellEnd"/>
            <w:r w:rsidR="00C9407E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. 1 -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1A74E7" w:rsidRPr="00415FF4">
              <w:rPr>
                <w:rFonts w:ascii="Arial" w:hAnsi="Arial" w:cs="Arial"/>
                <w:sz w:val="20"/>
                <w:szCs w:val="20"/>
                <w:lang w:val="lt-LT"/>
              </w:rPr>
              <w:t>Description</w:t>
            </w:r>
            <w:proofErr w:type="spellEnd"/>
            <w:r w:rsidR="001A74E7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1A74E7" w:rsidRPr="00415FF4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="001A74E7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General </w:t>
            </w:r>
            <w:proofErr w:type="spellStart"/>
            <w:r w:rsidR="001A74E7" w:rsidRPr="00415FF4">
              <w:rPr>
                <w:rFonts w:ascii="Arial" w:hAnsi="Arial" w:cs="Arial"/>
                <w:sz w:val="20"/>
                <w:szCs w:val="20"/>
                <w:lang w:val="lt-LT"/>
              </w:rPr>
              <w:t>Provisions</w:t>
            </w:r>
            <w:proofErr w:type="spellEnd"/>
            <w:r w:rsidR="001A74E7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(GPD) </w:t>
            </w:r>
            <w:proofErr w:type="spellStart"/>
            <w:r w:rsidR="001A74E7" w:rsidRPr="00415FF4">
              <w:rPr>
                <w:rFonts w:ascii="Arial" w:hAnsi="Arial" w:cs="Arial"/>
                <w:sz w:val="20"/>
                <w:szCs w:val="20"/>
                <w:lang w:val="lt-LT"/>
              </w:rPr>
              <w:t>for</w:t>
            </w:r>
            <w:proofErr w:type="spellEnd"/>
            <w:r w:rsidR="001A74E7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1A74E7"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="001A74E7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44775D" w:rsidRPr="00415FF4">
              <w:rPr>
                <w:rFonts w:ascii="Arial" w:hAnsi="Arial" w:cs="Arial"/>
                <w:sz w:val="20"/>
                <w:szCs w:val="20"/>
                <w:lang w:val="lt-LT"/>
              </w:rPr>
              <w:t>C</w:t>
            </w:r>
            <w:r w:rsidR="001A74E7" w:rsidRPr="00415FF4">
              <w:rPr>
                <w:rFonts w:ascii="Arial" w:hAnsi="Arial" w:cs="Arial"/>
                <w:sz w:val="20"/>
                <w:szCs w:val="20"/>
                <w:lang w:val="lt-LT"/>
              </w:rPr>
              <w:t>onduct</w:t>
            </w:r>
            <w:proofErr w:type="spellEnd"/>
            <w:r w:rsidR="001A74E7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1A74E7" w:rsidRPr="00415FF4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="001A74E7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44775D" w:rsidRPr="00415FF4">
              <w:rPr>
                <w:rFonts w:ascii="Arial" w:hAnsi="Arial" w:cs="Arial"/>
                <w:sz w:val="20"/>
                <w:szCs w:val="20"/>
                <w:lang w:val="lt-LT"/>
              </w:rPr>
              <w:t>P</w:t>
            </w:r>
            <w:r w:rsidR="001A74E7" w:rsidRPr="00415FF4">
              <w:rPr>
                <w:rFonts w:ascii="Arial" w:hAnsi="Arial" w:cs="Arial"/>
                <w:sz w:val="20"/>
                <w:szCs w:val="20"/>
                <w:lang w:val="lt-LT"/>
              </w:rPr>
              <w:t>rocurement</w:t>
            </w:r>
            <w:proofErr w:type="spellEnd"/>
            <w:r w:rsidR="001A74E7"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1A74E7" w:rsidRPr="00415FF4">
              <w:rPr>
                <w:rFonts w:ascii="Arial" w:hAnsi="Arial" w:cs="Arial"/>
                <w:sz w:val="20"/>
                <w:szCs w:val="20"/>
                <w:lang w:val="lt-LT"/>
              </w:rPr>
              <w:t>procedures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C9407E" w:rsidRPr="00415FF4">
              <w:rPr>
                <w:rFonts w:ascii="Arial" w:hAnsi="Arial" w:cs="Arial"/>
                <w:sz w:val="20"/>
                <w:szCs w:val="20"/>
                <w:lang w:val="lt-LT"/>
              </w:rPr>
              <w:t>-</w:t>
            </w:r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030177" w:rsidRPr="00415FF4">
              <w:rPr>
                <w:rFonts w:ascii="Arial" w:hAnsi="Arial" w:cs="Arial"/>
                <w:sz w:val="20"/>
                <w:szCs w:val="20"/>
                <w:lang w:val="lt-LT"/>
              </w:rPr>
              <w:t>SP</w:t>
            </w:r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one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mandatory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provisions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J</w:t>
            </w:r>
            <w:r w:rsidR="00954A52" w:rsidRPr="00415FF4">
              <w:rPr>
                <w:rFonts w:ascii="Arial" w:hAnsi="Arial" w:cs="Arial"/>
                <w:sz w:val="20"/>
                <w:szCs w:val="20"/>
                <w:lang w:val="lt-LT"/>
              </w:rPr>
              <w:t>VA</w:t>
            </w:r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is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clause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providing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for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joint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and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several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liability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all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members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J</w:t>
            </w:r>
            <w:r w:rsidR="00AB7396" w:rsidRPr="00415FF4">
              <w:rPr>
                <w:rFonts w:ascii="Arial" w:hAnsi="Arial" w:cs="Arial"/>
                <w:sz w:val="20"/>
                <w:szCs w:val="20"/>
                <w:lang w:val="lt-LT"/>
              </w:rPr>
              <w:t>VA</w:t>
            </w:r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for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non-performance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or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inadequate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performance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contractual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obligations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According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E34ADB">
              <w:rPr>
                <w:rFonts w:ascii="Arial" w:hAnsi="Arial" w:cs="Arial"/>
                <w:sz w:val="20"/>
                <w:szCs w:val="20"/>
                <w:lang w:val="lt-LT"/>
              </w:rPr>
              <w:t>current</w:t>
            </w:r>
            <w:proofErr w:type="spellEnd"/>
            <w:r w:rsidR="00E34AD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case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law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neither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B0274B" w:rsidRPr="00415FF4">
              <w:rPr>
                <w:rFonts w:ascii="Arial" w:hAnsi="Arial" w:cs="Arial"/>
                <w:sz w:val="20"/>
                <w:szCs w:val="20"/>
                <w:lang w:val="lt-LT"/>
              </w:rPr>
              <w:t>PPL</w:t>
            </w:r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nor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CC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provides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for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mandatory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prohibition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for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supplier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F3C7C">
              <w:rPr>
                <w:rFonts w:ascii="Arial" w:hAnsi="Arial" w:cs="Arial"/>
                <w:sz w:val="20"/>
                <w:szCs w:val="20"/>
                <w:lang w:val="lt-LT"/>
              </w:rPr>
              <w:t>even</w:t>
            </w:r>
            <w:proofErr w:type="spellEnd"/>
            <w:r w:rsidR="003F3C7C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to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use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third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party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provide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contracting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authority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with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performance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guarantee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. </w:t>
            </w:r>
            <w:r w:rsidR="00A13ED8">
              <w:t xml:space="preserve"> </w:t>
            </w:r>
            <w:proofErr w:type="spellStart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>According</w:t>
            </w:r>
            <w:proofErr w:type="spellEnd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>on</w:t>
            </w:r>
            <w:proofErr w:type="spellEnd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>primacy</w:t>
            </w:r>
            <w:proofErr w:type="spellEnd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>terms</w:t>
            </w:r>
            <w:proofErr w:type="spellEnd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>contract</w:t>
            </w:r>
            <w:proofErr w:type="spellEnd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>and</w:t>
            </w:r>
            <w:proofErr w:type="spellEnd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>objective</w:t>
            </w:r>
            <w:proofErr w:type="spellEnd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>ensuring</w:t>
            </w:r>
            <w:proofErr w:type="spellEnd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>performance</w:t>
            </w:r>
            <w:proofErr w:type="spellEnd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>contract</w:t>
            </w:r>
            <w:proofErr w:type="spellEnd"/>
            <w:r w:rsidR="00CD3F33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3F33">
              <w:rPr>
                <w:rFonts w:ascii="Arial" w:hAnsi="Arial" w:cs="Arial"/>
                <w:sz w:val="20"/>
                <w:szCs w:val="20"/>
                <w:lang w:val="lt-LT"/>
              </w:rPr>
              <w:t>in</w:t>
            </w:r>
            <w:proofErr w:type="spellEnd"/>
            <w:r w:rsidR="00CD3F33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D3F33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="00CD3F33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63808">
              <w:rPr>
                <w:rFonts w:ascii="Arial" w:hAnsi="Arial" w:cs="Arial"/>
                <w:sz w:val="20"/>
                <w:szCs w:val="20"/>
                <w:lang w:val="lt-LT"/>
              </w:rPr>
              <w:t>case</w:t>
            </w:r>
            <w:proofErr w:type="spellEnd"/>
            <w:r w:rsidR="00A13ED8" w:rsidRPr="00A13ED8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CD3F33">
              <w:rPr>
                <w:rFonts w:ascii="Arial" w:hAnsi="Arial" w:cs="Arial"/>
                <w:sz w:val="20"/>
                <w:szCs w:val="20"/>
                <w:lang w:val="lt-LT"/>
              </w:rPr>
              <w:t>i</w:t>
            </w:r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t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was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noted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that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"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fact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that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terms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of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contract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stipulate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that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supplier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must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provide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security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for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contracts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does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not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mean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that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such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provision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constitutes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an</w:t>
            </w:r>
            <w:proofErr w:type="spellEnd"/>
          </w:p>
          <w:p w14:paraId="0F42972F" w14:textId="300D988F" w:rsidR="00763926" w:rsidRPr="00415FF4" w:rsidRDefault="00F12977" w:rsidP="00A94CB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lastRenderedPageBreak/>
              <w:t>express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prohibition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for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third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party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provide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security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on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behalf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of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supplier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on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basis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of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general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rules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of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law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laid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down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in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CC. </w:t>
            </w:r>
            <w:proofErr w:type="spellStart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In</w:t>
            </w:r>
            <w:proofErr w:type="spellEnd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such</w:t>
            </w:r>
            <w:proofErr w:type="spellEnd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case</w:t>
            </w:r>
            <w:proofErr w:type="spellEnd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, it </w:t>
            </w:r>
            <w:proofErr w:type="spellStart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is</w:t>
            </w:r>
            <w:proofErr w:type="spellEnd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important</w:t>
            </w:r>
            <w:proofErr w:type="spellEnd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to take </w:t>
            </w:r>
            <w:proofErr w:type="spellStart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into</w:t>
            </w:r>
            <w:proofErr w:type="spellEnd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account</w:t>
            </w:r>
            <w:proofErr w:type="spellEnd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whether</w:t>
            </w:r>
            <w:proofErr w:type="spellEnd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the</w:t>
            </w:r>
            <w:proofErr w:type="spellEnd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use</w:t>
            </w:r>
            <w:proofErr w:type="spellEnd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of</w:t>
            </w:r>
            <w:proofErr w:type="spellEnd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third</w:t>
            </w:r>
            <w:proofErr w:type="spellEnd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party</w:t>
            </w:r>
            <w:proofErr w:type="spellEnd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by</w:t>
            </w:r>
            <w:proofErr w:type="spellEnd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the</w:t>
            </w:r>
            <w:proofErr w:type="spellEnd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i/>
                <w:iCs/>
                <w:sz w:val="20"/>
                <w:szCs w:val="20"/>
                <w:lang w:val="lt-LT"/>
              </w:rPr>
              <w:t>supplier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provide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performance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security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will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achieve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objective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of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this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institution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, namely to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ensure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proper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performance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of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contracts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and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compensate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contracting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authority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for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any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losses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suffered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by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contracting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authority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as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consequence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of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improper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performance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of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contracts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or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non-performance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of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contract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or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whether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there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will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no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obstacles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use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of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security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by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the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contracting</w:t>
            </w:r>
            <w:proofErr w:type="spellEnd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821B8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lt-LT"/>
              </w:rPr>
              <w:t>authority</w:t>
            </w:r>
            <w:proofErr w:type="spellEnd"/>
            <w:r w:rsidR="000162E8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</w:t>
            </w:r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. </w:t>
            </w:r>
          </w:p>
          <w:p w14:paraId="3631F55D" w14:textId="349E5CBC" w:rsidR="0087623F" w:rsidRPr="00F60380" w:rsidRDefault="00F12977" w:rsidP="00A94CBA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Thus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in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case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a JV</w:t>
            </w:r>
            <w:r w:rsidR="006440AB" w:rsidRPr="00415FF4">
              <w:rPr>
                <w:rFonts w:ascii="Arial" w:hAnsi="Arial" w:cs="Arial"/>
                <w:sz w:val="20"/>
                <w:szCs w:val="20"/>
                <w:lang w:val="lt-LT"/>
              </w:rPr>
              <w:t>A</w:t>
            </w:r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34138" w:rsidRPr="00415FF4">
              <w:rPr>
                <w:rFonts w:ascii="Arial" w:hAnsi="Arial" w:cs="Arial"/>
                <w:sz w:val="20"/>
                <w:szCs w:val="20"/>
                <w:lang w:val="lt-LT"/>
              </w:rPr>
              <w:t>C</w:t>
            </w:r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ontract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performance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security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may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also be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issued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on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behalf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single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JV</w:t>
            </w:r>
            <w:r w:rsidR="005E0423" w:rsidRPr="00415FF4">
              <w:rPr>
                <w:rFonts w:ascii="Arial" w:hAnsi="Arial" w:cs="Arial"/>
                <w:sz w:val="20"/>
                <w:szCs w:val="20"/>
                <w:lang w:val="lt-LT"/>
              </w:rPr>
              <w:t>A</w:t>
            </w:r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member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but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it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must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comply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with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conditions</w:t>
            </w:r>
            <w:proofErr w:type="spellEnd"/>
            <w:r w:rsidR="00F4465D">
              <w:rPr>
                <w:rFonts w:ascii="Arial" w:hAnsi="Arial" w:cs="Arial"/>
                <w:sz w:val="20"/>
                <w:szCs w:val="20"/>
                <w:lang w:val="lt-LT"/>
              </w:rPr>
              <w:t>,</w:t>
            </w:r>
            <w:r w:rsidR="00F42532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2532">
              <w:rPr>
                <w:rFonts w:ascii="Arial" w:hAnsi="Arial" w:cs="Arial"/>
                <w:sz w:val="20"/>
                <w:szCs w:val="20"/>
                <w:lang w:val="lt-LT"/>
              </w:rPr>
              <w:t>set</w:t>
            </w:r>
            <w:proofErr w:type="spellEnd"/>
            <w:r w:rsidR="00F42532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2532">
              <w:rPr>
                <w:rFonts w:ascii="Arial" w:hAnsi="Arial" w:cs="Arial"/>
                <w:sz w:val="20"/>
                <w:szCs w:val="20"/>
                <w:lang w:val="lt-LT"/>
              </w:rPr>
              <w:t>out</w:t>
            </w:r>
            <w:proofErr w:type="spellEnd"/>
            <w:r w:rsidR="00F42532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2532">
              <w:rPr>
                <w:rFonts w:ascii="Arial" w:hAnsi="Arial" w:cs="Arial"/>
                <w:sz w:val="20"/>
                <w:szCs w:val="20"/>
                <w:lang w:val="lt-LT"/>
              </w:rPr>
              <w:t>in</w:t>
            </w:r>
            <w:proofErr w:type="spellEnd"/>
            <w:r w:rsidR="00F42532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2532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="00F42532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2532">
              <w:rPr>
                <w:rFonts w:ascii="Arial" w:hAnsi="Arial" w:cs="Arial"/>
                <w:sz w:val="20"/>
                <w:szCs w:val="20"/>
                <w:lang w:val="lt-LT"/>
              </w:rPr>
              <w:t>Procurement</w:t>
            </w:r>
            <w:proofErr w:type="spellEnd"/>
            <w:r w:rsidR="00F42532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2532">
              <w:rPr>
                <w:rFonts w:ascii="Arial" w:hAnsi="Arial" w:cs="Arial"/>
                <w:sz w:val="20"/>
                <w:szCs w:val="20"/>
                <w:lang w:val="lt-LT"/>
              </w:rPr>
              <w:t>conditions</w:t>
            </w:r>
            <w:proofErr w:type="spellEnd"/>
            <w:r w:rsidR="00F42532">
              <w:rPr>
                <w:rFonts w:ascii="Arial" w:hAnsi="Arial" w:cs="Arial"/>
                <w:sz w:val="20"/>
                <w:szCs w:val="20"/>
                <w:lang w:val="lt-LT"/>
              </w:rPr>
              <w:t xml:space="preserve"> (</w:t>
            </w:r>
            <w:proofErr w:type="spellStart"/>
            <w:r w:rsidR="006A34C5">
              <w:rPr>
                <w:rFonts w:ascii="Arial" w:hAnsi="Arial" w:cs="Arial"/>
                <w:sz w:val="20"/>
                <w:szCs w:val="20"/>
                <w:lang w:val="lt-LT"/>
              </w:rPr>
              <w:t>in</w:t>
            </w:r>
            <w:proofErr w:type="spellEnd"/>
            <w:r w:rsidR="006A34C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A34C5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="006A34C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2532">
              <w:rPr>
                <w:rFonts w:ascii="Arial" w:hAnsi="Arial" w:cs="Arial"/>
                <w:sz w:val="20"/>
                <w:szCs w:val="20"/>
                <w:lang w:val="lt-LT"/>
              </w:rPr>
              <w:t>Contract</w:t>
            </w:r>
            <w:proofErr w:type="spellEnd"/>
            <w:r w:rsidR="00F42532">
              <w:rPr>
                <w:rFonts w:ascii="Arial" w:hAnsi="Arial" w:cs="Arial"/>
                <w:sz w:val="20"/>
                <w:szCs w:val="20"/>
                <w:lang w:val="lt-LT"/>
              </w:rPr>
              <w:t>)</w:t>
            </w:r>
            <w:r w:rsidR="006A34C5">
              <w:rPr>
                <w:rFonts w:ascii="Arial" w:hAnsi="Arial" w:cs="Arial"/>
                <w:sz w:val="20"/>
                <w:szCs w:val="20"/>
                <w:lang w:val="lt-LT"/>
              </w:rPr>
              <w:t>,</w:t>
            </w:r>
            <w:r w:rsidR="00F4465D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for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performance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security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and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thus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adequately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guarantee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execution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contract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In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case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uncertainty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and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if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necessary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r w:rsidR="00C30DD2" w:rsidRPr="00415FF4">
              <w:rPr>
                <w:rFonts w:ascii="Arial" w:hAnsi="Arial" w:cs="Arial"/>
                <w:sz w:val="20"/>
                <w:szCs w:val="20"/>
                <w:lang w:val="lt-LT"/>
              </w:rPr>
              <w:t>KC</w:t>
            </w:r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has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right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request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clarification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as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whether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obligation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undertaken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by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J</w:t>
            </w:r>
            <w:r w:rsidR="007D5995" w:rsidRPr="00415FF4">
              <w:rPr>
                <w:rFonts w:ascii="Arial" w:hAnsi="Arial" w:cs="Arial"/>
                <w:sz w:val="20"/>
                <w:szCs w:val="20"/>
                <w:lang w:val="lt-LT"/>
              </w:rPr>
              <w:t>VA</w:t>
            </w:r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member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would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also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cover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the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actions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of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other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entities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acting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in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a </w:t>
            </w:r>
            <w:proofErr w:type="spellStart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joint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10B23" w:rsidRPr="00415FF4">
              <w:rPr>
                <w:rFonts w:ascii="Arial" w:hAnsi="Arial" w:cs="Arial"/>
                <w:sz w:val="20"/>
                <w:szCs w:val="20"/>
                <w:lang w:val="lt-LT"/>
              </w:rPr>
              <w:t>venture</w:t>
            </w:r>
            <w:proofErr w:type="spellEnd"/>
            <w:r w:rsidRPr="00415FF4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</w:tr>
    </w:tbl>
    <w:p w14:paraId="2521DDD3" w14:textId="75A6BE4F" w:rsidR="00F62FD4" w:rsidRPr="00F60380" w:rsidRDefault="00F62FD4" w:rsidP="001A084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val="lt-LT"/>
        </w:rPr>
      </w:pPr>
    </w:p>
    <w:p w14:paraId="52E4574A" w14:textId="65E36DF6" w:rsidR="001A084E" w:rsidRPr="00F60380" w:rsidRDefault="006F3943" w:rsidP="001A084E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F60380">
        <w:rPr>
          <w:rFonts w:ascii="Arial" w:hAnsi="Arial" w:cs="Arial"/>
          <w:i/>
          <w:iCs/>
          <w:sz w:val="20"/>
          <w:szCs w:val="20"/>
          <w:lang w:val="lt-LT"/>
        </w:rPr>
        <w:t>* Suinteresuoto (-ų) tiekėjo (-ų) prašymo (-ų) paaiškinti/ patikslinti Pirkimo dokumentus tekstas neredaguotas. Dėl galimų vertimo netikslumų, pirmenybė teikiama tekstui originalo kalba.</w:t>
      </w:r>
      <w:r w:rsidR="00BB0A32" w:rsidRPr="00F60380">
        <w:rPr>
          <w:rFonts w:ascii="Arial" w:hAnsi="Arial" w:cs="Arial"/>
          <w:i/>
          <w:iCs/>
          <w:sz w:val="20"/>
          <w:szCs w:val="20"/>
          <w:lang w:val="lt-LT"/>
        </w:rPr>
        <w:t xml:space="preserve"> // </w:t>
      </w:r>
      <w:r w:rsidR="001A084E" w:rsidRPr="00F60380">
        <w:rPr>
          <w:rFonts w:ascii="Arial" w:hAnsi="Arial" w:cs="Arial"/>
          <w:i/>
          <w:iCs/>
          <w:sz w:val="20"/>
          <w:szCs w:val="20"/>
        </w:rPr>
        <w:t>* The text of the request(s) for clarification/adjustment of the Procurement documents submitted by the interested supplier(s) is not edited. In case of any possible inaccuracies, the text in the original language shall prevail.</w:t>
      </w:r>
    </w:p>
    <w:p w14:paraId="65971F5C" w14:textId="77777777" w:rsidR="0027435D" w:rsidRPr="00F60380" w:rsidRDefault="0027435D" w:rsidP="006F3943">
      <w:pPr>
        <w:tabs>
          <w:tab w:val="left" w:pos="284"/>
        </w:tabs>
        <w:spacing w:after="0" w:line="240" w:lineRule="auto"/>
        <w:rPr>
          <w:rFonts w:ascii="Arial" w:hAnsi="Arial" w:cs="Arial"/>
          <w:i/>
          <w:iCs/>
          <w:sz w:val="20"/>
          <w:szCs w:val="20"/>
          <w:lang w:val="lt-LT"/>
        </w:rPr>
      </w:pPr>
    </w:p>
    <w:p w14:paraId="1AA9530A" w14:textId="5A1AFB1F" w:rsidR="004C4D10" w:rsidRPr="00F60380" w:rsidRDefault="006F3943" w:rsidP="004C4D10">
      <w:pPr>
        <w:tabs>
          <w:tab w:val="left" w:pos="284"/>
        </w:tabs>
        <w:spacing w:after="0" w:line="240" w:lineRule="auto"/>
        <w:jc w:val="both"/>
        <w:rPr>
          <w:rStyle w:val="cf01"/>
          <w:rFonts w:ascii="Arial" w:hAnsi="Arial" w:cs="Arial"/>
          <w:sz w:val="20"/>
          <w:szCs w:val="20"/>
        </w:rPr>
      </w:pPr>
      <w:r w:rsidRPr="00F60380">
        <w:rPr>
          <w:rFonts w:ascii="Arial" w:hAnsi="Arial" w:cs="Arial"/>
          <w:i/>
          <w:iCs/>
          <w:sz w:val="20"/>
          <w:szCs w:val="20"/>
          <w:lang w:val="lt-LT"/>
        </w:rPr>
        <w:t xml:space="preserve">** </w:t>
      </w:r>
      <w:r w:rsidRPr="00F60380">
        <w:rPr>
          <w:rStyle w:val="cf01"/>
          <w:rFonts w:ascii="Arial" w:hAnsi="Arial" w:cs="Arial"/>
          <w:sz w:val="20"/>
          <w:szCs w:val="20"/>
          <w:lang w:val="lt-LT"/>
        </w:rPr>
        <w:t>Paaiškinimas</w:t>
      </w:r>
      <w:r w:rsidR="00424968" w:rsidRPr="00F60380">
        <w:rPr>
          <w:rStyle w:val="cf01"/>
          <w:rFonts w:ascii="Arial" w:hAnsi="Arial" w:cs="Arial"/>
          <w:sz w:val="20"/>
          <w:szCs w:val="20"/>
          <w:lang w:val="lt-LT"/>
        </w:rPr>
        <w:t xml:space="preserve"> </w:t>
      </w:r>
      <w:r w:rsidRPr="00F60380">
        <w:rPr>
          <w:rStyle w:val="cf01"/>
          <w:rFonts w:ascii="Arial" w:hAnsi="Arial" w:cs="Arial"/>
          <w:sz w:val="20"/>
          <w:szCs w:val="20"/>
          <w:lang w:val="lt-LT"/>
        </w:rPr>
        <w:t>/ patikslinimas ir jo nuostatos turi viršenybę prieš ankstesnes Pirkimo dokumentuose išdėstytas nuostatas.</w:t>
      </w:r>
      <w:r w:rsidR="0027435D" w:rsidRPr="00F60380">
        <w:rPr>
          <w:rStyle w:val="cf01"/>
          <w:rFonts w:ascii="Arial" w:hAnsi="Arial" w:cs="Arial"/>
          <w:sz w:val="20"/>
          <w:szCs w:val="20"/>
          <w:lang w:val="lt-LT"/>
        </w:rPr>
        <w:t xml:space="preserve"> // </w:t>
      </w:r>
      <w:r w:rsidR="004C4D10" w:rsidRPr="00F60380">
        <w:rPr>
          <w:rFonts w:ascii="Arial" w:hAnsi="Arial" w:cs="Arial"/>
          <w:i/>
          <w:iCs/>
          <w:sz w:val="20"/>
          <w:szCs w:val="20"/>
        </w:rPr>
        <w:t xml:space="preserve">** </w:t>
      </w:r>
      <w:r w:rsidR="004C4D10" w:rsidRPr="00F60380">
        <w:rPr>
          <w:rStyle w:val="cf01"/>
          <w:rFonts w:ascii="Arial" w:hAnsi="Arial" w:cs="Arial"/>
          <w:sz w:val="20"/>
          <w:szCs w:val="20"/>
        </w:rPr>
        <w:t>Clarification/adjustment and its provisions prevail over earlier provisions set out in the Procurement documents.</w:t>
      </w:r>
    </w:p>
    <w:p w14:paraId="7AF38600" w14:textId="6CE358AF" w:rsidR="006F3943" w:rsidRPr="00F60380" w:rsidRDefault="006F3943" w:rsidP="006F3943">
      <w:pPr>
        <w:tabs>
          <w:tab w:val="left" w:pos="284"/>
        </w:tabs>
        <w:spacing w:after="0" w:line="240" w:lineRule="auto"/>
        <w:rPr>
          <w:rFonts w:ascii="Arial" w:hAnsi="Arial" w:cs="Arial"/>
          <w:i/>
          <w:iCs/>
          <w:sz w:val="20"/>
          <w:szCs w:val="20"/>
          <w:lang w:val="lt-LT"/>
        </w:rPr>
      </w:pPr>
    </w:p>
    <w:p w14:paraId="5777F993" w14:textId="77777777" w:rsidR="004A3B40" w:rsidRPr="00F60380" w:rsidRDefault="004A3B40" w:rsidP="006F3943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  <w:highlight w:val="yellow"/>
          <w:lang w:val="lt-LT"/>
        </w:rPr>
      </w:pPr>
    </w:p>
    <w:p w14:paraId="466A8891" w14:textId="77777777" w:rsidR="00886E64" w:rsidRDefault="008D498F" w:rsidP="00525A31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D0D0D"/>
          <w:sz w:val="20"/>
          <w:szCs w:val="20"/>
          <w:lang w:val="lt-LT"/>
        </w:rPr>
      </w:pPr>
      <w:r w:rsidRPr="00F60380">
        <w:rPr>
          <w:rFonts w:ascii="Arial" w:hAnsi="Arial" w:cs="Arial"/>
          <w:b/>
          <w:bCs/>
          <w:sz w:val="20"/>
          <w:szCs w:val="20"/>
          <w:lang w:val="lt-LT"/>
        </w:rPr>
        <w:t>Pastaba:</w:t>
      </w:r>
      <w:r w:rsidRPr="00F60380">
        <w:rPr>
          <w:rFonts w:ascii="Arial" w:hAnsi="Arial" w:cs="Arial"/>
          <w:sz w:val="20"/>
          <w:szCs w:val="20"/>
          <w:lang w:val="lt-LT"/>
        </w:rPr>
        <w:t xml:space="preserve"> </w:t>
      </w:r>
      <w:r w:rsidR="0094475B" w:rsidRPr="00F60380">
        <w:rPr>
          <w:rFonts w:ascii="Arial" w:hAnsi="Arial" w:cs="Arial"/>
          <w:sz w:val="20"/>
          <w:szCs w:val="20"/>
          <w:lang w:val="lt-LT"/>
        </w:rPr>
        <w:t>KC</w:t>
      </w:r>
      <w:r w:rsidR="002E5A12" w:rsidRPr="00F60380">
        <w:rPr>
          <w:rFonts w:ascii="Arial" w:hAnsi="Arial" w:cs="Arial"/>
          <w:sz w:val="20"/>
          <w:szCs w:val="20"/>
          <w:lang w:val="lt-LT"/>
        </w:rPr>
        <w:t xml:space="preserve">, vadovaudamasis BNA </w:t>
      </w:r>
      <w:r w:rsidR="002E5A12" w:rsidRPr="005B5133">
        <w:rPr>
          <w:rFonts w:ascii="Arial" w:hAnsi="Arial" w:cs="Arial"/>
          <w:sz w:val="20"/>
          <w:szCs w:val="20"/>
          <w:lang w:val="lt-LT"/>
        </w:rPr>
        <w:t>54 punkto nuostatom</w:t>
      </w:r>
      <w:r w:rsidR="00F61D64" w:rsidRPr="005B5133">
        <w:rPr>
          <w:rFonts w:ascii="Arial" w:hAnsi="Arial" w:cs="Arial"/>
          <w:sz w:val="20"/>
          <w:szCs w:val="20"/>
          <w:lang w:val="lt-LT"/>
        </w:rPr>
        <w:t>i</w:t>
      </w:r>
      <w:r w:rsidR="002E5A12" w:rsidRPr="005B5133">
        <w:rPr>
          <w:rFonts w:ascii="Arial" w:hAnsi="Arial" w:cs="Arial"/>
          <w:sz w:val="20"/>
          <w:szCs w:val="20"/>
          <w:lang w:val="lt-LT"/>
        </w:rPr>
        <w:t>s,</w:t>
      </w:r>
      <w:r w:rsidR="0094475B" w:rsidRPr="00F60380">
        <w:rPr>
          <w:rFonts w:ascii="Arial" w:hAnsi="Arial" w:cs="Arial"/>
          <w:sz w:val="20"/>
          <w:szCs w:val="20"/>
          <w:lang w:val="lt-LT"/>
        </w:rPr>
        <w:t xml:space="preserve"> savo iniciatyva p</w:t>
      </w:r>
      <w:r w:rsidR="0081737D" w:rsidRPr="00F60380">
        <w:rPr>
          <w:rFonts w:ascii="Arial" w:hAnsi="Arial" w:cs="Arial"/>
          <w:sz w:val="20"/>
          <w:szCs w:val="20"/>
          <w:lang w:val="lt-LT"/>
        </w:rPr>
        <w:t>ratęsia</w:t>
      </w:r>
      <w:r w:rsidR="00D716CC" w:rsidRPr="00F60380">
        <w:rPr>
          <w:rFonts w:ascii="Arial" w:hAnsi="Arial" w:cs="Arial"/>
          <w:sz w:val="20"/>
          <w:szCs w:val="20"/>
          <w:lang w:val="lt-LT"/>
        </w:rPr>
        <w:t xml:space="preserve"> Paraiškų pateikimo terminą, kadangi </w:t>
      </w:r>
      <w:r w:rsidR="003469FE" w:rsidRPr="00F60380">
        <w:rPr>
          <w:rFonts w:ascii="Arial" w:hAnsi="Arial" w:cs="Arial"/>
          <w:sz w:val="20"/>
          <w:szCs w:val="20"/>
          <w:lang w:val="lt-LT"/>
        </w:rPr>
        <w:t xml:space="preserve">dėl techninio pobūdžio klaidos dabar numatytas </w:t>
      </w:r>
      <w:r w:rsidR="0043615F" w:rsidRPr="00F60380">
        <w:rPr>
          <w:rFonts w:ascii="Arial" w:hAnsi="Arial" w:cs="Arial"/>
          <w:sz w:val="20"/>
          <w:szCs w:val="20"/>
          <w:lang w:val="lt-LT"/>
        </w:rPr>
        <w:t>Paraiškų pateikimo terminas baigiasi ne</w:t>
      </w:r>
      <w:r w:rsidR="00BA14A2" w:rsidRPr="00F60380">
        <w:rPr>
          <w:rFonts w:ascii="Arial" w:hAnsi="Arial" w:cs="Arial"/>
          <w:sz w:val="20"/>
          <w:szCs w:val="20"/>
          <w:lang w:val="lt-LT"/>
        </w:rPr>
        <w:t xml:space="preserve"> </w:t>
      </w:r>
      <w:r w:rsidR="0043615F" w:rsidRPr="00F60380">
        <w:rPr>
          <w:rFonts w:ascii="Arial" w:hAnsi="Arial" w:cs="Arial"/>
          <w:sz w:val="20"/>
          <w:szCs w:val="20"/>
          <w:lang w:val="lt-LT"/>
        </w:rPr>
        <w:t>darbo dieną</w:t>
      </w:r>
      <w:r w:rsidR="00B7219A" w:rsidRPr="00F60380">
        <w:rPr>
          <w:rFonts w:ascii="Arial" w:hAnsi="Arial" w:cs="Arial"/>
          <w:sz w:val="20"/>
          <w:szCs w:val="20"/>
          <w:lang w:val="lt-LT"/>
        </w:rPr>
        <w:t>.</w:t>
      </w:r>
      <w:r w:rsidR="00674C2C" w:rsidRPr="00F60380">
        <w:rPr>
          <w:rFonts w:ascii="Arial" w:hAnsi="Arial" w:cs="Arial"/>
          <w:sz w:val="20"/>
          <w:szCs w:val="20"/>
          <w:lang w:val="lt-LT"/>
        </w:rPr>
        <w:t xml:space="preserve"> </w:t>
      </w:r>
      <w:r w:rsidR="006F3943" w:rsidRPr="00F60380">
        <w:rPr>
          <w:rFonts w:ascii="Arial" w:hAnsi="Arial" w:cs="Arial"/>
          <w:color w:val="0D0D0D"/>
          <w:sz w:val="20"/>
          <w:szCs w:val="20"/>
          <w:lang w:val="lt-LT"/>
        </w:rPr>
        <w:t xml:space="preserve">Informacija apie pakeistą </w:t>
      </w:r>
      <w:r w:rsidR="00B7219A" w:rsidRPr="00F60380">
        <w:rPr>
          <w:rFonts w:ascii="Arial" w:hAnsi="Arial" w:cs="Arial"/>
          <w:color w:val="0D0D0D"/>
          <w:sz w:val="20"/>
          <w:szCs w:val="20"/>
          <w:lang w:val="lt-LT"/>
        </w:rPr>
        <w:t>Paraiškų</w:t>
      </w:r>
      <w:r w:rsidR="006F3943" w:rsidRPr="00F60380">
        <w:rPr>
          <w:rFonts w:ascii="Arial" w:hAnsi="Arial" w:cs="Arial"/>
          <w:color w:val="0D0D0D"/>
          <w:sz w:val="20"/>
          <w:szCs w:val="20"/>
          <w:lang w:val="lt-LT"/>
        </w:rPr>
        <w:t xml:space="preserve"> pateikimo terminą pateikiama CVP IS.</w:t>
      </w:r>
      <w:r w:rsidR="00A61B1E" w:rsidRPr="00F60380">
        <w:rPr>
          <w:rFonts w:ascii="Arial" w:hAnsi="Arial" w:cs="Arial"/>
          <w:color w:val="0D0D0D"/>
          <w:sz w:val="20"/>
          <w:szCs w:val="20"/>
          <w:lang w:val="lt-LT"/>
        </w:rPr>
        <w:t xml:space="preserve"> //</w:t>
      </w:r>
      <w:r w:rsidR="00BA59C0" w:rsidRPr="00F60380">
        <w:rPr>
          <w:rFonts w:ascii="Arial" w:hAnsi="Arial" w:cs="Arial"/>
          <w:color w:val="0D0D0D"/>
          <w:sz w:val="20"/>
          <w:szCs w:val="20"/>
          <w:lang w:val="lt-LT"/>
        </w:rPr>
        <w:t xml:space="preserve"> </w:t>
      </w:r>
    </w:p>
    <w:p w14:paraId="3E339A9F" w14:textId="2C0F5E0B" w:rsidR="00A61B1E" w:rsidRDefault="00886E64" w:rsidP="00525A31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D0D0D"/>
          <w:lang w:val="lt-LT"/>
        </w:rPr>
      </w:pPr>
      <w:proofErr w:type="spellStart"/>
      <w:r w:rsidRPr="00886E64">
        <w:rPr>
          <w:rFonts w:ascii="Arial" w:hAnsi="Arial" w:cs="Arial"/>
          <w:b/>
          <w:bCs/>
          <w:color w:val="0D0D0D"/>
          <w:sz w:val="20"/>
          <w:szCs w:val="20"/>
          <w:lang w:val="lt-LT"/>
        </w:rPr>
        <w:t>Note</w:t>
      </w:r>
      <w:proofErr w:type="spellEnd"/>
      <w:r w:rsidRPr="00886E64">
        <w:rPr>
          <w:rFonts w:ascii="Arial" w:hAnsi="Arial" w:cs="Arial"/>
          <w:b/>
          <w:bCs/>
          <w:color w:val="0D0D0D"/>
          <w:sz w:val="20"/>
          <w:szCs w:val="20"/>
          <w:lang w:val="lt-LT"/>
        </w:rPr>
        <w:t>:</w:t>
      </w:r>
      <w:r>
        <w:rPr>
          <w:rFonts w:ascii="Arial" w:hAnsi="Arial" w:cs="Arial"/>
          <w:color w:val="0D0D0D"/>
          <w:sz w:val="20"/>
          <w:szCs w:val="20"/>
          <w:lang w:val="lt-LT"/>
        </w:rPr>
        <w:t xml:space="preserve"> </w:t>
      </w:r>
      <w:r w:rsidR="007651B5" w:rsidRPr="006668A8">
        <w:rPr>
          <w:rFonts w:ascii="Arial" w:hAnsi="Arial" w:cs="Arial"/>
          <w:color w:val="0D0D0D"/>
          <w:sz w:val="20"/>
          <w:szCs w:val="20"/>
        </w:rPr>
        <w:t>KC</w:t>
      </w:r>
      <w:r w:rsidR="00B0033A" w:rsidRPr="006668A8">
        <w:rPr>
          <w:rFonts w:ascii="Arial" w:hAnsi="Arial" w:cs="Arial"/>
          <w:color w:val="0D0D0D"/>
          <w:sz w:val="20"/>
          <w:szCs w:val="20"/>
        </w:rPr>
        <w:t xml:space="preserve">, on its own initiative, extends the deadline for the submission of </w:t>
      </w:r>
      <w:r w:rsidR="00E22573" w:rsidRPr="006668A8">
        <w:rPr>
          <w:rFonts w:ascii="Arial" w:hAnsi="Arial" w:cs="Arial"/>
          <w:color w:val="0D0D0D"/>
          <w:sz w:val="20"/>
          <w:szCs w:val="20"/>
        </w:rPr>
        <w:t>Requests for Participation</w:t>
      </w:r>
      <w:r w:rsidR="00B0033A" w:rsidRPr="006668A8">
        <w:rPr>
          <w:rFonts w:ascii="Arial" w:hAnsi="Arial" w:cs="Arial"/>
          <w:color w:val="0D0D0D"/>
          <w:sz w:val="20"/>
          <w:szCs w:val="20"/>
        </w:rPr>
        <w:t xml:space="preserve"> in accordance with the provisions of point 54 of the </w:t>
      </w:r>
      <w:r w:rsidR="00CE7333" w:rsidRPr="006668A8">
        <w:rPr>
          <w:rFonts w:ascii="Arial" w:hAnsi="Arial" w:cs="Arial"/>
          <w:color w:val="0D0D0D"/>
          <w:sz w:val="20"/>
          <w:szCs w:val="20"/>
        </w:rPr>
        <w:t>GP</w:t>
      </w:r>
      <w:r w:rsidR="00B0033A" w:rsidRPr="006668A8">
        <w:rPr>
          <w:rFonts w:ascii="Arial" w:hAnsi="Arial" w:cs="Arial"/>
          <w:color w:val="0D0D0D"/>
          <w:sz w:val="20"/>
          <w:szCs w:val="20"/>
        </w:rPr>
        <w:t xml:space="preserve">, as the deadline for the submission of </w:t>
      </w:r>
      <w:r w:rsidR="0019511B" w:rsidRPr="006668A8">
        <w:rPr>
          <w:rFonts w:ascii="Arial" w:hAnsi="Arial" w:cs="Arial"/>
          <w:color w:val="0D0D0D"/>
          <w:sz w:val="20"/>
          <w:szCs w:val="20"/>
        </w:rPr>
        <w:t>Requests for Participation</w:t>
      </w:r>
      <w:r w:rsidR="00B0033A" w:rsidRPr="006668A8">
        <w:rPr>
          <w:rFonts w:ascii="Arial" w:hAnsi="Arial" w:cs="Arial"/>
          <w:color w:val="0D0D0D"/>
          <w:sz w:val="20"/>
          <w:szCs w:val="20"/>
        </w:rPr>
        <w:t xml:space="preserve">, as currently foreseen, closes on a non-business day, due to a technical error. Information on the revised deadline for the submission of </w:t>
      </w:r>
      <w:r w:rsidR="006668A8" w:rsidRPr="006668A8">
        <w:rPr>
          <w:rFonts w:ascii="Arial" w:hAnsi="Arial" w:cs="Arial"/>
          <w:color w:val="0D0D0D"/>
          <w:sz w:val="20"/>
          <w:szCs w:val="20"/>
        </w:rPr>
        <w:t>Requests for Participation</w:t>
      </w:r>
      <w:r w:rsidR="00B0033A" w:rsidRPr="006668A8">
        <w:rPr>
          <w:rFonts w:ascii="Arial" w:hAnsi="Arial" w:cs="Arial"/>
          <w:color w:val="0D0D0D"/>
          <w:sz w:val="20"/>
          <w:szCs w:val="20"/>
        </w:rPr>
        <w:t xml:space="preserve"> is available on the C</w:t>
      </w:r>
      <w:r w:rsidR="006668A8" w:rsidRPr="006668A8">
        <w:rPr>
          <w:rFonts w:ascii="Arial" w:hAnsi="Arial" w:cs="Arial"/>
          <w:color w:val="0D0D0D"/>
          <w:sz w:val="20"/>
          <w:szCs w:val="20"/>
        </w:rPr>
        <w:t>P</w:t>
      </w:r>
      <w:r w:rsidR="00B0033A" w:rsidRPr="006668A8">
        <w:rPr>
          <w:rFonts w:ascii="Arial" w:hAnsi="Arial" w:cs="Arial"/>
          <w:color w:val="0D0D0D"/>
          <w:sz w:val="20"/>
          <w:szCs w:val="20"/>
        </w:rPr>
        <w:t>P IS.</w:t>
      </w:r>
    </w:p>
    <w:p w14:paraId="2FEF635A" w14:textId="77777777" w:rsidR="00525A31" w:rsidRDefault="00525A31" w:rsidP="00525A31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color w:val="0D0D0D"/>
          <w:lang w:val="lt-LT"/>
        </w:rPr>
      </w:pPr>
    </w:p>
    <w:p w14:paraId="763C4A95" w14:textId="1C60957B" w:rsidR="000A68DE" w:rsidRPr="00202703" w:rsidRDefault="000A68DE" w:rsidP="00525A31">
      <w:pPr>
        <w:spacing w:after="0" w:line="240" w:lineRule="auto"/>
        <w:jc w:val="both"/>
        <w:rPr>
          <w:rFonts w:ascii="Arial" w:eastAsia="Times New Roman" w:hAnsi="Arial" w:cs="Arial"/>
          <w:lang w:val="lt-LT"/>
        </w:rPr>
      </w:pPr>
    </w:p>
    <w:sectPr w:rsidR="000A68DE" w:rsidRPr="00202703" w:rsidSect="005362B9">
      <w:headerReference w:type="default" r:id="rId14"/>
      <w:footerReference w:type="default" r:id="rId15"/>
      <w:pgSz w:w="16838" w:h="11906" w:orient="landscape"/>
      <w:pgMar w:top="964" w:right="395" w:bottom="28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8F9EF" w14:textId="77777777" w:rsidR="00A01A48" w:rsidRDefault="00A01A48" w:rsidP="0024493C">
      <w:pPr>
        <w:spacing w:after="0" w:line="240" w:lineRule="auto"/>
      </w:pPr>
      <w:r>
        <w:separator/>
      </w:r>
    </w:p>
  </w:endnote>
  <w:endnote w:type="continuationSeparator" w:id="0">
    <w:p w14:paraId="00D523C2" w14:textId="77777777" w:rsidR="00A01A48" w:rsidRDefault="00A01A48" w:rsidP="0024493C">
      <w:pPr>
        <w:spacing w:after="0" w:line="240" w:lineRule="auto"/>
      </w:pPr>
      <w:r>
        <w:continuationSeparator/>
      </w:r>
    </w:p>
  </w:endnote>
  <w:endnote w:type="continuationNotice" w:id="1">
    <w:p w14:paraId="49250CD6" w14:textId="77777777" w:rsidR="00A01A48" w:rsidRDefault="00A01A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A40510" w:rsidRPr="00202703" w14:paraId="750AEB51" w14:textId="77777777" w:rsidTr="0030715E">
      <w:trPr>
        <w:trHeight w:val="703"/>
      </w:trPr>
      <w:tc>
        <w:tcPr>
          <w:tcW w:w="3261" w:type="dxa"/>
          <w:hideMark/>
        </w:tcPr>
        <w:p w14:paraId="72106DD9" w14:textId="77777777" w:rsidR="00DD640E" w:rsidRDefault="00DD640E" w:rsidP="008E1DC1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bookmarkStart w:id="2" w:name="_Hlk144717440"/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7FD911F1" w14:textId="50E56E68" w:rsidR="004D3008" w:rsidRPr="00202703" w:rsidRDefault="00DD640E" w:rsidP="00DD640E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 xml:space="preserve"> </w:t>
          </w:r>
        </w:p>
      </w:tc>
      <w:tc>
        <w:tcPr>
          <w:tcW w:w="2693" w:type="dxa"/>
          <w:hideMark/>
        </w:tcPr>
        <w:p w14:paraId="2304ABEE" w14:textId="77777777" w:rsidR="009E762B" w:rsidRPr="008D68CA" w:rsidRDefault="009E762B" w:rsidP="008E1DC1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1975926A" w14:textId="05447E70" w:rsidR="004D3008" w:rsidRPr="00202703" w:rsidRDefault="009E762B" w:rsidP="009E762B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="0024493C"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54357249" w14:textId="77777777" w:rsidR="006D32BE" w:rsidRPr="008D68CA" w:rsidRDefault="006D32BE" w:rsidP="008E1DC1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216E2C32" w14:textId="77777777" w:rsidR="006D32BE" w:rsidRPr="008D68CA" w:rsidRDefault="006D32BE" w:rsidP="008E1DC1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4E1ACBD8" w14:textId="1AA22D31" w:rsidR="004D3008" w:rsidRPr="00202703" w:rsidRDefault="006D32BE" w:rsidP="006D32BE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bookmarkStart w:id="3" w:name="_Hlk141703089"/>
  <w:bookmarkStart w:id="4" w:name="_Hlk141703090"/>
  <w:bookmarkEnd w:id="2"/>
  <w:p w14:paraId="60494412" w14:textId="271555D2" w:rsidR="006148EE" w:rsidRPr="00E52D34" w:rsidRDefault="001626BF" w:rsidP="006148EE">
    <w:pPr>
      <w:pStyle w:val="Footer"/>
      <w:jc w:val="right"/>
      <w:rPr>
        <w:rFonts w:ascii="Arial" w:hAnsi="Arial" w:cs="Arial"/>
        <w:i/>
        <w:iCs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308A1D" wp14:editId="55640828">
              <wp:simplePos x="0" y="0"/>
              <wp:positionH relativeFrom="column">
                <wp:posOffset>68580</wp:posOffset>
              </wp:positionH>
              <wp:positionV relativeFrom="paragraph">
                <wp:posOffset>-565785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line id="Straight Connector 31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5.4pt,-44.55pt" to="479.65pt,-44.55pt" w14:anchorId="6DE9AE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PmoifnfAAAACgEAAA8AAAAA&#10;AAAAAAAAAAAAIAQAAGRycy9kb3ducmV2LnhtbFBLBQYAAAAABAAEAPMAAAAsBQAAAAA=&#10;">
              <v:stroke joinstyle="miter"/>
            </v:line>
          </w:pict>
        </mc:Fallback>
      </mc:AlternateContent>
    </w:r>
    <w:proofErr w:type="spellStart"/>
    <w:r w:rsidR="00550446" w:rsidRPr="00E52D34">
      <w:rPr>
        <w:rFonts w:ascii="Arial" w:hAnsi="Arial" w:cs="Arial"/>
        <w:i/>
        <w:iCs/>
        <w:sz w:val="18"/>
        <w:szCs w:val="18"/>
      </w:rPr>
      <w:t>Versija</w:t>
    </w:r>
    <w:proofErr w:type="spellEnd"/>
    <w:r w:rsidR="00550446" w:rsidRPr="00E52D34">
      <w:rPr>
        <w:rFonts w:ascii="Arial" w:hAnsi="Arial" w:cs="Arial"/>
        <w:i/>
        <w:iCs/>
        <w:sz w:val="18"/>
        <w:szCs w:val="18"/>
      </w:rPr>
      <w:t xml:space="preserve"> 202</w:t>
    </w:r>
    <w:bookmarkEnd w:id="3"/>
    <w:bookmarkEnd w:id="4"/>
    <w:r w:rsidR="00B42B55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40EA" w14:textId="77777777" w:rsidR="00A01A48" w:rsidRDefault="00A01A48" w:rsidP="0024493C">
      <w:pPr>
        <w:spacing w:after="0" w:line="240" w:lineRule="auto"/>
      </w:pPr>
      <w:r>
        <w:separator/>
      </w:r>
    </w:p>
  </w:footnote>
  <w:footnote w:type="continuationSeparator" w:id="0">
    <w:p w14:paraId="7ED7351F" w14:textId="77777777" w:rsidR="00A01A48" w:rsidRDefault="00A01A48" w:rsidP="0024493C">
      <w:pPr>
        <w:spacing w:after="0" w:line="240" w:lineRule="auto"/>
      </w:pPr>
      <w:r>
        <w:continuationSeparator/>
      </w:r>
    </w:p>
  </w:footnote>
  <w:footnote w:type="continuationNotice" w:id="1">
    <w:p w14:paraId="133ED3A2" w14:textId="77777777" w:rsidR="00A01A48" w:rsidRDefault="00A01A48">
      <w:pPr>
        <w:spacing w:after="0" w:line="240" w:lineRule="auto"/>
      </w:pPr>
    </w:p>
  </w:footnote>
  <w:footnote w:id="2">
    <w:p w14:paraId="35D59F0B" w14:textId="77686941" w:rsidR="004954D0" w:rsidRPr="00424968" w:rsidRDefault="004954D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4954D0">
          <w:rPr>
            <w:rStyle w:val="Hyperlink"/>
          </w:rPr>
          <w:t>Informacija dėl sutarties įvykdymo užtikrinimo priemonių - Viešųjų pirkimų tarnyba</w:t>
        </w:r>
      </w:hyperlink>
    </w:p>
  </w:footnote>
  <w:footnote w:id="3">
    <w:p w14:paraId="3DA81E5F" w14:textId="2ED3562E" w:rsidR="0FC5BC2D" w:rsidRDefault="0FC5BC2D" w:rsidP="00424968">
      <w:pPr>
        <w:pStyle w:val="FootnoteText"/>
      </w:pPr>
      <w:r w:rsidRPr="0FC5BC2D">
        <w:rPr>
          <w:rStyle w:val="FootnoteReference"/>
        </w:rPr>
        <w:footnoteRef/>
      </w:r>
      <w:r>
        <w:t xml:space="preserve"> Lietuvos apeliacinis teismo 2024 m. rugpjūčio 1 d. sprendimas byloje Nr. </w:t>
      </w:r>
      <w:r w:rsidRPr="0FC5BC2D">
        <w:rPr>
          <w:rFonts w:ascii="Segoe UI" w:eastAsia="Segoe UI" w:hAnsi="Segoe UI" w:cs="Segoe UI"/>
          <w:color w:val="1E395B"/>
          <w:sz w:val="18"/>
          <w:szCs w:val="18"/>
        </w:rPr>
        <w:t>e2A-455-790/2024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D1D" w14:textId="08576353" w:rsidR="004D3008" w:rsidRDefault="008B3A0F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B8A0BA5" wp14:editId="36BF82CA">
          <wp:simplePos x="0" y="0"/>
          <wp:positionH relativeFrom="margin">
            <wp:posOffset>212</wp:posOffset>
          </wp:positionH>
          <wp:positionV relativeFrom="paragraph">
            <wp:posOffset>-225718</wp:posOffset>
          </wp:positionV>
          <wp:extent cx="619200" cy="291600"/>
          <wp:effectExtent l="0" t="0" r="0" b="0"/>
          <wp:wrapNone/>
          <wp:docPr id="1657231206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45828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384060526">
    <w:abstractNumId w:val="0"/>
  </w:num>
  <w:num w:numId="2" w16cid:durableId="10830651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336925">
    <w:abstractNumId w:val="2"/>
  </w:num>
  <w:num w:numId="4" w16cid:durableId="139693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162E8"/>
    <w:rsid w:val="00020F4F"/>
    <w:rsid w:val="00024708"/>
    <w:rsid w:val="00025241"/>
    <w:rsid w:val="00030177"/>
    <w:rsid w:val="00033A3E"/>
    <w:rsid w:val="00035454"/>
    <w:rsid w:val="00036643"/>
    <w:rsid w:val="00036AE1"/>
    <w:rsid w:val="00037B6A"/>
    <w:rsid w:val="0004023C"/>
    <w:rsid w:val="00044F9D"/>
    <w:rsid w:val="000458DC"/>
    <w:rsid w:val="00052182"/>
    <w:rsid w:val="00062B68"/>
    <w:rsid w:val="00071608"/>
    <w:rsid w:val="00075F93"/>
    <w:rsid w:val="00084F51"/>
    <w:rsid w:val="000855DA"/>
    <w:rsid w:val="00087351"/>
    <w:rsid w:val="0009344F"/>
    <w:rsid w:val="000A6617"/>
    <w:rsid w:val="000A68DE"/>
    <w:rsid w:val="000B583E"/>
    <w:rsid w:val="000C0019"/>
    <w:rsid w:val="000C5728"/>
    <w:rsid w:val="000D21F4"/>
    <w:rsid w:val="000D3322"/>
    <w:rsid w:val="000E1CBE"/>
    <w:rsid w:val="000E5E86"/>
    <w:rsid w:val="000F789E"/>
    <w:rsid w:val="00101990"/>
    <w:rsid w:val="0011176C"/>
    <w:rsid w:val="00113406"/>
    <w:rsid w:val="00114D7F"/>
    <w:rsid w:val="00121D1F"/>
    <w:rsid w:val="00135F43"/>
    <w:rsid w:val="00143585"/>
    <w:rsid w:val="00145A93"/>
    <w:rsid w:val="001544C4"/>
    <w:rsid w:val="00161225"/>
    <w:rsid w:val="001626BF"/>
    <w:rsid w:val="001744E5"/>
    <w:rsid w:val="0018113A"/>
    <w:rsid w:val="00181E20"/>
    <w:rsid w:val="00191C41"/>
    <w:rsid w:val="001923FC"/>
    <w:rsid w:val="0019511B"/>
    <w:rsid w:val="00195D09"/>
    <w:rsid w:val="00197F46"/>
    <w:rsid w:val="001A084E"/>
    <w:rsid w:val="001A0BB7"/>
    <w:rsid w:val="001A308A"/>
    <w:rsid w:val="001A74E7"/>
    <w:rsid w:val="001B13C7"/>
    <w:rsid w:val="001C1419"/>
    <w:rsid w:val="001C1980"/>
    <w:rsid w:val="001E0D9C"/>
    <w:rsid w:val="001F0E70"/>
    <w:rsid w:val="001F3336"/>
    <w:rsid w:val="00202703"/>
    <w:rsid w:val="002056BB"/>
    <w:rsid w:val="00211202"/>
    <w:rsid w:val="00227123"/>
    <w:rsid w:val="00227DF9"/>
    <w:rsid w:val="00230A7E"/>
    <w:rsid w:val="00236EDC"/>
    <w:rsid w:val="0024493C"/>
    <w:rsid w:val="002514C3"/>
    <w:rsid w:val="002621C8"/>
    <w:rsid w:val="00263D02"/>
    <w:rsid w:val="0027435D"/>
    <w:rsid w:val="00282044"/>
    <w:rsid w:val="0028787C"/>
    <w:rsid w:val="002905C6"/>
    <w:rsid w:val="00290B7A"/>
    <w:rsid w:val="002A642C"/>
    <w:rsid w:val="002B1897"/>
    <w:rsid w:val="002C0D2B"/>
    <w:rsid w:val="002D78B9"/>
    <w:rsid w:val="002E2C8A"/>
    <w:rsid w:val="002E5A12"/>
    <w:rsid w:val="002E7C4A"/>
    <w:rsid w:val="002F1E72"/>
    <w:rsid w:val="002F50EC"/>
    <w:rsid w:val="002F6E77"/>
    <w:rsid w:val="00303D01"/>
    <w:rsid w:val="00303E84"/>
    <w:rsid w:val="00305C6C"/>
    <w:rsid w:val="00305EB8"/>
    <w:rsid w:val="0030715E"/>
    <w:rsid w:val="00307CC1"/>
    <w:rsid w:val="00312BB4"/>
    <w:rsid w:val="00315C68"/>
    <w:rsid w:val="0032058A"/>
    <w:rsid w:val="00322C28"/>
    <w:rsid w:val="00334E37"/>
    <w:rsid w:val="00344A50"/>
    <w:rsid w:val="003469FE"/>
    <w:rsid w:val="00361537"/>
    <w:rsid w:val="00364EDB"/>
    <w:rsid w:val="00370390"/>
    <w:rsid w:val="00370CFF"/>
    <w:rsid w:val="00371DD4"/>
    <w:rsid w:val="00376277"/>
    <w:rsid w:val="00383666"/>
    <w:rsid w:val="0039187D"/>
    <w:rsid w:val="00394C19"/>
    <w:rsid w:val="00396D69"/>
    <w:rsid w:val="003A0B23"/>
    <w:rsid w:val="003A3447"/>
    <w:rsid w:val="003A679B"/>
    <w:rsid w:val="003B5F53"/>
    <w:rsid w:val="003B623A"/>
    <w:rsid w:val="003C1C05"/>
    <w:rsid w:val="003C2426"/>
    <w:rsid w:val="003C2510"/>
    <w:rsid w:val="003D2FB9"/>
    <w:rsid w:val="003D3675"/>
    <w:rsid w:val="003D6573"/>
    <w:rsid w:val="003D672C"/>
    <w:rsid w:val="003D6A35"/>
    <w:rsid w:val="003E2287"/>
    <w:rsid w:val="003E556F"/>
    <w:rsid w:val="003E7FB4"/>
    <w:rsid w:val="003F3C7C"/>
    <w:rsid w:val="003F6BF0"/>
    <w:rsid w:val="003F7FDE"/>
    <w:rsid w:val="00401FAB"/>
    <w:rsid w:val="00410F2A"/>
    <w:rsid w:val="0041125F"/>
    <w:rsid w:val="00412A24"/>
    <w:rsid w:val="00415FF4"/>
    <w:rsid w:val="0042074F"/>
    <w:rsid w:val="00420AE5"/>
    <w:rsid w:val="00424968"/>
    <w:rsid w:val="00425DD4"/>
    <w:rsid w:val="0043133B"/>
    <w:rsid w:val="0043615F"/>
    <w:rsid w:val="00436CFC"/>
    <w:rsid w:val="00436FBF"/>
    <w:rsid w:val="00442C4A"/>
    <w:rsid w:val="00444872"/>
    <w:rsid w:val="00445F94"/>
    <w:rsid w:val="0044626B"/>
    <w:rsid w:val="0044775D"/>
    <w:rsid w:val="004500AD"/>
    <w:rsid w:val="004515A7"/>
    <w:rsid w:val="004564D9"/>
    <w:rsid w:val="0046220F"/>
    <w:rsid w:val="004657F4"/>
    <w:rsid w:val="0047253E"/>
    <w:rsid w:val="004770A4"/>
    <w:rsid w:val="004812D0"/>
    <w:rsid w:val="00481C5D"/>
    <w:rsid w:val="00490457"/>
    <w:rsid w:val="0049155F"/>
    <w:rsid w:val="004954D0"/>
    <w:rsid w:val="004A1A6D"/>
    <w:rsid w:val="004A2B1A"/>
    <w:rsid w:val="004A3B40"/>
    <w:rsid w:val="004A56FE"/>
    <w:rsid w:val="004B1042"/>
    <w:rsid w:val="004B4ED0"/>
    <w:rsid w:val="004B56B9"/>
    <w:rsid w:val="004C1ABB"/>
    <w:rsid w:val="004C3C85"/>
    <w:rsid w:val="004C4D10"/>
    <w:rsid w:val="004D09D3"/>
    <w:rsid w:val="004D3008"/>
    <w:rsid w:val="004D3C78"/>
    <w:rsid w:val="004E0579"/>
    <w:rsid w:val="004E518B"/>
    <w:rsid w:val="004F27B2"/>
    <w:rsid w:val="00507E9E"/>
    <w:rsid w:val="00513770"/>
    <w:rsid w:val="00522B47"/>
    <w:rsid w:val="00524C70"/>
    <w:rsid w:val="00525A31"/>
    <w:rsid w:val="0052711F"/>
    <w:rsid w:val="005329A8"/>
    <w:rsid w:val="005362B9"/>
    <w:rsid w:val="005366AB"/>
    <w:rsid w:val="00540DDD"/>
    <w:rsid w:val="005420EA"/>
    <w:rsid w:val="00545367"/>
    <w:rsid w:val="00546EB5"/>
    <w:rsid w:val="00550446"/>
    <w:rsid w:val="00551D15"/>
    <w:rsid w:val="005642BA"/>
    <w:rsid w:val="00566AB0"/>
    <w:rsid w:val="00571136"/>
    <w:rsid w:val="00573054"/>
    <w:rsid w:val="005802B3"/>
    <w:rsid w:val="00583165"/>
    <w:rsid w:val="00584134"/>
    <w:rsid w:val="00587291"/>
    <w:rsid w:val="0059208E"/>
    <w:rsid w:val="00592B62"/>
    <w:rsid w:val="005944E0"/>
    <w:rsid w:val="0059726F"/>
    <w:rsid w:val="005A78CF"/>
    <w:rsid w:val="005B3F59"/>
    <w:rsid w:val="005B5133"/>
    <w:rsid w:val="005C5D81"/>
    <w:rsid w:val="005E0423"/>
    <w:rsid w:val="005E65D5"/>
    <w:rsid w:val="005F221F"/>
    <w:rsid w:val="00606901"/>
    <w:rsid w:val="00610EFA"/>
    <w:rsid w:val="00613967"/>
    <w:rsid w:val="006148EE"/>
    <w:rsid w:val="006156D6"/>
    <w:rsid w:val="00621852"/>
    <w:rsid w:val="006247CA"/>
    <w:rsid w:val="00630238"/>
    <w:rsid w:val="0063600B"/>
    <w:rsid w:val="006367B7"/>
    <w:rsid w:val="00640AA2"/>
    <w:rsid w:val="006416F4"/>
    <w:rsid w:val="006440AB"/>
    <w:rsid w:val="00646A09"/>
    <w:rsid w:val="00652341"/>
    <w:rsid w:val="00656A8C"/>
    <w:rsid w:val="006668A8"/>
    <w:rsid w:val="00670994"/>
    <w:rsid w:val="00671022"/>
    <w:rsid w:val="00673DAB"/>
    <w:rsid w:val="00674C2C"/>
    <w:rsid w:val="006762EB"/>
    <w:rsid w:val="00682C73"/>
    <w:rsid w:val="0068507A"/>
    <w:rsid w:val="0068647E"/>
    <w:rsid w:val="00690F45"/>
    <w:rsid w:val="006A09C2"/>
    <w:rsid w:val="006A1762"/>
    <w:rsid w:val="006A27C1"/>
    <w:rsid w:val="006A34C5"/>
    <w:rsid w:val="006A670B"/>
    <w:rsid w:val="006D0980"/>
    <w:rsid w:val="006D0AFD"/>
    <w:rsid w:val="006D19DA"/>
    <w:rsid w:val="006D273D"/>
    <w:rsid w:val="006D32BE"/>
    <w:rsid w:val="006D7F31"/>
    <w:rsid w:val="006E31FC"/>
    <w:rsid w:val="006E4A2C"/>
    <w:rsid w:val="006E703F"/>
    <w:rsid w:val="006F3943"/>
    <w:rsid w:val="006F3CBC"/>
    <w:rsid w:val="006F7B06"/>
    <w:rsid w:val="00705B1F"/>
    <w:rsid w:val="00710B23"/>
    <w:rsid w:val="00717A88"/>
    <w:rsid w:val="00723C4D"/>
    <w:rsid w:val="00726061"/>
    <w:rsid w:val="00734F4A"/>
    <w:rsid w:val="00736B23"/>
    <w:rsid w:val="00743D8A"/>
    <w:rsid w:val="0075059E"/>
    <w:rsid w:val="00762AAE"/>
    <w:rsid w:val="00763926"/>
    <w:rsid w:val="007651B5"/>
    <w:rsid w:val="00776D24"/>
    <w:rsid w:val="00782893"/>
    <w:rsid w:val="007845E2"/>
    <w:rsid w:val="00785947"/>
    <w:rsid w:val="007A1203"/>
    <w:rsid w:val="007A555B"/>
    <w:rsid w:val="007A5A73"/>
    <w:rsid w:val="007B0ED4"/>
    <w:rsid w:val="007B6E93"/>
    <w:rsid w:val="007C4E69"/>
    <w:rsid w:val="007D0578"/>
    <w:rsid w:val="007D2BE4"/>
    <w:rsid w:val="007D546F"/>
    <w:rsid w:val="007D5995"/>
    <w:rsid w:val="007E2D81"/>
    <w:rsid w:val="007E39AE"/>
    <w:rsid w:val="007E7473"/>
    <w:rsid w:val="007F2290"/>
    <w:rsid w:val="007F536E"/>
    <w:rsid w:val="00803888"/>
    <w:rsid w:val="008050D8"/>
    <w:rsid w:val="00807192"/>
    <w:rsid w:val="00814BA7"/>
    <w:rsid w:val="0081737D"/>
    <w:rsid w:val="00821B85"/>
    <w:rsid w:val="00824B6D"/>
    <w:rsid w:val="008334A9"/>
    <w:rsid w:val="008353D6"/>
    <w:rsid w:val="008365C2"/>
    <w:rsid w:val="00852F31"/>
    <w:rsid w:val="00856084"/>
    <w:rsid w:val="00863184"/>
    <w:rsid w:val="00865073"/>
    <w:rsid w:val="00870F1A"/>
    <w:rsid w:val="0087623F"/>
    <w:rsid w:val="008771A5"/>
    <w:rsid w:val="00886E64"/>
    <w:rsid w:val="008B028A"/>
    <w:rsid w:val="008B0B9E"/>
    <w:rsid w:val="008B1579"/>
    <w:rsid w:val="008B3787"/>
    <w:rsid w:val="008B3A0F"/>
    <w:rsid w:val="008B6437"/>
    <w:rsid w:val="008C3EBC"/>
    <w:rsid w:val="008D09A7"/>
    <w:rsid w:val="008D462C"/>
    <w:rsid w:val="008D498F"/>
    <w:rsid w:val="008D62AE"/>
    <w:rsid w:val="008E0029"/>
    <w:rsid w:val="008E1DC1"/>
    <w:rsid w:val="008E6A59"/>
    <w:rsid w:val="008E7893"/>
    <w:rsid w:val="008E7C38"/>
    <w:rsid w:val="008F2793"/>
    <w:rsid w:val="00901061"/>
    <w:rsid w:val="009028E8"/>
    <w:rsid w:val="00906370"/>
    <w:rsid w:val="0091727C"/>
    <w:rsid w:val="0092378E"/>
    <w:rsid w:val="00934138"/>
    <w:rsid w:val="009417B0"/>
    <w:rsid w:val="0094475B"/>
    <w:rsid w:val="009460EB"/>
    <w:rsid w:val="0095265A"/>
    <w:rsid w:val="009527C8"/>
    <w:rsid w:val="00954A52"/>
    <w:rsid w:val="00971A85"/>
    <w:rsid w:val="0097470F"/>
    <w:rsid w:val="009875F4"/>
    <w:rsid w:val="00987CD6"/>
    <w:rsid w:val="009A4147"/>
    <w:rsid w:val="009A6C8E"/>
    <w:rsid w:val="009B5212"/>
    <w:rsid w:val="009B7603"/>
    <w:rsid w:val="009C21CF"/>
    <w:rsid w:val="009C329B"/>
    <w:rsid w:val="009C36E8"/>
    <w:rsid w:val="009C4E20"/>
    <w:rsid w:val="009C5A70"/>
    <w:rsid w:val="009C721E"/>
    <w:rsid w:val="009E1871"/>
    <w:rsid w:val="009E762B"/>
    <w:rsid w:val="009F22A9"/>
    <w:rsid w:val="009F2DB7"/>
    <w:rsid w:val="009F3CFC"/>
    <w:rsid w:val="009F64A9"/>
    <w:rsid w:val="00A01A48"/>
    <w:rsid w:val="00A029F0"/>
    <w:rsid w:val="00A0367C"/>
    <w:rsid w:val="00A06BC2"/>
    <w:rsid w:val="00A11E3F"/>
    <w:rsid w:val="00A13ED8"/>
    <w:rsid w:val="00A255B6"/>
    <w:rsid w:val="00A26217"/>
    <w:rsid w:val="00A26AFF"/>
    <w:rsid w:val="00A326BE"/>
    <w:rsid w:val="00A3351A"/>
    <w:rsid w:val="00A342AE"/>
    <w:rsid w:val="00A40510"/>
    <w:rsid w:val="00A50018"/>
    <w:rsid w:val="00A53FDE"/>
    <w:rsid w:val="00A55E53"/>
    <w:rsid w:val="00A570F8"/>
    <w:rsid w:val="00A57BB3"/>
    <w:rsid w:val="00A61B1E"/>
    <w:rsid w:val="00A8538D"/>
    <w:rsid w:val="00A94CBA"/>
    <w:rsid w:val="00A95555"/>
    <w:rsid w:val="00A964FB"/>
    <w:rsid w:val="00AA7621"/>
    <w:rsid w:val="00AA7CCB"/>
    <w:rsid w:val="00AB03DF"/>
    <w:rsid w:val="00AB2F13"/>
    <w:rsid w:val="00AB5DAD"/>
    <w:rsid w:val="00AB7396"/>
    <w:rsid w:val="00AC1997"/>
    <w:rsid w:val="00AC26E7"/>
    <w:rsid w:val="00AC7901"/>
    <w:rsid w:val="00AD070B"/>
    <w:rsid w:val="00AD1821"/>
    <w:rsid w:val="00AD4536"/>
    <w:rsid w:val="00AD477A"/>
    <w:rsid w:val="00AD6EED"/>
    <w:rsid w:val="00AD7779"/>
    <w:rsid w:val="00AE5F64"/>
    <w:rsid w:val="00AF4066"/>
    <w:rsid w:val="00B0033A"/>
    <w:rsid w:val="00B00456"/>
    <w:rsid w:val="00B0274B"/>
    <w:rsid w:val="00B03BDD"/>
    <w:rsid w:val="00B046FE"/>
    <w:rsid w:val="00B049BC"/>
    <w:rsid w:val="00B07C02"/>
    <w:rsid w:val="00B11FB4"/>
    <w:rsid w:val="00B15220"/>
    <w:rsid w:val="00B16639"/>
    <w:rsid w:val="00B17997"/>
    <w:rsid w:val="00B201F5"/>
    <w:rsid w:val="00B22CCE"/>
    <w:rsid w:val="00B24F75"/>
    <w:rsid w:val="00B3058F"/>
    <w:rsid w:val="00B328D0"/>
    <w:rsid w:val="00B36D24"/>
    <w:rsid w:val="00B42B55"/>
    <w:rsid w:val="00B458A7"/>
    <w:rsid w:val="00B47AED"/>
    <w:rsid w:val="00B541F9"/>
    <w:rsid w:val="00B7096F"/>
    <w:rsid w:val="00B71353"/>
    <w:rsid w:val="00B7219A"/>
    <w:rsid w:val="00B7627C"/>
    <w:rsid w:val="00B8105C"/>
    <w:rsid w:val="00B83E17"/>
    <w:rsid w:val="00B857BC"/>
    <w:rsid w:val="00B8736C"/>
    <w:rsid w:val="00B903AC"/>
    <w:rsid w:val="00B94F54"/>
    <w:rsid w:val="00BA0F96"/>
    <w:rsid w:val="00BA14A2"/>
    <w:rsid w:val="00BA21CD"/>
    <w:rsid w:val="00BA53CD"/>
    <w:rsid w:val="00BA59C0"/>
    <w:rsid w:val="00BA708E"/>
    <w:rsid w:val="00BB0A32"/>
    <w:rsid w:val="00BC2BBE"/>
    <w:rsid w:val="00BC3797"/>
    <w:rsid w:val="00BD56A1"/>
    <w:rsid w:val="00BD66F4"/>
    <w:rsid w:val="00BE1A5C"/>
    <w:rsid w:val="00BF2259"/>
    <w:rsid w:val="00BF4153"/>
    <w:rsid w:val="00BF43D1"/>
    <w:rsid w:val="00BF4583"/>
    <w:rsid w:val="00BF7C47"/>
    <w:rsid w:val="00C01FAC"/>
    <w:rsid w:val="00C04BCA"/>
    <w:rsid w:val="00C05036"/>
    <w:rsid w:val="00C12828"/>
    <w:rsid w:val="00C21E50"/>
    <w:rsid w:val="00C22E51"/>
    <w:rsid w:val="00C231BC"/>
    <w:rsid w:val="00C23A8F"/>
    <w:rsid w:val="00C2474F"/>
    <w:rsid w:val="00C30DD2"/>
    <w:rsid w:val="00C37423"/>
    <w:rsid w:val="00C46A7C"/>
    <w:rsid w:val="00C5060B"/>
    <w:rsid w:val="00C5215A"/>
    <w:rsid w:val="00C52413"/>
    <w:rsid w:val="00C53BF1"/>
    <w:rsid w:val="00C57B63"/>
    <w:rsid w:val="00C63808"/>
    <w:rsid w:val="00C73F0D"/>
    <w:rsid w:val="00C741EE"/>
    <w:rsid w:val="00C84BCF"/>
    <w:rsid w:val="00C85D63"/>
    <w:rsid w:val="00C85E6F"/>
    <w:rsid w:val="00C87B31"/>
    <w:rsid w:val="00C91427"/>
    <w:rsid w:val="00C9365E"/>
    <w:rsid w:val="00C9407E"/>
    <w:rsid w:val="00CA3594"/>
    <w:rsid w:val="00CA53AB"/>
    <w:rsid w:val="00CA6CA0"/>
    <w:rsid w:val="00CB58D2"/>
    <w:rsid w:val="00CC7446"/>
    <w:rsid w:val="00CD1D4E"/>
    <w:rsid w:val="00CD36EC"/>
    <w:rsid w:val="00CD3F33"/>
    <w:rsid w:val="00CD6ACF"/>
    <w:rsid w:val="00CE3000"/>
    <w:rsid w:val="00CE4AF9"/>
    <w:rsid w:val="00CE7333"/>
    <w:rsid w:val="00CF442B"/>
    <w:rsid w:val="00D02C90"/>
    <w:rsid w:val="00D05FCA"/>
    <w:rsid w:val="00D06BA9"/>
    <w:rsid w:val="00D226CD"/>
    <w:rsid w:val="00D246B5"/>
    <w:rsid w:val="00D25F82"/>
    <w:rsid w:val="00D42993"/>
    <w:rsid w:val="00D4479B"/>
    <w:rsid w:val="00D5170C"/>
    <w:rsid w:val="00D60A69"/>
    <w:rsid w:val="00D612B5"/>
    <w:rsid w:val="00D63E49"/>
    <w:rsid w:val="00D716CC"/>
    <w:rsid w:val="00D93A24"/>
    <w:rsid w:val="00DA2A26"/>
    <w:rsid w:val="00DA3506"/>
    <w:rsid w:val="00DB1B3E"/>
    <w:rsid w:val="00DB45A2"/>
    <w:rsid w:val="00DC0A7F"/>
    <w:rsid w:val="00DC3304"/>
    <w:rsid w:val="00DC4532"/>
    <w:rsid w:val="00DC54A4"/>
    <w:rsid w:val="00DC5DE8"/>
    <w:rsid w:val="00DD640E"/>
    <w:rsid w:val="00DE09B5"/>
    <w:rsid w:val="00DE0CB5"/>
    <w:rsid w:val="00DE4E89"/>
    <w:rsid w:val="00DE683B"/>
    <w:rsid w:val="00DF027C"/>
    <w:rsid w:val="00DF3E50"/>
    <w:rsid w:val="00DF4EC5"/>
    <w:rsid w:val="00E0142B"/>
    <w:rsid w:val="00E06E4C"/>
    <w:rsid w:val="00E07299"/>
    <w:rsid w:val="00E072BB"/>
    <w:rsid w:val="00E0745F"/>
    <w:rsid w:val="00E1789B"/>
    <w:rsid w:val="00E22573"/>
    <w:rsid w:val="00E34ADB"/>
    <w:rsid w:val="00E34EA4"/>
    <w:rsid w:val="00E42163"/>
    <w:rsid w:val="00E4684E"/>
    <w:rsid w:val="00E63D07"/>
    <w:rsid w:val="00E77346"/>
    <w:rsid w:val="00E827C9"/>
    <w:rsid w:val="00EA1790"/>
    <w:rsid w:val="00EA6971"/>
    <w:rsid w:val="00EA7709"/>
    <w:rsid w:val="00EB4351"/>
    <w:rsid w:val="00EB5528"/>
    <w:rsid w:val="00ED07DB"/>
    <w:rsid w:val="00ED096F"/>
    <w:rsid w:val="00EE0EFC"/>
    <w:rsid w:val="00EE1578"/>
    <w:rsid w:val="00F064A0"/>
    <w:rsid w:val="00F1237E"/>
    <w:rsid w:val="00F12977"/>
    <w:rsid w:val="00F25368"/>
    <w:rsid w:val="00F30ACA"/>
    <w:rsid w:val="00F32BEF"/>
    <w:rsid w:val="00F331CF"/>
    <w:rsid w:val="00F3621A"/>
    <w:rsid w:val="00F42532"/>
    <w:rsid w:val="00F4465D"/>
    <w:rsid w:val="00F46BFF"/>
    <w:rsid w:val="00F513FC"/>
    <w:rsid w:val="00F522FD"/>
    <w:rsid w:val="00F52EBC"/>
    <w:rsid w:val="00F541F7"/>
    <w:rsid w:val="00F549C2"/>
    <w:rsid w:val="00F60380"/>
    <w:rsid w:val="00F61D64"/>
    <w:rsid w:val="00F62FD4"/>
    <w:rsid w:val="00F71174"/>
    <w:rsid w:val="00F7214B"/>
    <w:rsid w:val="00F728BC"/>
    <w:rsid w:val="00F72BFB"/>
    <w:rsid w:val="00F7551C"/>
    <w:rsid w:val="00F7678E"/>
    <w:rsid w:val="00FA54D5"/>
    <w:rsid w:val="00FA7BE0"/>
    <w:rsid w:val="00FB1920"/>
    <w:rsid w:val="00FB3C9F"/>
    <w:rsid w:val="00FB5173"/>
    <w:rsid w:val="00FB6043"/>
    <w:rsid w:val="00FC25BB"/>
    <w:rsid w:val="00FC26A0"/>
    <w:rsid w:val="00FC26EE"/>
    <w:rsid w:val="00FC3DD4"/>
    <w:rsid w:val="00FC433D"/>
    <w:rsid w:val="00FC5344"/>
    <w:rsid w:val="00FC7E8B"/>
    <w:rsid w:val="00FE059A"/>
    <w:rsid w:val="00FE2167"/>
    <w:rsid w:val="00FE3FA6"/>
    <w:rsid w:val="00FF0E03"/>
    <w:rsid w:val="01013376"/>
    <w:rsid w:val="0143F2AA"/>
    <w:rsid w:val="01E7AD69"/>
    <w:rsid w:val="0213F1EE"/>
    <w:rsid w:val="043A3EBC"/>
    <w:rsid w:val="0679CA52"/>
    <w:rsid w:val="071AEAB4"/>
    <w:rsid w:val="0789BA87"/>
    <w:rsid w:val="0870A4D8"/>
    <w:rsid w:val="08AE4539"/>
    <w:rsid w:val="093ECEB5"/>
    <w:rsid w:val="093FC637"/>
    <w:rsid w:val="09883B5A"/>
    <w:rsid w:val="0AD49789"/>
    <w:rsid w:val="0C0C625E"/>
    <w:rsid w:val="0E6D071F"/>
    <w:rsid w:val="0EB65AD2"/>
    <w:rsid w:val="0EBD1851"/>
    <w:rsid w:val="0FC5BC2D"/>
    <w:rsid w:val="106B327D"/>
    <w:rsid w:val="10F1812B"/>
    <w:rsid w:val="110A7131"/>
    <w:rsid w:val="115E5D0D"/>
    <w:rsid w:val="11BA00B2"/>
    <w:rsid w:val="1224AAAE"/>
    <w:rsid w:val="1311D86B"/>
    <w:rsid w:val="139740B9"/>
    <w:rsid w:val="15E3ADF4"/>
    <w:rsid w:val="15E41596"/>
    <w:rsid w:val="1824B6CB"/>
    <w:rsid w:val="1AE39A5E"/>
    <w:rsid w:val="1C04D268"/>
    <w:rsid w:val="1D424580"/>
    <w:rsid w:val="1DBEF653"/>
    <w:rsid w:val="1E32909B"/>
    <w:rsid w:val="1F1E62C7"/>
    <w:rsid w:val="1FABF53C"/>
    <w:rsid w:val="2028480E"/>
    <w:rsid w:val="21221218"/>
    <w:rsid w:val="238C9D27"/>
    <w:rsid w:val="24966C24"/>
    <w:rsid w:val="24EBAF88"/>
    <w:rsid w:val="25225422"/>
    <w:rsid w:val="256F4DD4"/>
    <w:rsid w:val="2847FDE0"/>
    <w:rsid w:val="2856453A"/>
    <w:rsid w:val="2AE7B205"/>
    <w:rsid w:val="2B01666A"/>
    <w:rsid w:val="2B1541F4"/>
    <w:rsid w:val="2C40159D"/>
    <w:rsid w:val="2F3D3961"/>
    <w:rsid w:val="301ED2A3"/>
    <w:rsid w:val="3194FA8C"/>
    <w:rsid w:val="31C041CB"/>
    <w:rsid w:val="31DE1CD6"/>
    <w:rsid w:val="3202CD1D"/>
    <w:rsid w:val="32CC3C1E"/>
    <w:rsid w:val="32F1C674"/>
    <w:rsid w:val="33E7E73B"/>
    <w:rsid w:val="34721E57"/>
    <w:rsid w:val="34B57471"/>
    <w:rsid w:val="354DD7DE"/>
    <w:rsid w:val="36639483"/>
    <w:rsid w:val="36796506"/>
    <w:rsid w:val="36C15AD6"/>
    <w:rsid w:val="3D42C38D"/>
    <w:rsid w:val="3D89FEC3"/>
    <w:rsid w:val="3DC16F54"/>
    <w:rsid w:val="3DD1F7FF"/>
    <w:rsid w:val="3DF34372"/>
    <w:rsid w:val="3F0B33D2"/>
    <w:rsid w:val="3F217B57"/>
    <w:rsid w:val="3F756F43"/>
    <w:rsid w:val="3F8F9BE5"/>
    <w:rsid w:val="4134C4F2"/>
    <w:rsid w:val="422F85CA"/>
    <w:rsid w:val="4259FF8D"/>
    <w:rsid w:val="42C59A5E"/>
    <w:rsid w:val="4434CA60"/>
    <w:rsid w:val="4436650F"/>
    <w:rsid w:val="446DF1F7"/>
    <w:rsid w:val="45843267"/>
    <w:rsid w:val="4713D1F5"/>
    <w:rsid w:val="4962326B"/>
    <w:rsid w:val="49646D5C"/>
    <w:rsid w:val="4B87447F"/>
    <w:rsid w:val="4CECD75D"/>
    <w:rsid w:val="4D072901"/>
    <w:rsid w:val="4DA6084E"/>
    <w:rsid w:val="4F499915"/>
    <w:rsid w:val="4F733AD4"/>
    <w:rsid w:val="519AE827"/>
    <w:rsid w:val="51BFF70F"/>
    <w:rsid w:val="51FFFB30"/>
    <w:rsid w:val="536135CA"/>
    <w:rsid w:val="53969DDC"/>
    <w:rsid w:val="53F19A83"/>
    <w:rsid w:val="54200B03"/>
    <w:rsid w:val="55986AAB"/>
    <w:rsid w:val="57B210D6"/>
    <w:rsid w:val="57E486B0"/>
    <w:rsid w:val="5852B074"/>
    <w:rsid w:val="597ABA48"/>
    <w:rsid w:val="5A3486A2"/>
    <w:rsid w:val="5D233B1B"/>
    <w:rsid w:val="5D7AF487"/>
    <w:rsid w:val="5DD77D5F"/>
    <w:rsid w:val="5E4C2340"/>
    <w:rsid w:val="616DE604"/>
    <w:rsid w:val="626A2EA4"/>
    <w:rsid w:val="63275C1C"/>
    <w:rsid w:val="63677B15"/>
    <w:rsid w:val="650A56E4"/>
    <w:rsid w:val="65B2DD01"/>
    <w:rsid w:val="6767E0E4"/>
    <w:rsid w:val="6956F1F8"/>
    <w:rsid w:val="695EB027"/>
    <w:rsid w:val="6A05FF0C"/>
    <w:rsid w:val="6A3362E0"/>
    <w:rsid w:val="6BC92E20"/>
    <w:rsid w:val="6C2021D3"/>
    <w:rsid w:val="6DC41913"/>
    <w:rsid w:val="6E77B55F"/>
    <w:rsid w:val="6EFDFEBC"/>
    <w:rsid w:val="6FDF8754"/>
    <w:rsid w:val="705C2D51"/>
    <w:rsid w:val="70BECEB8"/>
    <w:rsid w:val="7167FCD7"/>
    <w:rsid w:val="7279027B"/>
    <w:rsid w:val="73E7F2BE"/>
    <w:rsid w:val="75E27CB3"/>
    <w:rsid w:val="7628A0F5"/>
    <w:rsid w:val="773B614F"/>
    <w:rsid w:val="77F58E22"/>
    <w:rsid w:val="7923CE01"/>
    <w:rsid w:val="7A12852E"/>
    <w:rsid w:val="7A4638C4"/>
    <w:rsid w:val="7AE77533"/>
    <w:rsid w:val="7CD6EBD7"/>
    <w:rsid w:val="7DBF9878"/>
    <w:rsid w:val="7DF9E5FF"/>
    <w:rsid w:val="7E4F95F0"/>
    <w:rsid w:val="7EDB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4EE6"/>
  <w15:chartTrackingRefBased/>
  <w15:docId w15:val="{D5CED516-35A2-487F-893F-4B6ED3FF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3C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24493C"/>
    <w:pPr>
      <w:ind w:left="720"/>
      <w:contextualSpacing/>
    </w:pPr>
  </w:style>
  <w:style w:type="table" w:styleId="TableGrid">
    <w:name w:val="Table Grid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493C"/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locked/>
    <w:rsid w:val="0024493C"/>
    <w:rPr>
      <w:rFonts w:eastAsiaTheme="minorEastAsia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3C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34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5E86"/>
    <w:rPr>
      <w:color w:val="808080"/>
    </w:rPr>
  </w:style>
  <w:style w:type="character" w:customStyle="1" w:styleId="eop">
    <w:name w:val="eop"/>
    <w:basedOn w:val="DefaultParagraphFont"/>
    <w:rsid w:val="00C91427"/>
  </w:style>
  <w:style w:type="character" w:styleId="Hyperlink">
    <w:name w:val="Hyperlink"/>
    <w:basedOn w:val="DefaultParagraphFont"/>
    <w:uiPriority w:val="99"/>
    <w:unhideWhenUsed/>
    <w:rsid w:val="00B07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7C0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64F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64FB"/>
    <w:rPr>
      <w:rFonts w:eastAsiaTheme="minorEastAs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964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-tar.lt/portal/lt/legalAct/TAR.C54AFFAA7622/as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-tar.lt/portal/lt/legalAct/TAR.8A39C83848CB/as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TAR.C54AFFAA7622/as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lt/naujienos-3/informacija-del-sutarties-ivykdymo-uztikrinimo-priemoni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7FFD1BCB379C543A4892FC5ACDF40B4" ma:contentTypeVersion="0" ma:contentTypeDescription="Kurkite naują dokumentą." ma:contentTypeScope="" ma:versionID="a99be4bba2635e6f787ac43f74c15c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c1e6bc384b63d325300cee264cfc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CC30-A08B-48A2-9071-55544FC408FD}">
  <ds:schemaRefs>
    <ds:schemaRef ds:uri="http://schemas.microsoft.com/office/2006/metadata/properties"/>
    <ds:schemaRef ds:uri="http://schemas.microsoft.com/office/infopath/2007/PartnerControls"/>
    <ds:schemaRef ds:uri="12e0826c-40f2-47bd-b519-bbb4da682c2c"/>
    <ds:schemaRef ds:uri="0e2507f1-1fab-4f1f-8c5d-2dd5baf9006a"/>
  </ds:schemaRefs>
</ds:datastoreItem>
</file>

<file path=customXml/itemProps2.xml><?xml version="1.0" encoding="utf-8"?>
<ds:datastoreItem xmlns:ds="http://schemas.openxmlformats.org/officeDocument/2006/customXml" ds:itemID="{66772449-9BFA-474B-99AA-2A1054F08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A5A1E-DD28-4F4B-84E8-A2BE77D01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2321</Words>
  <Characters>13231</Characters>
  <Application>Microsoft Office Word</Application>
  <DocSecurity>0</DocSecurity>
  <Lines>110</Lines>
  <Paragraphs>31</Paragraphs>
  <ScaleCrop>false</ScaleCrop>
  <Company/>
  <LinksUpToDate>false</LinksUpToDate>
  <CharactersWithSpaces>15521</CharactersWithSpaces>
  <SharedDoc>false</SharedDoc>
  <HLinks>
    <vt:vector size="24" baseType="variant">
      <vt:variant>
        <vt:i4>4587594</vt:i4>
      </vt:variant>
      <vt:variant>
        <vt:i4>6</vt:i4>
      </vt:variant>
      <vt:variant>
        <vt:i4>0</vt:i4>
      </vt:variant>
      <vt:variant>
        <vt:i4>5</vt:i4>
      </vt:variant>
      <vt:variant>
        <vt:lpwstr>https://www.e-tar.lt/portal/lt/legalAct/TAR.C54AFFAA7622/asr</vt:lpwstr>
      </vt:variant>
      <vt:variant>
        <vt:lpwstr/>
      </vt:variant>
      <vt:variant>
        <vt:i4>1245203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https://www.e-tar.lt/portal/lt/legalAct/TAR.8A39C83848CB/asr</vt:lpwstr>
      </vt:variant>
      <vt:variant>
        <vt:lpwstr/>
      </vt:variant>
      <vt:variant>
        <vt:i4>4587594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https://www.e-tar.lt/portal/lt/legalAct/TAR.C54AFFAA7622/asr</vt:lpwstr>
      </vt:variant>
      <vt:variant>
        <vt:lpwstr/>
      </vt:variant>
      <vt:variant>
        <vt:i4>7209002</vt:i4>
      </vt:variant>
      <vt:variant>
        <vt:i4>0</vt:i4>
      </vt:variant>
      <vt:variant>
        <vt:i4>0</vt:i4>
      </vt:variant>
      <vt:variant>
        <vt:i4>5</vt:i4>
      </vt:variant>
      <vt:variant>
        <vt:lpwstr>https://vpt.lrv.lt/lt/naujienos-3/informacija-del-sutarties-ivykdymo-uztikrinimo-priemoniu/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Ugnė Andriuškevičiūtė</cp:lastModifiedBy>
  <cp:revision>349</cp:revision>
  <dcterms:created xsi:type="dcterms:W3CDTF">2025-03-21T22:39:00Z</dcterms:created>
  <dcterms:modified xsi:type="dcterms:W3CDTF">2025-03-31T09:54:00Z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78cba8cb-eb3b-41a3-b71c-823220db4e5e</vt:lpwstr>
  </property>
  <property fmtid="{D5CDD505-2E9C-101B-9397-08002B2CF9AE}" pid="4" name="MediaServiceImageTags">
    <vt:lpwstr/>
  </property>
  <property fmtid="{D5CDD505-2E9C-101B-9397-08002B2CF9AE}" pid="5" name="ContentTypeId">
    <vt:lpwstr>0x01010077FFD1BCB379C543A4892FC5ACDF40B4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2023-04-11T10:54:41Z</vt:lpwstr>
  </property>
  <property fmtid="{D5CDD505-2E9C-101B-9397-08002B2CF9AE}" pid="11" name="_dlc_DocIdItemGuid">
    <vt:lpwstr>29f0bd9e-79ce-4250-9956-82bd1c2f3f9b</vt:lpwstr>
  </property>
</Properties>
</file>