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807AD" w14:textId="77777777" w:rsidR="00863A9A" w:rsidRPr="00863A9A" w:rsidRDefault="00863A9A" w:rsidP="00863A9A">
      <w:pPr>
        <w:jc w:val="right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863A9A">
        <w:rPr>
          <w:rFonts w:ascii="Times New Roman" w:hAnsi="Times New Roman"/>
          <w:color w:val="000000" w:themeColor="text1"/>
          <w:sz w:val="24"/>
          <w:szCs w:val="24"/>
          <w:lang w:val="lt-LT"/>
        </w:rPr>
        <w:t>Atviro konkurso sąlygų</w:t>
      </w:r>
    </w:p>
    <w:p w14:paraId="49FB63AB" w14:textId="77777777" w:rsidR="00863A9A" w:rsidRPr="00863A9A" w:rsidRDefault="008B57C2" w:rsidP="00F57DD1">
      <w:pPr>
        <w:ind w:right="1433"/>
        <w:jc w:val="right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 w:rsidRPr="00457534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7 </w:t>
      </w:r>
      <w:r w:rsidR="00863A9A" w:rsidRPr="00457534">
        <w:rPr>
          <w:rFonts w:ascii="Times New Roman" w:hAnsi="Times New Roman"/>
          <w:color w:val="000000" w:themeColor="text1"/>
          <w:sz w:val="24"/>
          <w:szCs w:val="24"/>
          <w:lang w:val="lt-LT"/>
        </w:rPr>
        <w:t>priedas</w:t>
      </w:r>
    </w:p>
    <w:p w14:paraId="4C2B7FA5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PASIŪLYMŲ VERTINIMO </w:t>
      </w:r>
      <w:r w:rsidR="00F57DD1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METODIKA</w:t>
      </w:r>
    </w:p>
    <w:p w14:paraId="3BCCC5B1" w14:textId="77777777" w:rsidR="003D4B39" w:rsidRDefault="003D4B39" w:rsidP="008B57C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1. Perkančiosios organizacijos neatmesti pasiūlymai vertinami taikant ekonomiškai naudingiausio pasiūlymo vertinimo kriterijus, kai vertinama kaina ir kokybė.</w:t>
      </w:r>
    </w:p>
    <w:p w14:paraId="39C8EE98" w14:textId="77777777" w:rsidR="003D4B39" w:rsidRDefault="003D4B39" w:rsidP="008B57C2">
      <w:pPr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2. Ekonomiškai naudingiausias pasiūlymas – tai pasiūlymas, kurio balų suma, apskaičiuota pagal toliau nustatytus pasiūlymų vertinimo kriterijus ir sąlygas, yra didžiausia.</w:t>
      </w:r>
    </w:p>
    <w:p w14:paraId="6C760825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</w:p>
    <w:p w14:paraId="072365DC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Numatytų vertinimo kriterijų lyginamieji svoriai:</w:t>
      </w:r>
    </w:p>
    <w:p w14:paraId="74076A7B" w14:textId="77777777" w:rsidR="003D4B39" w:rsidRDefault="003D4B39" w:rsidP="003D4B39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Kaina (K) – </w:t>
      </w:r>
      <w:r w:rsidR="005244D2">
        <w:rPr>
          <w:rFonts w:ascii="Times New Roman" w:hAnsi="Times New Roman"/>
          <w:color w:val="000000" w:themeColor="text1"/>
          <w:sz w:val="24"/>
          <w:szCs w:val="24"/>
        </w:rPr>
        <w:t>70</w:t>
      </w:r>
      <w:r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B8CEE69" w14:textId="77777777" w:rsidR="003D4B39" w:rsidRDefault="003D4B39" w:rsidP="003D4B39">
      <w:pPr>
        <w:numPr>
          <w:ilvl w:val="0"/>
          <w:numId w:val="1"/>
        </w:numPr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Techniniai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pranašumai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(T) – </w:t>
      </w:r>
      <w:r w:rsidR="005244D2">
        <w:rPr>
          <w:rFonts w:ascii="Times New Roman" w:hAnsi="Times New Roman"/>
          <w:color w:val="000000" w:themeColor="text1"/>
          <w:sz w:val="24"/>
          <w:szCs w:val="24"/>
        </w:rPr>
        <w:t>30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A32A8E" w14:textId="77777777" w:rsid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A45F74" w14:textId="77777777" w:rsidR="003D4B39" w:rsidRDefault="003D4B39" w:rsidP="003D4B39">
      <w:pPr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Vertinimo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kriterijai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ir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jų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parametrų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lyginamieji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svoriai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tbl>
      <w:tblPr>
        <w:tblW w:w="10055" w:type="dxa"/>
        <w:tblLayout w:type="fixed"/>
        <w:tblLook w:val="04A0" w:firstRow="1" w:lastRow="0" w:firstColumn="1" w:lastColumn="0" w:noHBand="0" w:noVBand="1"/>
      </w:tblPr>
      <w:tblGrid>
        <w:gridCol w:w="603"/>
        <w:gridCol w:w="3442"/>
        <w:gridCol w:w="1669"/>
        <w:gridCol w:w="1690"/>
        <w:gridCol w:w="2651"/>
      </w:tblGrid>
      <w:tr w:rsidR="003D4B39" w14:paraId="5D5DBF21" w14:textId="77777777" w:rsidTr="000379B1">
        <w:trPr>
          <w:trHeight w:val="700"/>
        </w:trPr>
        <w:tc>
          <w:tcPr>
            <w:tcW w:w="57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AEEC51F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Vertinimo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kriterijai</w:t>
            </w:r>
            <w:proofErr w:type="spellEnd"/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50D2A41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Parametro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lyginamasis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svoris</w:t>
            </w:r>
            <w:proofErr w:type="spellEnd"/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51AB9FC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Lyginamasis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svoris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ekonominio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naudingumo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įvertinime</w:t>
            </w:r>
            <w:proofErr w:type="spellEnd"/>
          </w:p>
        </w:tc>
      </w:tr>
      <w:tr w:rsidR="003D4B39" w14:paraId="315C2B6D" w14:textId="77777777" w:rsidTr="000379B1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07A32DF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Kaina (K)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AFE85B5" w14:textId="77777777" w:rsidR="003D4B39" w:rsidRDefault="003D4B39" w:rsidP="005244D2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X = </w:t>
            </w:r>
            <w:r w:rsidR="005244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70</w:t>
            </w:r>
          </w:p>
        </w:tc>
      </w:tr>
      <w:tr w:rsidR="003D4B39" w14:paraId="26871C38" w14:textId="77777777" w:rsidTr="000379B1">
        <w:trPr>
          <w:trHeight w:val="340"/>
        </w:trPr>
        <w:tc>
          <w:tcPr>
            <w:tcW w:w="74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7FAB0B1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Techniniai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pranašumai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(T)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75943B4" w14:textId="77777777" w:rsidR="003D4B39" w:rsidRDefault="003D4B39" w:rsidP="005244D2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Y = </w:t>
            </w:r>
            <w:r w:rsidR="005244D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30</w:t>
            </w:r>
          </w:p>
        </w:tc>
      </w:tr>
      <w:tr w:rsidR="003D4B39" w14:paraId="3C1B2504" w14:textId="77777777" w:rsidTr="000379B1">
        <w:trPr>
          <w:trHeight w:val="36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852634B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BB7EAA4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Parametrai</w:t>
            </w:r>
            <w:proofErr w:type="spellEnd"/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9B190D5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yra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nėra</w:t>
            </w:r>
            <w:proofErr w:type="spellEnd"/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C0E33F1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7EB61FF" w14:textId="77777777" w:rsidR="003D4B39" w:rsidRDefault="003D4B39" w:rsidP="000379B1">
            <w:pPr>
              <w:widowControl w:val="0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  <w:tr w:rsidR="003D4B39" w14:paraId="2DA6434F" w14:textId="77777777" w:rsidTr="000379B1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867D8D3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T1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616B4" w14:textId="2560D46C" w:rsidR="003D4B39" w:rsidRPr="00393B5C" w:rsidRDefault="00211464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Funkcinis galimybių praplėtimas: i</w:t>
            </w:r>
            <w:r w:rsidR="00F47ECB" w:rsidRPr="00393B5C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nfuzinių pompų stot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elės</w:t>
            </w:r>
            <w:r w:rsidR="00F47ECB" w:rsidRPr="00393B5C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turi galimybę jungtis prie centrinės valdymo ir monitoravimo stoties</w:t>
            </w:r>
            <w:r w:rsidR="00114CEA" w:rsidRPr="00393B5C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,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>esančios poste,</w:t>
            </w:r>
            <w:r w:rsidR="00114CEA" w:rsidRPr="00393B5C"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  <w:t xml:space="preserve"> kurioje atvaizduojami ir kontroliuojami injekcijų parametrai.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75D1E190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FC739EA" w14:textId="2B7C664A" w:rsidR="003D4B39" w:rsidRPr="00393B5C" w:rsidRDefault="003D4B39" w:rsidP="00BC7C59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 w:rsidR="00114CEA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58F5C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1559B5F5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0DF5810C" w14:textId="77777777" w:rsidTr="000379B1">
        <w:trPr>
          <w:trHeight w:val="675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E70F63A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T2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308AE" w14:textId="0B7AB0F1" w:rsidR="003D4B39" w:rsidRPr="00393B5C" w:rsidRDefault="00211464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</w:pP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 xml:space="preserve">Lietimui jautraus ekrano įstrižainė </w:t>
            </w:r>
            <w:r w:rsidRPr="00393B5C">
              <w:rPr>
                <w:rFonts w:ascii="Times New Roman" w:eastAsia="Times New Roman" w:hAnsi="Times New Roman"/>
                <w:color w:val="000000"/>
                <w:lang w:eastAsia="lt-LT"/>
              </w:rPr>
              <w:t>≥</w:t>
            </w: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sv-SE"/>
              </w:rPr>
              <w:t>7”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F90CD7C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127D275" w14:textId="3EB20E16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 w:rsidR="00211464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1A61F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230EE860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0F887030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1E64587E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T3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A396EB" w14:textId="087D73E8" w:rsidR="003D4B39" w:rsidRPr="00393B5C" w:rsidRDefault="0019383A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T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ūrinė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pompa (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volumetric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infusion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pump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) gali būti naudojama kaip 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enterinio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maitinimo pompa (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enternal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lastRenderedPageBreak/>
              <w:t>feeding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pump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lt-LT"/>
              </w:rPr>
              <w:t>)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0E1713D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Statinis</w:t>
            </w:r>
            <w:proofErr w:type="spellEnd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23C21005" w14:textId="5446627D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3 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</w:t>
            </w:r>
            <w:r w:rsidR="00211464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D6801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3CBBE68C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7B57402D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044A76D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T4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7A6BC" w14:textId="5ED76BB4" w:rsidR="003D4B39" w:rsidRPr="00393B5C" w:rsidRDefault="006F0C94" w:rsidP="000379B1">
            <w:pPr>
              <w:widowContro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Pompų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meniu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kalba</w:t>
            </w:r>
            <w:proofErr w:type="spellEnd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393B5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lietuvių</w:t>
            </w:r>
            <w:proofErr w:type="spellEnd"/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0246599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4F5A64A4" w14:textId="66934404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= 0,</w:t>
            </w:r>
            <w:r w:rsidR="006F0C94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D3BB0C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2ABBA28A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  <w:tr w:rsidR="003D4B39" w14:paraId="0BF641FD" w14:textId="77777777" w:rsidTr="000379B1">
        <w:trPr>
          <w:trHeight w:val="700"/>
        </w:trPr>
        <w:tc>
          <w:tcPr>
            <w:tcW w:w="6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5D45F974" w14:textId="77777777" w:rsidR="003D4B39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T5</w:t>
            </w:r>
          </w:p>
        </w:tc>
        <w:tc>
          <w:tcPr>
            <w:tcW w:w="344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17875" w14:textId="7A3B13EA" w:rsidR="003D4B39" w:rsidRPr="00393B5C" w:rsidRDefault="006F0C94" w:rsidP="000379B1">
            <w:pPr>
              <w:widowControl w:val="0"/>
              <w:rPr>
                <w:rFonts w:ascii="Times New Roman" w:hAnsi="Times New Roman"/>
                <w:sz w:val="24"/>
              </w:rPr>
            </w:pPr>
            <w:r w:rsidRPr="00393B5C">
              <w:rPr>
                <w:rFonts w:ascii="Times New Roman" w:hAnsi="Times New Roman"/>
                <w:sz w:val="24"/>
              </w:rPr>
              <w:t xml:space="preserve">Su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infuzine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tūrine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pompa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ir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infuzine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švirkštine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pompa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galima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naudoti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r w:rsidR="00393B5C" w:rsidRPr="00393B5C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≥3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kitų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gamintojų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vienkartines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infuzines</w:t>
            </w:r>
            <w:proofErr w:type="spellEnd"/>
            <w:r w:rsidRPr="00393B5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3B5C">
              <w:rPr>
                <w:rFonts w:ascii="Times New Roman" w:hAnsi="Times New Roman"/>
                <w:sz w:val="24"/>
              </w:rPr>
              <w:t>sistemas</w:t>
            </w:r>
            <w:proofErr w:type="spellEnd"/>
            <w:r w:rsidR="00393B5C" w:rsidRPr="00393B5C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6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0096F5ED" w14:textId="77777777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proofErr w:type="spellStart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Statinis</w:t>
            </w:r>
            <w:proofErr w:type="spellEnd"/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(Taip / Ne)</w:t>
            </w:r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</w:tcPr>
          <w:p w14:paraId="3A653B45" w14:textId="6DB3107A" w:rsidR="003D4B39" w:rsidRPr="00393B5C" w:rsidRDefault="003D4B39" w:rsidP="000379B1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  <w:lang w:val="sv-SE"/>
              </w:rPr>
            </w:pP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 xml:space="preserve">5 </w:t>
            </w:r>
            <w:r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 0,</w:t>
            </w:r>
            <w:r w:rsidR="006F0C94" w:rsidRPr="00393B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FAC6B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Taip –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balas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, </w:t>
            </w:r>
          </w:p>
          <w:p w14:paraId="00A66ED3" w14:textId="77777777" w:rsidR="003D4B39" w:rsidRDefault="003D4B39" w:rsidP="000379B1">
            <w:pPr>
              <w:widowControl w:val="0"/>
              <w:rPr>
                <w:rFonts w:ascii="Times New Roman" w:eastAsia="Times New Roman" w:hAnsi="Times New Roman"/>
                <w:color w:val="000000"/>
                <w:lang w:val="sv-SE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Ne – 0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balų</w:t>
            </w:r>
            <w:proofErr w:type="spellEnd"/>
          </w:p>
        </w:tc>
      </w:tr>
    </w:tbl>
    <w:p w14:paraId="34C53C53" w14:textId="77777777" w:rsidR="003D4B39" w:rsidRDefault="003D4B39" w:rsidP="003D4B39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</w:p>
    <w:p w14:paraId="0DA817A5" w14:textId="77777777" w:rsidR="003D4B39" w:rsidRDefault="003D4B39" w:rsidP="003D4B39">
      <w:pPr>
        <w:shd w:val="clear" w:color="auto" w:fill="FFFFFF"/>
        <w:jc w:val="both"/>
        <w:rPr>
          <w:rFonts w:ascii="Times New Roman" w:eastAsia="Times New Roman" w:hAnsi="Times New Roman"/>
          <w:b/>
          <w:bCs/>
          <w:color w:val="000000"/>
        </w:rPr>
      </w:pPr>
      <w:bookmarkStart w:id="0" w:name="_Hlk132893549"/>
      <w:proofErr w:type="spellStart"/>
      <w:r>
        <w:rPr>
          <w:rFonts w:ascii="Times New Roman" w:eastAsia="Times New Roman" w:hAnsi="Times New Roman"/>
          <w:b/>
          <w:bCs/>
          <w:color w:val="000000"/>
        </w:rPr>
        <w:t>Pasiūlymo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ekonominio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naudingumo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kainos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ir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kokybės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santykio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apskaičiavimo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tvarka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(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formulė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)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yra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pateikiama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žemiau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>:</w:t>
      </w:r>
      <w:bookmarkEnd w:id="0"/>
    </w:p>
    <w:p w14:paraId="049FC01B" w14:textId="77777777" w:rsidR="003D4B39" w:rsidRDefault="003D4B39" w:rsidP="003D4B39">
      <w:pPr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Pasiūlymo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ekonominio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naudingumo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kainos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ir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kokybės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santykio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apskaičiavimo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tvarka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formulė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yra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pateikiama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0"/>
          <w:szCs w:val="20"/>
        </w:rPr>
        <w:t>žemiau</w:t>
      </w:r>
      <w:proofErr w:type="spellEnd"/>
      <w:r>
        <w:rPr>
          <w:rFonts w:ascii="Times New Roman" w:hAnsi="Times New Roman"/>
          <w:i/>
          <w:iCs/>
          <w:color w:val="000000"/>
          <w:sz w:val="20"/>
          <w:szCs w:val="20"/>
        </w:rPr>
        <w:t>:</w:t>
      </w:r>
    </w:p>
    <w:p w14:paraId="7F9970E5" w14:textId="77777777" w:rsidR="003D4B39" w:rsidRDefault="003D4B39" w:rsidP="003D4B39">
      <w:pPr>
        <w:pStyle w:val="Sraopastraipa"/>
        <w:numPr>
          <w:ilvl w:val="0"/>
          <w:numId w:val="3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ekonominis naudingumas (E) apskaičiuojamas sudedant tiekėjo pasiūlymo kainos (K), techninių pranašumų (T) balus;</w:t>
      </w:r>
    </w:p>
    <w:p w14:paraId="3C8CFE06" w14:textId="77777777" w:rsidR="003D4B39" w:rsidRDefault="003D4B39" w:rsidP="003D4B39">
      <w:pPr>
        <w:pStyle w:val="Sraopastraipa"/>
        <w:shd w:val="clear" w:color="auto" w:fill="FFFFFF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E = K + T;</w:t>
      </w:r>
    </w:p>
    <w:p w14:paraId="07F9F756" w14:textId="77777777" w:rsidR="003D4B39" w:rsidRDefault="003D4B39" w:rsidP="003D4B39">
      <w:pPr>
        <w:pStyle w:val="Sraopastraipa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Pasiūlymo kainos (K) balai apskaičiuojami mažiausios pasiūlytos kainos (Kmin) ir vertinamo pasiūlymo kainos (Kv) santykį padauginant iš kainos lyginamojo svorio (X):</w:t>
      </w:r>
    </w:p>
    <w:p w14:paraId="1B9258D7" w14:textId="77777777" w:rsidR="003D4B39" w:rsidRDefault="003D4B39" w:rsidP="003D4B39">
      <w:pPr>
        <w:pStyle w:val="Sraopastraipa"/>
        <w:shd w:val="clear" w:color="auto" w:fill="FFFFFF"/>
        <w:jc w:val="center"/>
        <w:rPr>
          <w:rFonts w:ascii="Times New Roman" w:eastAsiaTheme="minorEastAsia" w:hAnsi="Times New Roman"/>
          <w:i/>
          <w:color w:val="000000"/>
          <w:sz w:val="20"/>
          <w:szCs w:val="20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/>
            </w:rPr>
            <m:t>×X</m:t>
          </m:r>
        </m:oMath>
      </m:oMathPara>
    </w:p>
    <w:p w14:paraId="5866E53A" w14:textId="77777777" w:rsidR="003D4B39" w:rsidRDefault="003D4B39" w:rsidP="003D4B39">
      <w:pPr>
        <w:pStyle w:val="Sraopastraipa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7E74D9F4" w14:textId="77777777" w:rsidR="003D4B39" w:rsidRDefault="003D4B39" w:rsidP="003D4B39">
      <w:pPr>
        <w:pStyle w:val="Sraopastraipa"/>
        <w:numPr>
          <w:ilvl w:val="0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techniniai pranašumai apskaičiuojami statiniu metodu:</w:t>
      </w:r>
    </w:p>
    <w:p w14:paraId="63DA5774" w14:textId="77777777" w:rsidR="003D4B39" w:rsidRDefault="003D4B39" w:rsidP="003D4B39">
      <w:pPr>
        <w:pStyle w:val="Sraopastraipa"/>
        <w:shd w:val="clear" w:color="auto" w:fill="FFFFFF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4A59FA0C" w14:textId="77777777" w:rsidR="003D4B39" w:rsidRDefault="003D4B39" w:rsidP="003D4B39">
      <w:pPr>
        <w:pStyle w:val="Sraopastraipa"/>
        <w:numPr>
          <w:ilvl w:val="1"/>
          <w:numId w:val="2"/>
        </w:numPr>
        <w:shd w:val="clear" w:color="auto" w:fill="FFFFFF"/>
        <w:spacing w:after="200" w:line="276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Siūlomo objekto T1, T2, T3, T4, T5, T6 techniniai parametrai apskaičiuojamas pagal metodiką:</w:t>
      </w:r>
    </w:p>
    <w:p w14:paraId="78DA7054" w14:textId="70432210" w:rsidR="003D4B39" w:rsidRDefault="003D4B39" w:rsidP="003D4B39">
      <w:pPr>
        <w:pStyle w:val="Sraopastraipa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Jei siūlomas objektas turi nurodytą pranašumą gauna maksimalų balų skaičių pagal lyginamąjį svorį: T1 = L1 = 0.20, T2 = L2 = 0.</w:t>
      </w:r>
      <w:r w:rsidR="0094002D">
        <w:rPr>
          <w:rFonts w:ascii="Times New Roman" w:hAnsi="Times New Roman"/>
          <w:i/>
          <w:iCs/>
          <w:color w:val="000000"/>
          <w:sz w:val="20"/>
          <w:szCs w:val="20"/>
        </w:rPr>
        <w:t>2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0, T3 = L3 = 0.20, T4 = L4 = 0.20, T5 = L5 = 0.20</w:t>
      </w:r>
      <w:r w:rsidR="0094002D">
        <w:rPr>
          <w:rFonts w:ascii="Times New Roman" w:hAnsi="Times New Roman"/>
          <w:i/>
          <w:iCs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Jei siūlomas objektas neturi nurodyto pranašumo, gauna 0 balų: T1 = L1 = T2 = L2 = T3 = L3 = T4 = L4 = T5 = L5 = 0.</w:t>
      </w:r>
    </w:p>
    <w:p w14:paraId="6F143BC7" w14:textId="77777777" w:rsidR="003D4B39" w:rsidRDefault="003D4B39" w:rsidP="003D4B39">
      <w:pPr>
        <w:pStyle w:val="Sraopastraipa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14:paraId="76462578" w14:textId="77777777" w:rsidR="003D4B39" w:rsidRDefault="003D4B39" w:rsidP="003D4B39">
      <w:pPr>
        <w:pStyle w:val="Sraopastraipa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color w:val="000000"/>
          <w:sz w:val="20"/>
          <w:szCs w:val="20"/>
        </w:rPr>
        <w:t>Techninių pranašumų (T) balai apskaičiuojami visų techninių kriterijų parametrų įvertinimų sumą padauginant iš techninių pranašumų lyginamojo svorio (Y):</w:t>
      </w:r>
    </w:p>
    <w:p w14:paraId="7C18673F" w14:textId="77777777" w:rsidR="003D4B39" w:rsidRDefault="00000000" w:rsidP="003D4B39">
      <w:pPr>
        <w:pStyle w:val="Sraopastraipa"/>
        <w:shd w:val="clear" w:color="auto" w:fill="FFFFFF"/>
        <w:ind w:left="1008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/>
          <w:i/>
          <w:iCs/>
          <w:noProof/>
          <w:color w:val="000000"/>
          <w:sz w:val="20"/>
          <w:szCs w:val="20"/>
        </w:rPr>
        <w:pict w14:anchorId="18432B07">
          <v:rect id="Text Box 8" o:spid="_x0000_s1026" style="position:absolute;left:0;text-align:left;margin-left:199.7pt;margin-top:19.1pt;width:157pt;height:5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" o:allowincell="f" filled="f" stroked="f" strokeweight="0">
            <v:textbox inset="0,0,0,0">
              <w:txbxContent>
                <w:p w14:paraId="21541F74" w14:textId="77777777" w:rsidR="003D4B39" w:rsidRDefault="003D4B39" w:rsidP="003D4B39">
                  <w:pPr>
                    <w:spacing w:after="0"/>
                    <w:jc w:val="center"/>
                    <w:rPr>
                      <w:i/>
                    </w:rPr>
                  </w:pPr>
                  <m:oMathPara>
                    <m:oMathParaPr>
                      <m:jc m:val="center"/>
                    </m:oMathParaPr>
                    <m:oMath>
                      <m:r>
                        <w:rPr>
                          <w:rFonts w:ascii="Cambria Math" w:hAnsi="Cambria Math"/>
                        </w:rPr>
                        <m:t>T=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nary>
                            <m:naryPr>
                              <m:chr m:val="∑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i=1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6</m:t>
                              </m:r>
                            </m:sup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i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  <m:r>
                        <w:rPr>
                          <w:rFonts w:ascii="Cambria Math" w:hAnsi="Cambria Math"/>
                        </w:rPr>
                        <m:t>xY</m:t>
                      </m:r>
                    </m:oMath>
                  </m:oMathPara>
                </w:p>
              </w:txbxContent>
            </v:textbox>
            <w10:wrap type="tight"/>
          </v:rect>
        </w:pict>
      </w:r>
    </w:p>
    <w:p w14:paraId="4F3DE96D" w14:textId="77777777" w:rsidR="003D4B39" w:rsidRP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0E04D658" w14:textId="77777777" w:rsidR="003D4B39" w:rsidRPr="003D4B39" w:rsidRDefault="003D4B39" w:rsidP="003D4B39">
      <w:pPr>
        <w:rPr>
          <w:rFonts w:ascii="Times New Roman" w:hAnsi="Times New Roman"/>
          <w:color w:val="000000" w:themeColor="text1"/>
          <w:sz w:val="24"/>
          <w:szCs w:val="24"/>
          <w:lang w:val="lt-LT"/>
        </w:rPr>
      </w:pPr>
    </w:p>
    <w:p w14:paraId="6A9FAE08" w14:textId="77777777" w:rsidR="003D4B39" w:rsidRPr="00625857" w:rsidRDefault="003D4B39" w:rsidP="003D4B39">
      <w:pPr>
        <w:pStyle w:val="HTMLiankstoformatuotas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4. </w:t>
      </w:r>
      <w:r w:rsidRPr="00625857">
        <w:rPr>
          <w:rFonts w:ascii="Times New Roman" w:hAnsi="Times New Roman" w:cs="Times New Roman"/>
          <w:i/>
          <w:iCs/>
        </w:rPr>
        <w:t>Apskaičiuojant ekonominio naudingumo balą (E) tiekėjams skirtų kriterijų balai apvalinami iki šimtųjų dalių.</w:t>
      </w:r>
    </w:p>
    <w:p w14:paraId="0AE44E5D" w14:textId="77777777" w:rsidR="003D4B39" w:rsidRPr="00625857" w:rsidRDefault="003D4B39" w:rsidP="003D4B39">
      <w:pPr>
        <w:pStyle w:val="HTMLiankstoformatuotas"/>
        <w:rPr>
          <w:rFonts w:ascii="Times New Roman" w:hAnsi="Times New Roman" w:cs="Times New Roman"/>
          <w:i/>
          <w:iCs/>
        </w:rPr>
      </w:pPr>
    </w:p>
    <w:p w14:paraId="739EF703" w14:textId="77777777" w:rsidR="003D4B39" w:rsidRPr="00625857" w:rsidRDefault="003D4B39" w:rsidP="003D4B39">
      <w:pPr>
        <w:pStyle w:val="HTMLiankstoformatuotas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5. </w:t>
      </w:r>
      <w:r w:rsidRPr="00625857">
        <w:rPr>
          <w:rFonts w:ascii="Times New Roman" w:hAnsi="Times New Roman" w:cs="Times New Roman"/>
          <w:i/>
          <w:iCs/>
        </w:rPr>
        <w:t>Jeigu tiekėjas pasiūlyme nenurodo (nepasirenka) parametro reikšmės, ar nepateikia dokumentų, įrodančių atitiktį parametrui, laikoma, kad parametrui yra suteikiama nulis balų.</w:t>
      </w:r>
    </w:p>
    <w:p w14:paraId="347714E4" w14:textId="77777777" w:rsidR="003D4B39" w:rsidRPr="00625857" w:rsidRDefault="003D4B39" w:rsidP="003D4B39">
      <w:pPr>
        <w:pStyle w:val="HTMLiankstoformatuotas"/>
        <w:rPr>
          <w:rFonts w:ascii="Times New Roman" w:hAnsi="Times New Roman" w:cs="Times New Roman"/>
          <w:i/>
          <w:iCs/>
        </w:rPr>
      </w:pPr>
    </w:p>
    <w:p w14:paraId="576950C2" w14:textId="77777777" w:rsidR="003D4B39" w:rsidRPr="00625857" w:rsidRDefault="003D4B39" w:rsidP="003D4B39">
      <w:pPr>
        <w:pStyle w:val="HTMLiankstoformatuotas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6. </w:t>
      </w:r>
      <w:r w:rsidRPr="00625857">
        <w:rPr>
          <w:rFonts w:ascii="Times New Roman" w:hAnsi="Times New Roman" w:cs="Times New Roman"/>
          <w:i/>
          <w:iCs/>
        </w:rPr>
        <w:t>Tais atvejais, kai kelių dalyvių pasiūlymų ekonominis naudingumas yra vienodas, nustatant pasiūlymų eilę, pirmesnis į šią eilę įrašomas dalyvis, kurio pasiūlymas pateiktas anksčiausiai.</w:t>
      </w:r>
    </w:p>
    <w:p w14:paraId="7E4C0BD2" w14:textId="77777777" w:rsidR="003D4B39" w:rsidRPr="00625857" w:rsidRDefault="003D4B39" w:rsidP="003D4B39">
      <w:pPr>
        <w:pStyle w:val="HTMLiankstoformatuotas"/>
        <w:rPr>
          <w:rFonts w:ascii="Times New Roman" w:hAnsi="Times New Roman" w:cs="Times New Roman"/>
          <w:i/>
          <w:iCs/>
        </w:rPr>
      </w:pPr>
    </w:p>
    <w:p w14:paraId="192414EB" w14:textId="2AE7EBCE" w:rsidR="003D4B39" w:rsidRPr="00F47ECB" w:rsidRDefault="003D4B39" w:rsidP="00F47ECB">
      <w:pPr>
        <w:pStyle w:val="HTMLiankstoformatuotas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7. </w:t>
      </w:r>
      <w:r w:rsidRPr="00625857">
        <w:rPr>
          <w:rFonts w:ascii="Times New Roman" w:hAnsi="Times New Roman" w:cs="Times New Roman"/>
          <w:i/>
          <w:iCs/>
        </w:rPr>
        <w:t>Suteikti balai perskaičiuojami, kai jau atlikus balų apskaičiavimą vienas iš tiekėjų iš pirkimo  pasitraukia (ar yra pašalinamas).</w:t>
      </w:r>
    </w:p>
    <w:sectPr w:rsidR="003D4B39" w:rsidRPr="00F47ECB" w:rsidSect="005126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2" w:right="1080" w:bottom="777" w:left="1080" w:header="720" w:footer="72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E0286" w14:textId="77777777" w:rsidR="002A0497" w:rsidRDefault="002A0497">
      <w:pPr>
        <w:spacing w:after="0" w:line="240" w:lineRule="auto"/>
      </w:pPr>
      <w:r>
        <w:separator/>
      </w:r>
    </w:p>
  </w:endnote>
  <w:endnote w:type="continuationSeparator" w:id="0">
    <w:p w14:paraId="3B0301FC" w14:textId="77777777" w:rsidR="002A0497" w:rsidRDefault="002A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215E" w14:textId="77777777" w:rsidR="005D5569" w:rsidRDefault="005D556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3318022"/>
      <w:docPartObj>
        <w:docPartGallery w:val="Page Numbers (Bottom of Page)"/>
        <w:docPartUnique/>
      </w:docPartObj>
    </w:sdtPr>
    <w:sdtContent>
      <w:p w14:paraId="517666EA" w14:textId="77777777" w:rsidR="005D5569" w:rsidRDefault="00547085">
        <w:pPr>
          <w:pStyle w:val="Porat"/>
          <w:jc w:val="right"/>
        </w:pPr>
        <w:r>
          <w:fldChar w:fldCharType="begin"/>
        </w:r>
        <w:r w:rsidR="00C6596F">
          <w:instrText xml:space="preserve"> PAGE </w:instrText>
        </w:r>
        <w:r>
          <w:fldChar w:fldCharType="separate"/>
        </w:r>
        <w:r w:rsidR="00BC7C59">
          <w:rPr>
            <w:noProof/>
          </w:rPr>
          <w:t>1</w:t>
        </w:r>
        <w:r>
          <w:fldChar w:fldCharType="end"/>
        </w:r>
      </w:p>
    </w:sdtContent>
  </w:sdt>
  <w:p w14:paraId="46570489" w14:textId="77777777" w:rsidR="005D5569" w:rsidRDefault="005D556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2457181"/>
      <w:docPartObj>
        <w:docPartGallery w:val="Page Numbers (Bottom of Page)"/>
        <w:docPartUnique/>
      </w:docPartObj>
    </w:sdtPr>
    <w:sdtContent>
      <w:p w14:paraId="7518046B" w14:textId="77777777" w:rsidR="005D5569" w:rsidRDefault="00547085">
        <w:pPr>
          <w:pStyle w:val="Porat"/>
          <w:jc w:val="right"/>
        </w:pPr>
        <w:r>
          <w:fldChar w:fldCharType="begin"/>
        </w:r>
        <w:r w:rsidR="00C6596F">
          <w:instrText xml:space="preserve"> PAGE </w:instrText>
        </w:r>
        <w:r>
          <w:fldChar w:fldCharType="separate"/>
        </w:r>
        <w:r w:rsidR="00C6596F">
          <w:t>6</w:t>
        </w:r>
        <w:r>
          <w:fldChar w:fldCharType="end"/>
        </w:r>
      </w:p>
    </w:sdtContent>
  </w:sdt>
  <w:p w14:paraId="356E7761" w14:textId="77777777" w:rsidR="005D5569" w:rsidRDefault="005D556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3F2F7" w14:textId="77777777" w:rsidR="002A0497" w:rsidRDefault="002A0497">
      <w:pPr>
        <w:spacing w:after="0" w:line="240" w:lineRule="auto"/>
      </w:pPr>
      <w:r>
        <w:separator/>
      </w:r>
    </w:p>
  </w:footnote>
  <w:footnote w:type="continuationSeparator" w:id="0">
    <w:p w14:paraId="6ACC4747" w14:textId="77777777" w:rsidR="002A0497" w:rsidRDefault="002A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C187" w14:textId="77777777" w:rsidR="005D5569" w:rsidRDefault="005D556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BF1A" w14:textId="77777777" w:rsidR="005D5569" w:rsidRDefault="005D556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AB32" w14:textId="77777777" w:rsidR="005D5569" w:rsidRDefault="005D556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1B7"/>
    <w:multiLevelType w:val="multilevel"/>
    <w:tmpl w:val="DE96DB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8" w:hanging="46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1440"/>
      </w:pPr>
    </w:lvl>
  </w:abstractNum>
  <w:abstractNum w:abstractNumId="1" w15:restartNumberingAfterBreak="0">
    <w:nsid w:val="6A17385D"/>
    <w:multiLevelType w:val="multilevel"/>
    <w:tmpl w:val="F0EADD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9639171">
    <w:abstractNumId w:val="1"/>
  </w:num>
  <w:num w:numId="2" w16cid:durableId="174082372">
    <w:abstractNumId w:val="0"/>
  </w:num>
  <w:num w:numId="3" w16cid:durableId="8024243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B39"/>
    <w:rsid w:val="00114CEA"/>
    <w:rsid w:val="0019383A"/>
    <w:rsid w:val="00211464"/>
    <w:rsid w:val="00216906"/>
    <w:rsid w:val="0027650E"/>
    <w:rsid w:val="002A0497"/>
    <w:rsid w:val="00393B5C"/>
    <w:rsid w:val="003D4B39"/>
    <w:rsid w:val="003F6A1B"/>
    <w:rsid w:val="004554B1"/>
    <w:rsid w:val="00457534"/>
    <w:rsid w:val="004D00B3"/>
    <w:rsid w:val="004F4B49"/>
    <w:rsid w:val="0051260A"/>
    <w:rsid w:val="005244D2"/>
    <w:rsid w:val="00547085"/>
    <w:rsid w:val="005D4958"/>
    <w:rsid w:val="005D5569"/>
    <w:rsid w:val="006A3DBF"/>
    <w:rsid w:val="006C4AD1"/>
    <w:rsid w:val="006D0C26"/>
    <w:rsid w:val="006F0C94"/>
    <w:rsid w:val="007448BF"/>
    <w:rsid w:val="007C36EC"/>
    <w:rsid w:val="00863A9A"/>
    <w:rsid w:val="00875BF0"/>
    <w:rsid w:val="008B1C4A"/>
    <w:rsid w:val="008B57C2"/>
    <w:rsid w:val="0094002D"/>
    <w:rsid w:val="009C4740"/>
    <w:rsid w:val="00A03174"/>
    <w:rsid w:val="00BC7C59"/>
    <w:rsid w:val="00BD0B67"/>
    <w:rsid w:val="00C6596F"/>
    <w:rsid w:val="00D00B0E"/>
    <w:rsid w:val="00DB0A7D"/>
    <w:rsid w:val="00E402F8"/>
    <w:rsid w:val="00E50CFA"/>
    <w:rsid w:val="00E74ADD"/>
    <w:rsid w:val="00EB62EF"/>
    <w:rsid w:val="00EE46CB"/>
    <w:rsid w:val="00F47ECB"/>
    <w:rsid w:val="00F57DD1"/>
    <w:rsid w:val="00FB1DAA"/>
    <w:rsid w:val="00FE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86B6F7"/>
  <w15:docId w15:val="{396424D5-3319-4458-8F1C-A323D5B4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4B39"/>
    <w:pPr>
      <w:suppressAutoHyphens/>
    </w:pPr>
    <w:rPr>
      <w:rFonts w:cs="Times New Roman"/>
      <w:kern w:val="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D4B39"/>
    <w:rPr>
      <w:rFonts w:ascii="Calibri" w:eastAsia="Calibri" w:hAnsi="Calibri" w:cs="Times New Roman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3D4B39"/>
    <w:rPr>
      <w:rFonts w:ascii="Calibri" w:eastAsia="Calibri" w:hAnsi="Calibri" w:cs="Times New Roman"/>
    </w:rPr>
  </w:style>
  <w:style w:type="character" w:customStyle="1" w:styleId="SraopastraipaDiagrama">
    <w:name w:val="Sąrašo pastraipa Diagrama"/>
    <w:link w:val="Sraopastraipa"/>
    <w:qFormat/>
    <w:locked/>
    <w:rsid w:val="003D4B39"/>
    <w:rPr>
      <w:rFonts w:ascii="Calibri" w:eastAsia="Calibri" w:hAnsi="Calibri" w:cs="Times New Roman"/>
    </w:rPr>
  </w:style>
  <w:style w:type="paragraph" w:styleId="prastasiniatinklio">
    <w:name w:val="Normal (Web)"/>
    <w:basedOn w:val="prastasis"/>
    <w:uiPriority w:val="99"/>
    <w:semiHidden/>
    <w:unhideWhenUsed/>
    <w:qFormat/>
    <w:rsid w:val="003D4B3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link w:val="SraopastraipaDiagrama"/>
    <w:qFormat/>
    <w:rsid w:val="003D4B39"/>
    <w:pPr>
      <w:ind w:left="720"/>
      <w:contextualSpacing/>
    </w:pPr>
    <w:rPr>
      <w:rFonts w:ascii="Calibri" w:eastAsia="Calibri" w:hAnsi="Calibri"/>
      <w:kern w:val="2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3D4B39"/>
    <w:pPr>
      <w:tabs>
        <w:tab w:val="center" w:pos="4986"/>
        <w:tab w:val="right" w:pos="9972"/>
      </w:tabs>
      <w:spacing w:after="0" w:line="240" w:lineRule="auto"/>
    </w:pPr>
    <w:rPr>
      <w:rFonts w:ascii="Calibri" w:eastAsia="Calibri" w:hAnsi="Calibri"/>
      <w:kern w:val="2"/>
      <w:lang w:val="lt-LT"/>
    </w:rPr>
  </w:style>
  <w:style w:type="character" w:customStyle="1" w:styleId="AntratsDiagrama1">
    <w:name w:val="Antraštės Diagrama1"/>
    <w:basedOn w:val="Numatytasispastraiposriftas"/>
    <w:uiPriority w:val="99"/>
    <w:semiHidden/>
    <w:rsid w:val="003D4B39"/>
    <w:rPr>
      <w:rFonts w:cs="Times New Roman"/>
      <w:kern w:val="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D4B39"/>
    <w:pPr>
      <w:tabs>
        <w:tab w:val="center" w:pos="4986"/>
        <w:tab w:val="right" w:pos="9972"/>
      </w:tabs>
      <w:spacing w:after="0" w:line="240" w:lineRule="auto"/>
    </w:pPr>
    <w:rPr>
      <w:rFonts w:ascii="Calibri" w:eastAsia="Calibri" w:hAnsi="Calibri"/>
      <w:kern w:val="2"/>
      <w:lang w:val="lt-LT"/>
    </w:rPr>
  </w:style>
  <w:style w:type="character" w:customStyle="1" w:styleId="PoratDiagrama1">
    <w:name w:val="Poraštė Diagrama1"/>
    <w:basedOn w:val="Numatytasispastraiposriftas"/>
    <w:uiPriority w:val="99"/>
    <w:semiHidden/>
    <w:rsid w:val="003D4B39"/>
    <w:rPr>
      <w:rFonts w:cs="Times New Roman"/>
      <w:kern w:val="0"/>
      <w:lang w:val="en-US"/>
    </w:rPr>
  </w:style>
  <w:style w:type="paragraph" w:customStyle="1" w:styleId="Body2">
    <w:name w:val="Body 2"/>
    <w:qFormat/>
    <w:rsid w:val="003D4B39"/>
    <w:pPr>
      <w:widowControl w:val="0"/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lang w:val="en-US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4B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D4B39"/>
    <w:rPr>
      <w:rFonts w:ascii="Courier New" w:eastAsia="Times New Roman" w:hAnsi="Courier New" w:cs="Courier New"/>
      <w:kern w:val="0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44D2"/>
    <w:rPr>
      <w:rFonts w:ascii="Tahoma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6866-2EB7-49ED-A730-82481651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Zita Morkeliūnienė</cp:lastModifiedBy>
  <cp:revision>2</cp:revision>
  <dcterms:created xsi:type="dcterms:W3CDTF">2025-02-26T13:16:00Z</dcterms:created>
  <dcterms:modified xsi:type="dcterms:W3CDTF">2025-03-31T11:46:00Z</dcterms:modified>
</cp:coreProperties>
</file>