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257C21B4" w:rsidR="001E6C2E" w:rsidRDefault="001E6C2E" w:rsidP="00B20F25">
      <w:pP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5D6E658C"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4925383"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tel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01887B20" w:rsidR="0099592E" w:rsidRPr="00AC180B" w:rsidRDefault="0099592E" w:rsidP="0099592E">
              <w:pPr>
                <w:spacing w:after="120" w:line="240" w:lineRule="auto"/>
                <w:ind w:left="567"/>
                <w:contextualSpacing/>
                <w:jc w:val="center"/>
                <w:rPr>
                  <w:rFonts w:ascii="Times New Roman" w:hAnsi="Times New Roman" w:cs="Times New Roman"/>
                  <w:b/>
                  <w:bCs/>
                  <w:sz w:val="24"/>
                  <w:szCs w:val="24"/>
                </w:rPr>
              </w:pPr>
              <w:r w:rsidRPr="00AC180B">
                <w:rPr>
                  <w:rFonts w:ascii="Times New Roman" w:hAnsi="Times New Roman" w:cs="Times New Roman"/>
                  <w:b/>
                  <w:bCs/>
                  <w:sz w:val="24"/>
                  <w:szCs w:val="24"/>
                </w:rPr>
                <w:t xml:space="preserve">MAŽOS VERTĖS VIEŠOJO PIRKIMO </w:t>
              </w:r>
              <w:r w:rsidR="00F9269F" w:rsidRPr="00AC180B">
                <w:rPr>
                  <w:rFonts w:ascii="Times New Roman" w:hAnsi="Times New Roman" w:cs="Times New Roman"/>
                  <w:b/>
                  <w:bCs/>
                  <w:sz w:val="24"/>
                  <w:szCs w:val="24"/>
                </w:rPr>
                <w:t>„</w:t>
              </w:r>
              <w:r w:rsidR="00982A49">
                <w:rPr>
                  <w:rFonts w:ascii="Times New Roman" w:hAnsi="Times New Roman" w:cs="Times New Roman"/>
                  <w:b/>
                  <w:bCs/>
                  <w:color w:val="000000" w:themeColor="text1"/>
                  <w:sz w:val="24"/>
                  <w:szCs w:val="24"/>
                </w:rPr>
                <w:t>JAUNIMO ERDVIŲ PATALPŲ REMONTO DARBŲ PIRKIMAS</w:t>
              </w:r>
              <w:r w:rsidR="00F9269F" w:rsidRPr="00AC180B">
                <w:rPr>
                  <w:rFonts w:ascii="Times New Roman" w:hAnsi="Times New Roman" w:cs="Times New Roman"/>
                  <w:b/>
                  <w:bCs/>
                  <w:sz w:val="24"/>
                  <w:szCs w:val="24"/>
                </w:rPr>
                <w:t>“</w:t>
              </w:r>
              <w:r w:rsidRPr="00AC180B">
                <w:rPr>
                  <w:rFonts w:ascii="Times New Roman" w:hAnsi="Times New Roman" w:cs="Times New Roman"/>
                  <w:b/>
                  <w:bCs/>
                  <w:sz w:val="24"/>
                  <w:szCs w:val="24"/>
                </w:rPr>
                <w:t xml:space="preserve"> SKELBIAMOS APKLAUSOS 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31800</Words>
  <Characters>18126</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3</cp:revision>
  <cp:lastPrinted>2025-01-13T10:50:00Z</cp:lastPrinted>
  <dcterms:created xsi:type="dcterms:W3CDTF">2025-03-31T08:21:00Z</dcterms:created>
  <dcterms:modified xsi:type="dcterms:W3CDTF">2025-03-31T08:23:00Z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