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7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</w:tblGrid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7460E5" w:rsidP="007460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Pirkimo sąlygų</w:t>
            </w:r>
            <w:bookmarkStart w:id="0" w:name="_GoBack"/>
            <w:bookmarkEnd w:id="0"/>
          </w:p>
        </w:tc>
      </w:tr>
      <w:tr w:rsidR="00725C97" w:rsidRPr="00725C97" w:rsidTr="007035CC"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C97" w:rsidRPr="00725C97" w:rsidRDefault="0037739C" w:rsidP="0037739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25C97" w:rsidRPr="00725C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</w:p>
        </w:tc>
      </w:tr>
    </w:tbl>
    <w:p w:rsid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61405" w:rsidRPr="00725C97" w:rsidRDefault="00B61405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 A V Y Z D Y S</w:t>
      </w:r>
    </w:p>
    <w:p w:rsidR="00725C97" w:rsidRPr="00725C97" w:rsidRDefault="00725C97" w:rsidP="00725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TIEKĖJO </w:t>
      </w:r>
      <w:r w:rsidR="003944FD" w:rsidRPr="00394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LAISVOS FORMOS </w:t>
      </w:r>
      <w:r w:rsidR="00B61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ATITIKTIES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DEKLARACIJA </w:t>
      </w: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PAGAL VIEŠŲJŲ PIRKIMŲ ĮSTATYMO 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45 STRAIPSNIO 2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lt-LT"/>
        </w:rPr>
        <w:t>1</w:t>
      </w:r>
      <w:r w:rsidR="0037739C" w:rsidRPr="003773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DALIES </w:t>
      </w:r>
      <w:r w:rsidR="00180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SĄLYGAS</w:t>
      </w:r>
    </w:p>
    <w:p w:rsidR="00B61405" w:rsidRPr="00725C97" w:rsidRDefault="00B61405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725C97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725C97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:rsidR="00725C97" w:rsidRPr="00725C97" w:rsidRDefault="00725C97" w:rsidP="00725C9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62"/>
      </w:tblGrid>
      <w:tr w:rsidR="00725C97" w:rsidRPr="00725C97" w:rsidTr="007035CC">
        <w:tc>
          <w:tcPr>
            <w:tcW w:w="9862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Aš, 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                (Tiekėjo vadovo ar jo įgalioto asmens pareigų pavadinimas, vardas ir pavardė)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tvirtinu, kad mano vadovaujamo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(atstovaujamo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))_________________________________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4"/>
                <w:sz w:val="24"/>
                <w:szCs w:val="24"/>
                <w:lang w:eastAsia="ar-SA"/>
              </w:rPr>
              <w:t xml:space="preserve">                                                                        </w:t>
            </w:r>
            <w:r w:rsidRPr="00725C97">
              <w:rPr>
                <w:rFonts w:ascii="Times New Roman" w:eastAsia="Arial" w:hAnsi="Times New Roman" w:cs="Times New Roman"/>
                <w:i/>
                <w:position w:val="4"/>
                <w:sz w:val="24"/>
                <w:szCs w:val="24"/>
                <w:lang w:eastAsia="ar-SA"/>
              </w:rPr>
              <w:t>(Tiekėjo pavadinimas)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dalyvaujančio (-</w:t>
            </w:r>
            <w:proofErr w:type="spellStart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ios</w:t>
            </w:r>
            <w:proofErr w:type="spellEnd"/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) Lietuvos Respublikos krašto apsaugos ministerijos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atliekamame _______________________________________________________________________________ ,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C55EEC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 xml:space="preserve">(Pirkimo objekto pavadinimas, pirkimo </w:t>
            </w:r>
            <w:r w:rsidR="00C55EEC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ID per</w:t>
            </w:r>
            <w:r w:rsidRPr="00725C97"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  <w:t>. CVP IS)</w:t>
            </w: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7035CC">
        <w:tc>
          <w:tcPr>
            <w:tcW w:w="9862" w:type="dxa"/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ascii="Times New Roman" w:eastAsia="Arial" w:hAnsi="Times New Roman" w:cs="Times New Roman"/>
                <w:i/>
                <w:position w:val="6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725C97" w:rsidP="00725C97">
      <w:pPr>
        <w:shd w:val="clear" w:color="auto" w:fill="FFFFFF"/>
        <w:tabs>
          <w:tab w:val="left" w:pos="567"/>
          <w:tab w:val="left" w:pos="1560"/>
        </w:tabs>
        <w:suppressAutoHyphens/>
        <w:autoSpaceDN w:val="0"/>
        <w:spacing w:line="256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duomenys dėl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viešųjų pirkimų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įstatymo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45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straipsnio 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2</w:t>
      </w:r>
      <w:r w:rsidR="007E422D" w:rsidRP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lt-LT"/>
        </w:rPr>
        <w:t>1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dal</w:t>
      </w:r>
      <w:r w:rsidR="007E42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yje</w:t>
      </w:r>
      <w:r w:rsidRPr="00725C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nustatytų</w:t>
      </w: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sąlygų yra tokie 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>(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Tiekėjas nurodo atitikimą nurodytoms sąlygoms pažymėdamas stulpeliuose </w:t>
      </w:r>
      <w:r w:rsidR="004A723F"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„Taip“</w:t>
      </w:r>
      <w:r w:rsidR="004A723F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arba</w:t>
      </w:r>
      <w:r w:rsidRPr="00725C97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 xml:space="preserve"> „Ne“</w:t>
      </w:r>
      <w:r w:rsidRPr="00725C97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): </w:t>
      </w:r>
    </w:p>
    <w:tbl>
      <w:tblPr>
        <w:tblStyle w:val="TableGrid1"/>
        <w:tblW w:w="9923" w:type="dxa"/>
        <w:tblInd w:w="-5" w:type="dxa"/>
        <w:tblLook w:val="04A0" w:firstRow="1" w:lastRow="0" w:firstColumn="1" w:lastColumn="0" w:noHBand="0" w:noVBand="1"/>
      </w:tblPr>
      <w:tblGrid>
        <w:gridCol w:w="6663"/>
        <w:gridCol w:w="1701"/>
        <w:gridCol w:w="1559"/>
      </w:tblGrid>
      <w:tr w:rsidR="00725C97" w:rsidRPr="00725C97" w:rsidTr="00FF0C2B">
        <w:trPr>
          <w:trHeight w:val="594"/>
        </w:trPr>
        <w:tc>
          <w:tcPr>
            <w:tcW w:w="6663" w:type="dxa"/>
            <w:vAlign w:val="center"/>
          </w:tcPr>
          <w:p w:rsidR="00725C97" w:rsidRPr="00725C97" w:rsidRDefault="00725C97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SĄLYGOS</w:t>
            </w:r>
          </w:p>
        </w:tc>
        <w:tc>
          <w:tcPr>
            <w:tcW w:w="1701" w:type="dxa"/>
            <w:vAlign w:val="center"/>
          </w:tcPr>
          <w:p w:rsidR="00FF0C2B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Taip, </w:t>
            </w:r>
          </w:p>
          <w:p w:rsidR="00725C97" w:rsidRPr="00725C97" w:rsidRDefault="00FF0C2B" w:rsidP="00FF0C2B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atitinku sąlygą</w:t>
            </w:r>
          </w:p>
        </w:tc>
        <w:tc>
          <w:tcPr>
            <w:tcW w:w="1559" w:type="dxa"/>
            <w:vAlign w:val="center"/>
          </w:tcPr>
          <w:p w:rsidR="00FF0C2B" w:rsidRPr="00725C97" w:rsidRDefault="00FF0C2B" w:rsidP="00725C9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25C97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Ne, neatitinku sąlygos</w:t>
            </w:r>
          </w:p>
        </w:tc>
      </w:tr>
      <w:tr w:rsidR="00725C97" w:rsidRPr="00725C97" w:rsidTr="00FF0C2B">
        <w:tc>
          <w:tcPr>
            <w:tcW w:w="6663" w:type="dxa"/>
          </w:tcPr>
          <w:p w:rsidR="001F41FD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subjektai, kurių pajėgumais remiamasi, tiekėjo siūlomų prekių (įskaitant jų sudedamąsias dalis, pakuotes) gamintojas ar juos kontroliuojantys asmenys </w:t>
            </w:r>
            <w:r w:rsidR="004A723F">
              <w:rPr>
                <w:rFonts w:ascii="Times New Roman" w:hAnsi="Times New Roman"/>
                <w:sz w:val="24"/>
                <w:szCs w:val="24"/>
              </w:rPr>
              <w:t>yra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>juridiniai 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4A723F">
              <w:rPr>
                <w:rFonts w:ascii="Times New Roman" w:hAnsi="Times New Roman"/>
                <w:b/>
                <w:sz w:val="24"/>
                <w:szCs w:val="24"/>
              </w:rPr>
              <w:t xml:space="preserve"> registruoti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D1" w:rsidRPr="00287E82">
              <w:rPr>
                <w:rFonts w:ascii="Times New Roman" w:hAnsi="Times New Roman"/>
                <w:sz w:val="24"/>
                <w:szCs w:val="24"/>
              </w:rPr>
              <w:t>Viešųjų pirkimo</w:t>
            </w:r>
            <w:r w:rsidR="00974A25" w:rsidRPr="00287E82">
              <w:rPr>
                <w:rFonts w:ascii="Times New Roman" w:hAnsi="Times New Roman"/>
                <w:sz w:val="24"/>
                <w:szCs w:val="24"/>
              </w:rPr>
              <w:t xml:space="preserve"> įstatymo 92 straipsnio 15 dalyje numatytame sąraše nurodytose valstybėse ar teritorijose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25C97" w:rsidRPr="00725C97" w:rsidRDefault="00725C97" w:rsidP="004A7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B96140" w:rsidRDefault="00725C97" w:rsidP="00974A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5C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74A25">
              <w:rPr>
                <w:rFonts w:ascii="Times New Roman" w:hAnsi="Times New Roman"/>
                <w:sz w:val="24"/>
                <w:szCs w:val="24"/>
              </w:rPr>
              <w:t>T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iekėjas, jo subtiekėjas, ūkio subjektas, kurio pajėgumais remiamasi, tiekėjo siūlomų prekių (įskaitant jų sudedamąsias dalis, pakuotes) gamintojas ar juos kontroliuojantys asmenys yra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t xml:space="preserve">fiziniai </w:t>
            </w:r>
            <w:r w:rsidR="00974A25" w:rsidRPr="00974A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asmenys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>,</w:t>
            </w:r>
            <w:r w:rsidR="004A723F">
              <w:rPr>
                <w:rFonts w:ascii="Times New Roman" w:hAnsi="Times New Roman"/>
                <w:sz w:val="24"/>
                <w:szCs w:val="24"/>
              </w:rPr>
              <w:t xml:space="preserve"> kurie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nėra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nuolat gyvenantys </w:t>
            </w:r>
            <w:r w:rsidR="00910FD1" w:rsidRPr="00910FD1">
              <w:rPr>
                <w:rFonts w:ascii="Times New Roman" w:hAnsi="Times New Roman"/>
                <w:sz w:val="24"/>
                <w:szCs w:val="24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įstatymo 92 straipsnio 15 dalyje numatytame sąraše nurodytose valstybėse ar teritorijose arba </w:t>
            </w:r>
            <w:r w:rsidR="004A723F" w:rsidRPr="004A723F">
              <w:rPr>
                <w:rFonts w:ascii="Times New Roman" w:hAnsi="Times New Roman"/>
                <w:b/>
                <w:sz w:val="24"/>
                <w:szCs w:val="24"/>
              </w:rPr>
              <w:t>neturi</w:t>
            </w:r>
            <w:r w:rsidR="00974A25" w:rsidRPr="00974A25">
              <w:rPr>
                <w:rFonts w:ascii="Times New Roman" w:hAnsi="Times New Roman"/>
                <w:sz w:val="24"/>
                <w:szCs w:val="24"/>
              </w:rPr>
              <w:t xml:space="preserve"> šių valstybių pilietyb</w:t>
            </w:r>
            <w:r w:rsidR="004A723F">
              <w:rPr>
                <w:rFonts w:ascii="Times New Roman" w:hAnsi="Times New Roman"/>
                <w:sz w:val="24"/>
                <w:szCs w:val="24"/>
              </w:rPr>
              <w:t>ės</w:t>
            </w:r>
            <w:r w:rsidR="00974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(</w:t>
            </w:r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sz w:val="24"/>
                <w:szCs w:val="24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sz w:val="24"/>
                <w:szCs w:val="24"/>
              </w:rPr>
              <w:t xml:space="preserve"> vyriausybės nekontroliuojamos Abchazijos ir Pietų Osetijos teritorijos</w:t>
            </w:r>
            <w:r w:rsidR="00B96140" w:rsidRPr="00B96140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E06DB" w:rsidRPr="00725C97" w:rsidRDefault="004E06DB" w:rsidP="00B961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725C97" w:rsidRPr="00725C97" w:rsidTr="00FF0C2B">
        <w:tc>
          <w:tcPr>
            <w:tcW w:w="6663" w:type="dxa"/>
          </w:tcPr>
          <w:p w:rsidR="00041C02" w:rsidRDefault="00940603" w:rsidP="0094060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Tiekėjas patvirtina, kad </w:t>
            </w:r>
            <w:r w:rsidR="00000AD6" w:rsidRPr="00000AD6">
              <w:rPr>
                <w:rFonts w:ascii="Times New Roman" w:hAnsi="Times New Roman"/>
                <w:b/>
                <w:sz w:val="24"/>
                <w:szCs w:val="24"/>
              </w:rPr>
              <w:t>teikiant</w:t>
            </w:r>
            <w:r w:rsidR="00D756BB" w:rsidRPr="004E06DB">
              <w:rPr>
                <w:rFonts w:ascii="Times New Roman" w:hAnsi="Times New Roman"/>
                <w:b/>
                <w:sz w:val="24"/>
                <w:szCs w:val="24"/>
              </w:rPr>
              <w:t xml:space="preserve"> paslaug</w:t>
            </w:r>
            <w:r w:rsidR="00000AD6">
              <w:rPr>
                <w:rFonts w:ascii="Times New Roman" w:hAnsi="Times New Roman"/>
                <w:b/>
                <w:sz w:val="24"/>
                <w:szCs w:val="24"/>
              </w:rPr>
              <w:t>as nebus naudojamos prekės</w:t>
            </w:r>
            <w:r w:rsidR="003C7680">
              <w:rPr>
                <w:rFonts w:ascii="Times New Roman" w:hAnsi="Times New Roman"/>
                <w:b/>
                <w:sz w:val="24"/>
                <w:szCs w:val="24"/>
              </w:rPr>
              <w:t>, kurių kilmė yra</w:t>
            </w:r>
            <w:r w:rsidR="00725C97" w:rsidRPr="00725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iš </w:t>
            </w:r>
            <w:r w:rsidR="00910FD1" w:rsidRPr="00910FD1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Viešųjų pirkimo </w:t>
            </w:r>
            <w:r w:rsidR="00974A25" w:rsidRP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įstatymo 92 straipsnio 15 dalyje numatytame sąraše nurodytų valstybių ar teritorijų</w:t>
            </w:r>
            <w:r w:rsidR="00974A25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(</w:t>
            </w:r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Rusijos Federacija, Baltarusijos Respublika,  Rusijos Federacijos aneksuotas Krymas, Moldovos Respublikos vyriausybės nekontroliuojama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Padniestrės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teritorija, </w:t>
            </w:r>
            <w:proofErr w:type="spellStart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Sakartvelo</w:t>
            </w:r>
            <w:proofErr w:type="spellEnd"/>
            <w:r w:rsidR="00475103" w:rsidRPr="00475103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 xml:space="preserve"> vyriausybės nekontroliuojamos Abchazijos ir Pietų Osetijos teritorijos</w:t>
            </w:r>
            <w:r w:rsidR="00041C02">
              <w:rPr>
                <w:rFonts w:ascii="Times New Roman" w:hAnsi="Times New Roman"/>
                <w:iCs/>
                <w:sz w:val="24"/>
                <w:szCs w:val="24"/>
                <w:lang w:eastAsia="lt-LT"/>
              </w:rPr>
              <w:t>).</w:t>
            </w:r>
          </w:p>
          <w:p w:rsidR="00725C97" w:rsidRPr="00725C97" w:rsidRDefault="00725C97" w:rsidP="00BC2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725C97" w:rsidRPr="00725C97" w:rsidRDefault="00725C97" w:rsidP="00725C97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5C97" w:rsidRPr="00725C97" w:rsidRDefault="00725C97" w:rsidP="00725C9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725C97" w:rsidRPr="00725C97" w:rsidRDefault="00725C97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Man žinoma, kad, jeigu perkančioji organizacija nustatytų, kad pateikti duomenys yra neteisingi, pateiktas pasiūlymas bus nenagrinėjamas ir atmestas.</w:t>
      </w:r>
    </w:p>
    <w:p w:rsidR="00725C97" w:rsidRPr="00725C97" w:rsidRDefault="00725C97" w:rsidP="00725C97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Jei pagal vertinimo rezultatus pasiūlymas galės būti pripažintas laimėjusiu (iki pasiūlymų eilės nustatymo), pateiksiu perkančiosios organizacijos </w:t>
      </w:r>
      <w:r w:rsidR="00D626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pirkimo dokumentuose </w:t>
      </w:r>
      <w:r w:rsidRPr="00725C97">
        <w:rPr>
          <w:rFonts w:ascii="Times New Roman" w:eastAsia="SimSun" w:hAnsi="Times New Roman" w:cs="Times New Roman"/>
          <w:sz w:val="24"/>
          <w:szCs w:val="24"/>
          <w:lang w:eastAsia="ar-SA"/>
        </w:rPr>
        <w:t>nurodytus atitiktį sąlygas patvirtinančius dokumentus.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725C97" w:rsidRPr="00725C97" w:rsidTr="007035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25C97" w:rsidRPr="00725C97" w:rsidTr="007035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725C97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:rsidR="00725C97" w:rsidRPr="00725C97" w:rsidRDefault="00725C97" w:rsidP="00725C97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211AF" w:rsidRDefault="00D211AF"/>
    <w:sectPr w:rsidR="00D211AF" w:rsidSect="00340ADD">
      <w:headerReference w:type="default" r:id="rId6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90" w:rsidRDefault="00B07B90" w:rsidP="00725C97">
      <w:pPr>
        <w:spacing w:after="0" w:line="240" w:lineRule="auto"/>
      </w:pPr>
      <w:r>
        <w:separator/>
      </w:r>
    </w:p>
  </w:endnote>
  <w:endnote w:type="continuationSeparator" w:id="0">
    <w:p w:rsidR="00B07B90" w:rsidRDefault="00B07B90" w:rsidP="0072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90" w:rsidRDefault="00B07B90" w:rsidP="00725C97">
      <w:pPr>
        <w:spacing w:after="0" w:line="240" w:lineRule="auto"/>
      </w:pPr>
      <w:r>
        <w:separator/>
      </w:r>
    </w:p>
  </w:footnote>
  <w:footnote w:type="continuationSeparator" w:id="0">
    <w:p w:rsidR="00B07B90" w:rsidRDefault="00B07B90" w:rsidP="00725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144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0ADD" w:rsidRDefault="00340A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ADD" w:rsidRDefault="00340A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22"/>
    <w:rsid w:val="00000AD6"/>
    <w:rsid w:val="00041C02"/>
    <w:rsid w:val="001568DD"/>
    <w:rsid w:val="00180C8C"/>
    <w:rsid w:val="001F41FD"/>
    <w:rsid w:val="00287E82"/>
    <w:rsid w:val="002C46F6"/>
    <w:rsid w:val="002D5010"/>
    <w:rsid w:val="002D6DB1"/>
    <w:rsid w:val="003223CD"/>
    <w:rsid w:val="00340ADD"/>
    <w:rsid w:val="0037739C"/>
    <w:rsid w:val="003944FD"/>
    <w:rsid w:val="003C7680"/>
    <w:rsid w:val="004055C1"/>
    <w:rsid w:val="00407C29"/>
    <w:rsid w:val="00430C13"/>
    <w:rsid w:val="00475103"/>
    <w:rsid w:val="004A723F"/>
    <w:rsid w:val="004E06DB"/>
    <w:rsid w:val="0065625A"/>
    <w:rsid w:val="00657907"/>
    <w:rsid w:val="0069799C"/>
    <w:rsid w:val="006C2097"/>
    <w:rsid w:val="00725C97"/>
    <w:rsid w:val="007460E5"/>
    <w:rsid w:val="007C4F22"/>
    <w:rsid w:val="007E422D"/>
    <w:rsid w:val="008B7A9B"/>
    <w:rsid w:val="00910FD1"/>
    <w:rsid w:val="00940603"/>
    <w:rsid w:val="00974A25"/>
    <w:rsid w:val="00B07B90"/>
    <w:rsid w:val="00B61405"/>
    <w:rsid w:val="00B96140"/>
    <w:rsid w:val="00BC2256"/>
    <w:rsid w:val="00C55EEC"/>
    <w:rsid w:val="00D211AF"/>
    <w:rsid w:val="00D62608"/>
    <w:rsid w:val="00D70F46"/>
    <w:rsid w:val="00D756BB"/>
    <w:rsid w:val="00DF3EE0"/>
    <w:rsid w:val="00E153DB"/>
    <w:rsid w:val="00E30735"/>
    <w:rsid w:val="00F04C9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282C"/>
  <w15:chartTrackingRefBased/>
  <w15:docId w15:val="{10768C99-C564-497C-9D0F-4F2C07D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5C9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2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5C97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rsid w:val="00725C9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25C97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BB"/>
    <w:rPr>
      <w:rFonts w:ascii="Segoe UI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ADD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340AD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ADD"/>
    <w:rPr>
      <w:lang w:val="lt-LT"/>
    </w:rPr>
  </w:style>
  <w:style w:type="paragraph" w:styleId="ListParagraph">
    <w:name w:val="List Paragraph"/>
    <w:basedOn w:val="Normal"/>
    <w:uiPriority w:val="34"/>
    <w:qFormat/>
    <w:rsid w:val="001F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Bartuseviciene</dc:creator>
  <cp:lastModifiedBy>Daiva Bartuseviciene</cp:lastModifiedBy>
  <cp:revision>3</cp:revision>
  <cp:lastPrinted>2022-04-20T08:14:00Z</cp:lastPrinted>
  <dcterms:created xsi:type="dcterms:W3CDTF">2025-03-28T08:25:00Z</dcterms:created>
  <dcterms:modified xsi:type="dcterms:W3CDTF">2025-03-31T08:41:00Z</dcterms:modified>
</cp:coreProperties>
</file>