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234" w:rsidRPr="00AD00BE" w:rsidRDefault="00C13234" w:rsidP="00C13234">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D00BE">
        <w:rPr>
          <w:rFonts w:ascii="Times New Roman" w:hAnsi="Times New Roman" w:cs="Times New Roman"/>
          <w:b/>
          <w:bCs/>
          <w:color w:val="000000" w:themeColor="text1"/>
          <w:sz w:val="24"/>
          <w:szCs w:val="24"/>
          <w:lang w:val="lt-LT"/>
        </w:rPr>
        <w:t>LIETUVOS KARIUOMENĖS KARINIŲ ORO PAJĖGŲ AVIACIJOS BAZĖ</w:t>
      </w:r>
    </w:p>
    <w:p w:rsidR="00C13234" w:rsidRPr="00AD00BE" w:rsidRDefault="00C13234" w:rsidP="00C13234">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 xml:space="preserve"> </w:t>
      </w:r>
    </w:p>
    <w:p w:rsidR="00E875A5" w:rsidRDefault="00C13234" w:rsidP="00C13234">
      <w:pPr>
        <w:pStyle w:val="FreeForm"/>
        <w:spacing w:line="300" w:lineRule="atLeast"/>
        <w:jc w:val="center"/>
        <w:rPr>
          <w:rFonts w:ascii="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SKRYDŽIŲ VALDYMO DUOMENŲ APDOR</w:t>
      </w:r>
      <w:r>
        <w:rPr>
          <w:rFonts w:ascii="Times New Roman" w:hAnsi="Times New Roman" w:cs="Times New Roman"/>
          <w:b/>
          <w:color w:val="000000"/>
          <w:sz w:val="24"/>
          <w:szCs w:val="24"/>
          <w:lang w:val="lt-LT"/>
        </w:rPr>
        <w:t>OJIMO BEI ATVAIZDAVIMO ĮRANG</w:t>
      </w:r>
      <w:r w:rsidR="00DA262C">
        <w:rPr>
          <w:rFonts w:ascii="Times New Roman" w:hAnsi="Times New Roman" w:cs="Times New Roman"/>
          <w:b/>
          <w:color w:val="000000"/>
          <w:sz w:val="24"/>
          <w:szCs w:val="24"/>
          <w:lang w:val="lt-LT"/>
        </w:rPr>
        <w:t xml:space="preserve">OS VIEŠOJO PIRKIMO </w:t>
      </w:r>
      <w:r>
        <w:rPr>
          <w:rFonts w:ascii="Times New Roman" w:hAnsi="Times New Roman" w:cs="Times New Roman"/>
          <w:b/>
          <w:color w:val="000000"/>
          <w:sz w:val="24"/>
          <w:szCs w:val="24"/>
          <w:lang w:val="lt-LT"/>
        </w:rPr>
        <w:t>KOMISIJA</w:t>
      </w:r>
    </w:p>
    <w:p w:rsidR="00C13234" w:rsidRDefault="00C13234" w:rsidP="00C13234">
      <w:pPr>
        <w:pStyle w:val="FreeForm"/>
        <w:spacing w:line="300" w:lineRule="atLeast"/>
        <w:jc w:val="center"/>
        <w:rPr>
          <w:rFonts w:ascii="Times New Roman" w:hAnsi="Times New Roman" w:cs="Times New Roman"/>
          <w:b/>
          <w:color w:val="000000"/>
          <w:sz w:val="24"/>
          <w:szCs w:val="24"/>
          <w:lang w:val="lt-LT"/>
        </w:rPr>
      </w:pPr>
    </w:p>
    <w:p w:rsidR="00C13234" w:rsidRDefault="00C13234" w:rsidP="00C13234">
      <w:pPr>
        <w:pStyle w:val="FreeForm"/>
        <w:spacing w:line="300" w:lineRule="atLeast"/>
        <w:jc w:val="center"/>
        <w:rPr>
          <w:rFonts w:ascii="Times New Roman" w:hAnsi="Times New Roman" w:cs="Times New Roman"/>
          <w:b/>
          <w:color w:val="000000"/>
          <w:sz w:val="24"/>
          <w:szCs w:val="24"/>
          <w:lang w:val="lt-LT"/>
        </w:rPr>
      </w:pPr>
    </w:p>
    <w:p w:rsidR="00C13234" w:rsidRPr="000569FB" w:rsidRDefault="00C13234" w:rsidP="00C13234">
      <w:pPr>
        <w:rPr>
          <w:sz w:val="24"/>
          <w:szCs w:val="24"/>
        </w:rPr>
      </w:pPr>
      <w:r w:rsidRPr="000569FB">
        <w:rPr>
          <w:sz w:val="24"/>
          <w:szCs w:val="24"/>
        </w:rPr>
        <w:t>Konkurso dalyviams</w:t>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005B50CA">
        <w:rPr>
          <w:sz w:val="24"/>
          <w:szCs w:val="24"/>
        </w:rPr>
        <w:t>2025-04-01</w:t>
      </w:r>
    </w:p>
    <w:p w:rsidR="00C13234" w:rsidRDefault="00C13234" w:rsidP="00C13234">
      <w:pPr>
        <w:rPr>
          <w:sz w:val="24"/>
          <w:szCs w:val="24"/>
        </w:rPr>
      </w:pPr>
    </w:p>
    <w:p w:rsidR="00C13234" w:rsidRPr="000569FB" w:rsidRDefault="00C13234" w:rsidP="00C13234">
      <w:pPr>
        <w:rPr>
          <w:sz w:val="24"/>
          <w:szCs w:val="24"/>
        </w:rPr>
      </w:pPr>
    </w:p>
    <w:p w:rsidR="00C13234" w:rsidRDefault="00C13234" w:rsidP="00C13234">
      <w:pPr>
        <w:rPr>
          <w:b/>
          <w:sz w:val="24"/>
          <w:szCs w:val="24"/>
        </w:rPr>
      </w:pPr>
      <w:r w:rsidRPr="000569FB">
        <w:rPr>
          <w:b/>
          <w:sz w:val="24"/>
          <w:szCs w:val="24"/>
        </w:rPr>
        <w:t>DĖL ATSAKY</w:t>
      </w:r>
      <w:r w:rsidR="005B50CA">
        <w:rPr>
          <w:b/>
          <w:sz w:val="24"/>
          <w:szCs w:val="24"/>
        </w:rPr>
        <w:t>MO Į KONKURSO DALYVIO PAKLAUSIMĄ</w:t>
      </w:r>
    </w:p>
    <w:p w:rsidR="00C13234" w:rsidRDefault="00C13234" w:rsidP="00C13234">
      <w:pPr>
        <w:rPr>
          <w:b/>
          <w:sz w:val="24"/>
          <w:szCs w:val="24"/>
        </w:rPr>
      </w:pPr>
    </w:p>
    <w:p w:rsidR="00C65DDF" w:rsidRDefault="00C65DDF" w:rsidP="00C13234">
      <w:pPr>
        <w:rPr>
          <w:b/>
          <w:sz w:val="24"/>
          <w:szCs w:val="24"/>
        </w:rPr>
      </w:pPr>
    </w:p>
    <w:p w:rsidR="00C13234" w:rsidRDefault="00C13234" w:rsidP="00C13234">
      <w:pPr>
        <w:spacing w:line="276" w:lineRule="auto"/>
        <w:ind w:firstLine="708"/>
        <w:jc w:val="both"/>
        <w:rPr>
          <w:sz w:val="24"/>
          <w:szCs w:val="24"/>
        </w:rPr>
      </w:pPr>
      <w:r w:rsidRPr="008518F2">
        <w:rPr>
          <w:sz w:val="24"/>
          <w:szCs w:val="24"/>
        </w:rPr>
        <w:t xml:space="preserve">Lietuvos kariuomenės </w:t>
      </w:r>
      <w:r>
        <w:rPr>
          <w:sz w:val="24"/>
          <w:szCs w:val="24"/>
        </w:rPr>
        <w:t>Karinių oro pajėgų Aviacijos bazė 202</w:t>
      </w:r>
      <w:r w:rsidR="00C65DDF">
        <w:rPr>
          <w:sz w:val="24"/>
          <w:szCs w:val="24"/>
        </w:rPr>
        <w:t>5</w:t>
      </w:r>
      <w:r>
        <w:rPr>
          <w:sz w:val="24"/>
          <w:szCs w:val="24"/>
        </w:rPr>
        <w:t xml:space="preserve"> m. </w:t>
      </w:r>
      <w:r w:rsidR="00E547D5">
        <w:rPr>
          <w:sz w:val="24"/>
          <w:szCs w:val="24"/>
        </w:rPr>
        <w:t>kovo 6</w:t>
      </w:r>
      <w:r>
        <w:rPr>
          <w:sz w:val="24"/>
          <w:szCs w:val="24"/>
        </w:rPr>
        <w:t xml:space="preserve"> </w:t>
      </w:r>
      <w:r w:rsidRPr="008518F2">
        <w:rPr>
          <w:sz w:val="24"/>
          <w:szCs w:val="24"/>
        </w:rPr>
        <w:t>d. Centrinėje viešųjų pirkimų informacinėje sistemoje (toliau – CVP IS) (pirkimo Nr.</w:t>
      </w:r>
      <w:r w:rsidRPr="008518F2">
        <w:rPr>
          <w:color w:val="333333"/>
          <w:sz w:val="24"/>
          <w:szCs w:val="24"/>
        </w:rPr>
        <w:t xml:space="preserve"> </w:t>
      </w:r>
      <w:r w:rsidR="00E547D5">
        <w:rPr>
          <w:color w:val="333333"/>
          <w:sz w:val="24"/>
          <w:szCs w:val="24"/>
        </w:rPr>
        <w:t>1469950</w:t>
      </w:r>
      <w:r w:rsidRPr="008518F2">
        <w:rPr>
          <w:sz w:val="24"/>
          <w:szCs w:val="24"/>
        </w:rPr>
        <w:t xml:space="preserve">) paskelbė </w:t>
      </w:r>
      <w:r>
        <w:rPr>
          <w:sz w:val="24"/>
          <w:szCs w:val="24"/>
        </w:rPr>
        <w:t>Skrydžių valdymo duomenų apdorojimo bei atvaizdavimo įrangos</w:t>
      </w:r>
      <w:r w:rsidRPr="008518F2">
        <w:rPr>
          <w:sz w:val="24"/>
          <w:szCs w:val="24"/>
          <w:lang w:eastAsia="lt-LT"/>
        </w:rPr>
        <w:t xml:space="preserve"> </w:t>
      </w:r>
      <w:r w:rsidRPr="008518F2">
        <w:rPr>
          <w:sz w:val="24"/>
          <w:szCs w:val="24"/>
        </w:rPr>
        <w:t xml:space="preserve">viešąjį pirkimą, vykdomą atviro konkurso būdu, CVP IS priemonėmis, pasiekiamą adresu </w:t>
      </w:r>
      <w:hyperlink r:id="rId5" w:history="1">
        <w:r w:rsidR="00B9711D" w:rsidRPr="00B86D71">
          <w:rPr>
            <w:rStyle w:val="Hyperlink"/>
            <w:rFonts w:eastAsia="Arial Unicode MS"/>
            <w:sz w:val="24"/>
            <w:szCs w:val="24"/>
          </w:rPr>
          <w:t>https://viesiejipirkimai.lt/</w:t>
        </w:r>
      </w:hyperlink>
      <w:r w:rsidRPr="008518F2">
        <w:rPr>
          <w:sz w:val="24"/>
          <w:szCs w:val="24"/>
        </w:rPr>
        <w:t>.</w:t>
      </w:r>
    </w:p>
    <w:p w:rsidR="005B50CA" w:rsidRPr="005B50CA" w:rsidRDefault="005B50CA" w:rsidP="005B50CA">
      <w:pPr>
        <w:ind w:firstLine="720"/>
        <w:jc w:val="both"/>
        <w:rPr>
          <w:sz w:val="24"/>
          <w:szCs w:val="24"/>
        </w:rPr>
      </w:pPr>
      <w:r>
        <w:rPr>
          <w:rFonts w:eastAsia="Arial Unicode MS"/>
          <w:sz w:val="24"/>
          <w:szCs w:val="24"/>
          <w:bdr w:val="nil"/>
        </w:rPr>
        <w:t>S</w:t>
      </w:r>
      <w:r w:rsidRPr="005B50CA">
        <w:rPr>
          <w:rFonts w:eastAsia="Arial Unicode MS"/>
          <w:sz w:val="24"/>
          <w:szCs w:val="24"/>
          <w:bdr w:val="nil"/>
        </w:rPr>
        <w:t>krydžių valdymo duomenų apdorojimo bei atvaizdavimo įrangos</w:t>
      </w:r>
      <w:r>
        <w:rPr>
          <w:sz w:val="24"/>
          <w:szCs w:val="24"/>
        </w:rPr>
        <w:t xml:space="preserve"> v</w:t>
      </w:r>
      <w:r w:rsidR="00C13234" w:rsidRPr="000569FB">
        <w:rPr>
          <w:sz w:val="24"/>
          <w:szCs w:val="24"/>
        </w:rPr>
        <w:t>iešojo pirkimo komisija (toliau – Komisija)</w:t>
      </w:r>
      <w:r w:rsidR="00C13234">
        <w:rPr>
          <w:sz w:val="24"/>
          <w:szCs w:val="24"/>
        </w:rPr>
        <w:t xml:space="preserve"> informuoja apie </w:t>
      </w:r>
      <w:r w:rsidRPr="005B50CA">
        <w:rPr>
          <w:sz w:val="24"/>
          <w:szCs w:val="24"/>
        </w:rPr>
        <w:t xml:space="preserve">2025 m. kovo 26 d. 16:56 val. ir 2025 m. kovo 27 d. 18:13 val. perkančioji organizacija CVP IS susirašinėjimo priemonėmis gavo </w:t>
      </w:r>
      <w:r>
        <w:rPr>
          <w:sz w:val="24"/>
          <w:szCs w:val="24"/>
        </w:rPr>
        <w:t>T</w:t>
      </w:r>
      <w:r w:rsidRPr="005B50CA">
        <w:rPr>
          <w:sz w:val="24"/>
          <w:szCs w:val="24"/>
        </w:rPr>
        <w:t>iekėjo pranešimą (Nr. 129283) „Clarification questions 2nd set dated 26.3.2025“ ir pranešimą (Nr. 131406) „Clarification questions 3“ (tekstas neredaguotas):</w:t>
      </w:r>
    </w:p>
    <w:p w:rsidR="007D12DD" w:rsidRPr="007D12DD" w:rsidRDefault="007D12DD" w:rsidP="007D12DD">
      <w:pPr>
        <w:ind w:firstLine="720"/>
        <w:jc w:val="both"/>
        <w:rPr>
          <w:rFonts w:eastAsia="Calibri"/>
          <w:i/>
          <w:sz w:val="24"/>
          <w:szCs w:val="24"/>
        </w:rPr>
      </w:pPr>
      <w:r w:rsidRPr="007D12DD">
        <w:rPr>
          <w:rFonts w:eastAsia="Calibri"/>
          <w:i/>
          <w:sz w:val="24"/>
          <w:szCs w:val="24"/>
        </w:rPr>
        <w:t>1)</w:t>
      </w:r>
      <w:r w:rsidRPr="007D12DD">
        <w:rPr>
          <w:rFonts w:eastAsia="Calibri"/>
          <w:i/>
          <w:sz w:val="24"/>
          <w:szCs w:val="24"/>
        </w:rPr>
        <w:tab/>
        <w:t xml:space="preserve">1 Annex TS and 2_Annex_Appendix_Proposed technical parameters, requirement Req. 1.6.(x) states: The functionality and capability of the system and its subsystems shall be implemented in accordance with the following guidance material: … (and the list of documents follows). </w:t>
      </w:r>
    </w:p>
    <w:p w:rsidR="007D12DD" w:rsidRPr="007D12DD" w:rsidRDefault="007D12DD" w:rsidP="007D12DD">
      <w:pPr>
        <w:ind w:firstLine="720"/>
        <w:jc w:val="both"/>
        <w:rPr>
          <w:rFonts w:eastAsia="Calibri"/>
          <w:i/>
          <w:sz w:val="24"/>
          <w:szCs w:val="24"/>
        </w:rPr>
      </w:pPr>
      <w:r w:rsidRPr="007D12DD">
        <w:rPr>
          <w:rFonts w:eastAsia="Calibri"/>
          <w:i/>
          <w:sz w:val="24"/>
          <w:szCs w:val="24"/>
        </w:rPr>
        <w:t>Comment/ Question: As in our opinion the number of documents/ its items are in part or fully not relevant to the supply, should we interpret this Req in a way that: "The functionality and capacity of the system and its subsystems shall be implemented in accordance with this guidance material where and if applicable"? Kindly confirm/ clarify.</w:t>
      </w:r>
    </w:p>
    <w:p w:rsidR="007D12DD" w:rsidRPr="007D12DD" w:rsidRDefault="007D12DD" w:rsidP="007D12DD">
      <w:pPr>
        <w:ind w:firstLine="720"/>
        <w:jc w:val="both"/>
        <w:rPr>
          <w:rFonts w:eastAsia="Calibri"/>
          <w:i/>
          <w:sz w:val="24"/>
          <w:szCs w:val="24"/>
        </w:rPr>
      </w:pPr>
      <w:r w:rsidRPr="007D12DD">
        <w:rPr>
          <w:rFonts w:eastAsia="Calibri"/>
          <w:i/>
          <w:sz w:val="24"/>
          <w:szCs w:val="24"/>
        </w:rPr>
        <w:t xml:space="preserve"> </w:t>
      </w:r>
    </w:p>
    <w:p w:rsidR="007D12DD" w:rsidRPr="007D12DD" w:rsidRDefault="007D12DD" w:rsidP="007D12DD">
      <w:pPr>
        <w:ind w:firstLine="720"/>
        <w:jc w:val="both"/>
        <w:rPr>
          <w:rFonts w:eastAsia="Calibri"/>
          <w:i/>
          <w:sz w:val="24"/>
          <w:szCs w:val="24"/>
        </w:rPr>
      </w:pPr>
      <w:r w:rsidRPr="007D12DD">
        <w:rPr>
          <w:rFonts w:eastAsia="Calibri"/>
          <w:i/>
          <w:sz w:val="24"/>
          <w:szCs w:val="24"/>
        </w:rPr>
        <w:t>2)</w:t>
      </w:r>
      <w:r w:rsidRPr="007D12DD">
        <w:rPr>
          <w:rFonts w:eastAsia="Calibri"/>
          <w:i/>
          <w:sz w:val="24"/>
          <w:szCs w:val="24"/>
        </w:rPr>
        <w:tab/>
        <w:t>1 Annex TS and 2_Annex_Appendix_Proposed technical parameters, requirement Req. 2.4.    Compliance with EU interoperability states:</w:t>
      </w:r>
    </w:p>
    <w:p w:rsidR="007D12DD" w:rsidRPr="007D12DD" w:rsidRDefault="007D12DD" w:rsidP="007D12DD">
      <w:pPr>
        <w:ind w:firstLine="720"/>
        <w:jc w:val="both"/>
        <w:rPr>
          <w:rFonts w:eastAsia="Calibri"/>
          <w:i/>
          <w:sz w:val="24"/>
          <w:szCs w:val="24"/>
        </w:rPr>
      </w:pPr>
      <w:r w:rsidRPr="007D12DD">
        <w:rPr>
          <w:rFonts w:eastAsia="Calibri"/>
          <w:i/>
          <w:sz w:val="24"/>
          <w:szCs w:val="24"/>
        </w:rPr>
        <w:t>2.4.1.    The system shall comply with the prescriptions and rules of the following EC Interoperability Regulations:</w:t>
      </w:r>
    </w:p>
    <w:p w:rsidR="007D12DD" w:rsidRPr="007D12DD" w:rsidRDefault="007D12DD" w:rsidP="007D12DD">
      <w:pPr>
        <w:ind w:firstLine="720"/>
        <w:jc w:val="both"/>
        <w:rPr>
          <w:rFonts w:eastAsia="Calibri"/>
          <w:i/>
          <w:sz w:val="24"/>
          <w:szCs w:val="24"/>
        </w:rPr>
      </w:pPr>
      <w:r w:rsidRPr="007D12DD">
        <w:rPr>
          <w:rFonts w:eastAsia="Calibri"/>
          <w:i/>
          <w:sz w:val="24"/>
          <w:szCs w:val="24"/>
        </w:rPr>
        <w:t>2.4.1.1.    Regulation (EC) No 2023/1768 of the European Parliament and of the Council on the interoperability of the European Air Traffic Management network (the Interoperability Regulation);</w:t>
      </w:r>
    </w:p>
    <w:p w:rsidR="007D12DD" w:rsidRPr="007D12DD" w:rsidRDefault="007D12DD" w:rsidP="007D12DD">
      <w:pPr>
        <w:ind w:firstLine="720"/>
        <w:jc w:val="both"/>
        <w:rPr>
          <w:rFonts w:eastAsia="Calibri"/>
          <w:i/>
          <w:sz w:val="24"/>
          <w:szCs w:val="24"/>
        </w:rPr>
      </w:pPr>
      <w:r w:rsidRPr="007D12DD">
        <w:rPr>
          <w:rFonts w:eastAsia="Calibri"/>
          <w:i/>
          <w:sz w:val="24"/>
          <w:szCs w:val="24"/>
        </w:rPr>
        <w:t>2.4.1.2.    2111/2005, (EC) No 1008/2008, (EU) No 996/2010, (EU) No 376/2014 and Directives 2014/30/EU and 2014/53/EU, and repealing Regulations (EC) No 552/2004 and (EC) No 216/2008 of the European Parliament and of the Council, and Council Regulation (EEC) No 3922/91.</w:t>
      </w:r>
    </w:p>
    <w:p w:rsidR="007D12DD" w:rsidRPr="007D12DD" w:rsidRDefault="007D12DD" w:rsidP="007D12DD">
      <w:pPr>
        <w:ind w:firstLine="720"/>
        <w:jc w:val="both"/>
        <w:rPr>
          <w:rFonts w:eastAsia="Calibri"/>
          <w:i/>
          <w:sz w:val="24"/>
          <w:szCs w:val="24"/>
        </w:rPr>
      </w:pPr>
      <w:r w:rsidRPr="007D12DD">
        <w:rPr>
          <w:rFonts w:eastAsia="Calibri"/>
          <w:i/>
          <w:sz w:val="24"/>
          <w:szCs w:val="24"/>
        </w:rPr>
        <w:t>2.4.2.    The system supplier (hereinafter referred to as 'Supplier') shall, upon request of the purchaser of the system (hereinafter referred to as 'Purchaser'), provide the relevant EC Declaration of Conformity or Declaration of Suitability for Use (for components of the system) validated by 6 October 2023, or evidence of compliance by the Supplier and its ATM system and its components with the documentation referred to in sub clause 2.4.1.</w:t>
      </w:r>
    </w:p>
    <w:p w:rsidR="007D12DD" w:rsidRPr="007D12DD" w:rsidRDefault="007D12DD" w:rsidP="007D12DD">
      <w:pPr>
        <w:ind w:firstLine="720"/>
        <w:jc w:val="both"/>
        <w:rPr>
          <w:rFonts w:eastAsia="Calibri"/>
          <w:i/>
          <w:sz w:val="24"/>
          <w:szCs w:val="24"/>
        </w:rPr>
      </w:pPr>
    </w:p>
    <w:p w:rsidR="007D12DD" w:rsidRPr="007D12DD" w:rsidRDefault="007D12DD" w:rsidP="007D12DD">
      <w:pPr>
        <w:ind w:firstLine="720"/>
        <w:jc w:val="both"/>
        <w:rPr>
          <w:rFonts w:eastAsia="Calibri"/>
          <w:i/>
          <w:sz w:val="24"/>
          <w:szCs w:val="24"/>
        </w:rPr>
      </w:pPr>
      <w:r w:rsidRPr="007D12DD">
        <w:rPr>
          <w:rFonts w:eastAsia="Calibri"/>
          <w:i/>
          <w:sz w:val="24"/>
          <w:szCs w:val="24"/>
        </w:rPr>
        <w:t xml:space="preserve">Comment:                                                                                                                                                                                                2.4.1.1  - 2023/1168 is not "regulation on interoperability", that term was used for 552/2004. 2023/1168 </w:t>
      </w:r>
      <w:r w:rsidRPr="007D12DD">
        <w:rPr>
          <w:rFonts w:eastAsia="Calibri"/>
          <w:i/>
          <w:sz w:val="24"/>
          <w:szCs w:val="24"/>
        </w:rPr>
        <w:lastRenderedPageBreak/>
        <w:t xml:space="preserve">is regulation laying down detailed rules for the certification and declaration of air traffic management/air navigation services systems. </w:t>
      </w:r>
    </w:p>
    <w:p w:rsidR="007D12DD" w:rsidRPr="007D12DD" w:rsidRDefault="007D12DD" w:rsidP="007D12DD">
      <w:pPr>
        <w:ind w:firstLine="720"/>
        <w:jc w:val="both"/>
        <w:rPr>
          <w:rFonts w:eastAsia="Calibri"/>
          <w:i/>
          <w:sz w:val="24"/>
          <w:szCs w:val="24"/>
        </w:rPr>
      </w:pPr>
      <w:r w:rsidRPr="007D12DD">
        <w:rPr>
          <w:rFonts w:eastAsia="Calibri"/>
          <w:i/>
          <w:sz w:val="24"/>
          <w:szCs w:val="24"/>
        </w:rPr>
        <w:t xml:space="preserve"> </w:t>
      </w:r>
    </w:p>
    <w:p w:rsidR="007D12DD" w:rsidRPr="007D12DD" w:rsidRDefault="007D12DD" w:rsidP="007D12DD">
      <w:pPr>
        <w:ind w:firstLine="720"/>
        <w:jc w:val="both"/>
        <w:rPr>
          <w:rFonts w:eastAsia="Calibri"/>
          <w:i/>
          <w:sz w:val="24"/>
          <w:szCs w:val="24"/>
        </w:rPr>
      </w:pPr>
      <w:r w:rsidRPr="007D12DD">
        <w:rPr>
          <w:rFonts w:eastAsia="Calibri"/>
          <w:i/>
          <w:sz w:val="24"/>
          <w:szCs w:val="24"/>
        </w:rPr>
        <w:t>2.4.2 Supplier is no longer entitled to issue DoC/DSU according to interoperability regulation 552/2004, as it is no longer in force.</w:t>
      </w:r>
    </w:p>
    <w:p w:rsidR="007D12DD" w:rsidRPr="007D12DD" w:rsidRDefault="007D12DD" w:rsidP="007D12DD">
      <w:pPr>
        <w:ind w:firstLine="720"/>
        <w:jc w:val="both"/>
        <w:rPr>
          <w:rFonts w:eastAsia="Calibri"/>
          <w:i/>
          <w:sz w:val="24"/>
          <w:szCs w:val="24"/>
        </w:rPr>
      </w:pPr>
      <w:r w:rsidRPr="007D12DD">
        <w:rPr>
          <w:rFonts w:eastAsia="Calibri"/>
          <w:i/>
          <w:sz w:val="24"/>
          <w:szCs w:val="24"/>
        </w:rPr>
        <w:t>Question:</w:t>
      </w:r>
    </w:p>
    <w:p w:rsidR="007D12DD" w:rsidRPr="007D12DD" w:rsidRDefault="007D12DD" w:rsidP="007D12DD">
      <w:pPr>
        <w:ind w:firstLine="720"/>
        <w:jc w:val="both"/>
        <w:rPr>
          <w:rFonts w:eastAsia="Calibri"/>
          <w:i/>
          <w:sz w:val="24"/>
          <w:szCs w:val="24"/>
        </w:rPr>
      </w:pPr>
      <w:r w:rsidRPr="007D12DD">
        <w:rPr>
          <w:rFonts w:eastAsia="Calibri"/>
          <w:i/>
          <w:sz w:val="24"/>
          <w:szCs w:val="24"/>
        </w:rPr>
        <w:t>Shall we assume that as per these paragraphs the Supplier is expected to provide documentation that enables ATM/ANS provider to issue corresponding Statement of Compliance as per Article 7 (Transitional provisions) of Regulation (EC) No 2023/1768?  Kindly clarify.</w:t>
      </w:r>
    </w:p>
    <w:p w:rsidR="007D12DD" w:rsidRPr="007D12DD" w:rsidRDefault="007D12DD" w:rsidP="007D12DD">
      <w:pPr>
        <w:ind w:firstLine="720"/>
        <w:jc w:val="both"/>
        <w:rPr>
          <w:rFonts w:eastAsia="Calibri"/>
          <w:i/>
          <w:sz w:val="24"/>
          <w:szCs w:val="24"/>
        </w:rPr>
      </w:pPr>
      <w:r w:rsidRPr="007D12DD">
        <w:rPr>
          <w:rFonts w:eastAsia="Calibri"/>
          <w:i/>
          <w:sz w:val="24"/>
          <w:szCs w:val="24"/>
        </w:rPr>
        <w:t>3)</w:t>
      </w:r>
      <w:r w:rsidRPr="007D12DD">
        <w:rPr>
          <w:rFonts w:eastAsia="Calibri"/>
          <w:i/>
          <w:sz w:val="24"/>
          <w:szCs w:val="24"/>
        </w:rPr>
        <w:tab/>
        <w:t xml:space="preserve">1 Annex TS and 2_Annex_Appendix_Proposed technical parameters, requirement Req. 2.10.2 states: Where SNET, air navigation and meteorological information retrieval and other ancillary (non-ATC) functionalities are supported by an FDP subsystem, the SWAL level of the FDP shall be applicable to their software. </w:t>
      </w:r>
    </w:p>
    <w:p w:rsidR="007D12DD" w:rsidRPr="007D12DD" w:rsidRDefault="007D12DD" w:rsidP="007D12DD">
      <w:pPr>
        <w:ind w:firstLine="720"/>
        <w:jc w:val="both"/>
        <w:rPr>
          <w:rFonts w:eastAsia="Calibri"/>
          <w:i/>
          <w:sz w:val="24"/>
          <w:szCs w:val="24"/>
        </w:rPr>
      </w:pPr>
      <w:r w:rsidRPr="007D12DD">
        <w:rPr>
          <w:rFonts w:eastAsia="Calibri"/>
          <w:i/>
          <w:sz w:val="24"/>
          <w:szCs w:val="24"/>
        </w:rPr>
        <w:t>Comment: The requirement seems to be incorrectly formulated or maybe translated. We understand that any system which functionalities and/or produced data have an influence on the FDP system functionality must have the same SWAL level (SWAL 3). To us, it does not seem to be relevant to propagate SWAL level to the subsystem which use the FDP service as their input. Such subsystems cannot have any influence on FDP functionality in any way. SWAL 3 requirement for all subsystems that use FDP outputs would significantly impact documentation and testing efforts.</w:t>
      </w:r>
    </w:p>
    <w:p w:rsidR="007D12DD" w:rsidRPr="007D12DD" w:rsidRDefault="007D12DD" w:rsidP="007D12DD">
      <w:pPr>
        <w:ind w:firstLine="720"/>
        <w:jc w:val="both"/>
        <w:rPr>
          <w:rFonts w:eastAsia="Calibri"/>
          <w:i/>
          <w:sz w:val="24"/>
          <w:szCs w:val="24"/>
        </w:rPr>
      </w:pPr>
      <w:r w:rsidRPr="007D12DD">
        <w:rPr>
          <w:rFonts w:eastAsia="Calibri"/>
          <w:i/>
          <w:sz w:val="24"/>
          <w:szCs w:val="24"/>
        </w:rPr>
        <w:t>Question:                                                                                                                                                                                            What is the meaning of this requirement and how it should be understood? Kindly confirm/ clarify.</w:t>
      </w:r>
    </w:p>
    <w:p w:rsidR="007D12DD" w:rsidRPr="007D12DD" w:rsidRDefault="007D12DD" w:rsidP="007D12DD">
      <w:pPr>
        <w:ind w:firstLine="720"/>
        <w:jc w:val="both"/>
        <w:rPr>
          <w:rFonts w:eastAsia="Calibri"/>
          <w:i/>
          <w:sz w:val="24"/>
          <w:szCs w:val="24"/>
        </w:rPr>
      </w:pPr>
    </w:p>
    <w:p w:rsidR="007D12DD" w:rsidRPr="007D12DD" w:rsidRDefault="007D12DD" w:rsidP="007D12DD">
      <w:pPr>
        <w:ind w:firstLine="720"/>
        <w:jc w:val="both"/>
        <w:rPr>
          <w:rFonts w:eastAsia="Calibri"/>
          <w:i/>
          <w:sz w:val="24"/>
          <w:szCs w:val="24"/>
        </w:rPr>
      </w:pPr>
      <w:r w:rsidRPr="007D12DD">
        <w:rPr>
          <w:rFonts w:eastAsia="Calibri"/>
          <w:i/>
          <w:sz w:val="24"/>
          <w:szCs w:val="24"/>
        </w:rPr>
        <w:t>4)</w:t>
      </w:r>
      <w:r w:rsidRPr="007D12DD">
        <w:rPr>
          <w:rFonts w:eastAsia="Calibri"/>
          <w:i/>
          <w:sz w:val="24"/>
          <w:szCs w:val="24"/>
        </w:rPr>
        <w:tab/>
        <w:t>1 Annex TS and 2_Annex_Appendix_Proposed technical parameters, requirement Req. 2.74.2.3. states: anti-virus measures, provided that this does not interfere with safety-critical functions and requirements;</w:t>
      </w:r>
    </w:p>
    <w:p w:rsidR="007D12DD" w:rsidRPr="007D12DD" w:rsidRDefault="007D12DD" w:rsidP="007D12DD">
      <w:pPr>
        <w:ind w:firstLine="720"/>
        <w:jc w:val="both"/>
        <w:rPr>
          <w:rFonts w:eastAsia="Calibri"/>
          <w:i/>
          <w:sz w:val="24"/>
          <w:szCs w:val="24"/>
        </w:rPr>
      </w:pPr>
      <w:r w:rsidRPr="007D12DD">
        <w:rPr>
          <w:rFonts w:eastAsia="Calibri"/>
          <w:i/>
          <w:sz w:val="24"/>
          <w:szCs w:val="24"/>
        </w:rPr>
        <w:t>Comment/ Question: As anti-virus solutions are capable to compromise system safety by design should this requirement to be understood as not applicable/ enforceable? Kindly confirm/ clarify.</w:t>
      </w:r>
    </w:p>
    <w:p w:rsidR="007D12DD" w:rsidRPr="007D12DD" w:rsidRDefault="007D12DD" w:rsidP="007D12DD">
      <w:pPr>
        <w:ind w:firstLine="720"/>
        <w:jc w:val="both"/>
        <w:rPr>
          <w:rFonts w:eastAsia="Calibri"/>
          <w:i/>
          <w:sz w:val="24"/>
          <w:szCs w:val="24"/>
        </w:rPr>
      </w:pPr>
    </w:p>
    <w:p w:rsidR="007D12DD" w:rsidRPr="007D12DD" w:rsidRDefault="007D12DD" w:rsidP="007D12DD">
      <w:pPr>
        <w:ind w:firstLine="720"/>
        <w:jc w:val="both"/>
        <w:rPr>
          <w:rFonts w:eastAsia="Calibri"/>
          <w:i/>
          <w:sz w:val="24"/>
          <w:szCs w:val="24"/>
        </w:rPr>
      </w:pPr>
      <w:r w:rsidRPr="007D12DD">
        <w:rPr>
          <w:rFonts w:eastAsia="Calibri"/>
          <w:i/>
          <w:sz w:val="24"/>
          <w:szCs w:val="24"/>
        </w:rPr>
        <w:t>5)</w:t>
      </w:r>
      <w:r w:rsidRPr="007D12DD">
        <w:rPr>
          <w:rFonts w:eastAsia="Calibri"/>
          <w:i/>
          <w:sz w:val="24"/>
          <w:szCs w:val="24"/>
        </w:rPr>
        <w:tab/>
        <w:t xml:space="preserve">1 Annex TS and 2_Annex_Appendix_Proposed technical parameters, requirement Req. 2.74.3.7.1. and 2.74.3.8.1. state: </w:t>
      </w:r>
    </w:p>
    <w:p w:rsidR="007D12DD" w:rsidRPr="007D12DD" w:rsidRDefault="007D12DD" w:rsidP="007D12DD">
      <w:pPr>
        <w:ind w:firstLine="720"/>
        <w:jc w:val="both"/>
        <w:rPr>
          <w:rFonts w:eastAsia="Calibri"/>
          <w:i/>
          <w:sz w:val="24"/>
          <w:szCs w:val="24"/>
        </w:rPr>
      </w:pPr>
      <w:r w:rsidRPr="007D12DD">
        <w:rPr>
          <w:rFonts w:eastAsia="Calibri"/>
          <w:i/>
          <w:sz w:val="24"/>
          <w:szCs w:val="24"/>
        </w:rPr>
        <w:t xml:space="preserve"> 2.74.3.7.1.    the system shall require password changes at least every three </w:t>
      </w:r>
    </w:p>
    <w:p w:rsidR="007D12DD" w:rsidRPr="007D12DD" w:rsidRDefault="007D12DD" w:rsidP="007D12DD">
      <w:pPr>
        <w:ind w:firstLine="720"/>
        <w:jc w:val="both"/>
        <w:rPr>
          <w:rFonts w:eastAsia="Calibri"/>
          <w:i/>
          <w:sz w:val="24"/>
          <w:szCs w:val="24"/>
        </w:rPr>
      </w:pPr>
      <w:r w:rsidRPr="007D12DD">
        <w:rPr>
          <w:rFonts w:eastAsia="Calibri"/>
          <w:i/>
          <w:sz w:val="24"/>
          <w:szCs w:val="24"/>
        </w:rPr>
        <w:t>2.74.3.8.1.    the system shall require password changes at least every two months;</w:t>
      </w:r>
    </w:p>
    <w:p w:rsidR="007D12DD" w:rsidRPr="007D12DD" w:rsidRDefault="007D12DD" w:rsidP="007D12DD">
      <w:pPr>
        <w:ind w:firstLine="720"/>
        <w:jc w:val="both"/>
        <w:rPr>
          <w:rFonts w:eastAsia="Calibri"/>
          <w:i/>
          <w:sz w:val="24"/>
          <w:szCs w:val="24"/>
        </w:rPr>
      </w:pPr>
    </w:p>
    <w:p w:rsidR="007D12DD" w:rsidRPr="007D12DD" w:rsidRDefault="007D12DD" w:rsidP="007D12DD">
      <w:pPr>
        <w:ind w:firstLine="720"/>
        <w:jc w:val="both"/>
        <w:rPr>
          <w:rFonts w:eastAsia="Calibri"/>
          <w:i/>
          <w:sz w:val="24"/>
          <w:szCs w:val="24"/>
        </w:rPr>
      </w:pPr>
      <w:r w:rsidRPr="007D12DD">
        <w:rPr>
          <w:rFonts w:eastAsia="Calibri"/>
          <w:i/>
          <w:sz w:val="24"/>
          <w:szCs w:val="24"/>
        </w:rPr>
        <w:t>Comment: The latest NIST guidelines now state that:</w:t>
      </w:r>
    </w:p>
    <w:p w:rsidR="007D12DD" w:rsidRPr="007D12DD" w:rsidRDefault="007D12DD" w:rsidP="007D12DD">
      <w:pPr>
        <w:ind w:firstLine="720"/>
        <w:jc w:val="both"/>
        <w:rPr>
          <w:rFonts w:eastAsia="Calibri"/>
          <w:i/>
          <w:sz w:val="24"/>
          <w:szCs w:val="24"/>
        </w:rPr>
      </w:pPr>
      <w:r w:rsidRPr="007D12DD">
        <w:rPr>
          <w:rFonts w:eastAsia="Calibri"/>
          <w:i/>
          <w:sz w:val="24"/>
          <w:szCs w:val="24"/>
        </w:rPr>
        <w:t>- Verifiers and CSPs SHALL NOT impose other composition rules (e.g., requiring mixtures of different character types) for passwords and</w:t>
      </w:r>
    </w:p>
    <w:p w:rsidR="007D12DD" w:rsidRPr="007D12DD" w:rsidRDefault="007D12DD" w:rsidP="007D12DD">
      <w:pPr>
        <w:ind w:firstLine="720"/>
        <w:jc w:val="both"/>
        <w:rPr>
          <w:rFonts w:eastAsia="Calibri"/>
          <w:i/>
          <w:sz w:val="24"/>
          <w:szCs w:val="24"/>
        </w:rPr>
      </w:pPr>
      <w:r w:rsidRPr="007D12DD">
        <w:rPr>
          <w:rFonts w:eastAsia="Calibri"/>
          <w:i/>
          <w:sz w:val="24"/>
          <w:szCs w:val="24"/>
        </w:rPr>
        <w:t xml:space="preserve">- Verifiers and CSPs SHALL NOT require users to change passwords periodically. </w:t>
      </w:r>
    </w:p>
    <w:p w:rsidR="007D12DD" w:rsidRPr="007D12DD" w:rsidRDefault="007D12DD" w:rsidP="007D12DD">
      <w:pPr>
        <w:ind w:firstLine="720"/>
        <w:jc w:val="both"/>
        <w:rPr>
          <w:rFonts w:eastAsia="Calibri"/>
          <w:i/>
          <w:sz w:val="24"/>
          <w:szCs w:val="24"/>
        </w:rPr>
      </w:pPr>
    </w:p>
    <w:p w:rsidR="007D12DD" w:rsidRPr="007D12DD" w:rsidRDefault="007D12DD" w:rsidP="007D12DD">
      <w:pPr>
        <w:ind w:firstLine="720"/>
        <w:jc w:val="both"/>
        <w:rPr>
          <w:rFonts w:eastAsia="Calibri"/>
          <w:i/>
          <w:sz w:val="24"/>
          <w:szCs w:val="24"/>
        </w:rPr>
      </w:pPr>
      <w:r w:rsidRPr="007D12DD">
        <w:rPr>
          <w:rFonts w:eastAsia="Calibri"/>
          <w:i/>
          <w:sz w:val="24"/>
          <w:szCs w:val="24"/>
        </w:rPr>
        <w:t>thus, stated requirements are detrimental to system security.</w:t>
      </w:r>
    </w:p>
    <w:p w:rsidR="007D12DD" w:rsidRPr="007D12DD" w:rsidRDefault="007D12DD" w:rsidP="007D12DD">
      <w:pPr>
        <w:ind w:firstLine="720"/>
        <w:jc w:val="both"/>
        <w:rPr>
          <w:rFonts w:eastAsia="Calibri"/>
          <w:i/>
          <w:sz w:val="24"/>
          <w:szCs w:val="24"/>
        </w:rPr>
      </w:pPr>
      <w:r w:rsidRPr="007D12DD">
        <w:rPr>
          <w:rFonts w:eastAsia="Calibri"/>
          <w:i/>
          <w:sz w:val="24"/>
          <w:szCs w:val="24"/>
        </w:rPr>
        <w:t>Question: How should these requirements to be understood- as not applicable/ enforceable? Kindly confirm/ clarify.</w:t>
      </w:r>
    </w:p>
    <w:p w:rsidR="007D12DD" w:rsidRPr="007D12DD" w:rsidRDefault="007D12DD" w:rsidP="007D12DD">
      <w:pPr>
        <w:ind w:firstLine="720"/>
        <w:jc w:val="both"/>
        <w:rPr>
          <w:rFonts w:eastAsia="Calibri"/>
          <w:i/>
          <w:sz w:val="24"/>
          <w:szCs w:val="24"/>
        </w:rPr>
      </w:pPr>
    </w:p>
    <w:p w:rsidR="007D12DD" w:rsidRPr="007D12DD" w:rsidRDefault="007D12DD" w:rsidP="007D12DD">
      <w:pPr>
        <w:ind w:firstLine="720"/>
        <w:jc w:val="both"/>
        <w:rPr>
          <w:rFonts w:eastAsia="Calibri"/>
          <w:i/>
          <w:sz w:val="24"/>
          <w:szCs w:val="24"/>
        </w:rPr>
      </w:pPr>
      <w:r w:rsidRPr="007D12DD">
        <w:rPr>
          <w:rFonts w:eastAsia="Calibri"/>
          <w:i/>
          <w:sz w:val="24"/>
          <w:szCs w:val="24"/>
        </w:rPr>
        <w:t>6)</w:t>
      </w:r>
      <w:r w:rsidRPr="007D12DD">
        <w:rPr>
          <w:rFonts w:eastAsia="Calibri"/>
          <w:i/>
          <w:sz w:val="24"/>
          <w:szCs w:val="24"/>
        </w:rPr>
        <w:tab/>
        <w:t>1 Annex TS and 2_Annex_Appendix_Proposed technical parameters, requirement Req. 2.74.10. states – Intrusion detection systems shall be in place and operational to monitor the System's inbound and outbound traffic and internal traffic between critical network services.</w:t>
      </w:r>
    </w:p>
    <w:p w:rsidR="007D12DD" w:rsidRPr="007D12DD" w:rsidRDefault="007D12DD" w:rsidP="007D12DD">
      <w:pPr>
        <w:ind w:firstLine="720"/>
        <w:jc w:val="both"/>
        <w:rPr>
          <w:rFonts w:eastAsia="Calibri"/>
          <w:i/>
          <w:sz w:val="24"/>
          <w:szCs w:val="24"/>
        </w:rPr>
      </w:pPr>
    </w:p>
    <w:p w:rsidR="007D12DD" w:rsidRPr="007D12DD" w:rsidRDefault="007D12DD" w:rsidP="007D12DD">
      <w:pPr>
        <w:ind w:firstLine="720"/>
        <w:jc w:val="both"/>
        <w:rPr>
          <w:rFonts w:eastAsia="Calibri"/>
          <w:i/>
          <w:sz w:val="24"/>
          <w:szCs w:val="24"/>
        </w:rPr>
      </w:pPr>
      <w:r w:rsidRPr="007D12DD">
        <w:rPr>
          <w:rFonts w:eastAsia="Calibri"/>
          <w:i/>
          <w:sz w:val="24"/>
          <w:szCs w:val="24"/>
        </w:rPr>
        <w:lastRenderedPageBreak/>
        <w:t xml:space="preserve">Comment: The requirement should be (usually) implemented on the infrastructure/network (by provider of infrastructure/ network) and not on the System level. </w:t>
      </w:r>
    </w:p>
    <w:p w:rsidR="007D12DD" w:rsidRPr="007D12DD" w:rsidRDefault="007D12DD" w:rsidP="007D12DD">
      <w:pPr>
        <w:ind w:firstLine="720"/>
        <w:jc w:val="both"/>
        <w:rPr>
          <w:rFonts w:eastAsia="Calibri"/>
          <w:i/>
          <w:sz w:val="24"/>
          <w:szCs w:val="24"/>
        </w:rPr>
      </w:pPr>
      <w:r w:rsidRPr="007D12DD">
        <w:rPr>
          <w:rFonts w:eastAsia="Calibri"/>
          <w:i/>
          <w:sz w:val="24"/>
          <w:szCs w:val="24"/>
        </w:rPr>
        <w:t>Question: Is it thus really required to implement intrusion detection systems (as well) as a part of the System supply? Kindly confirm/ clarify.</w:t>
      </w:r>
    </w:p>
    <w:p w:rsidR="007D12DD" w:rsidRPr="007D12DD" w:rsidRDefault="007D12DD" w:rsidP="007D12DD">
      <w:pPr>
        <w:ind w:firstLine="720"/>
        <w:jc w:val="both"/>
        <w:rPr>
          <w:rFonts w:eastAsia="Calibri"/>
          <w:i/>
          <w:sz w:val="24"/>
          <w:szCs w:val="24"/>
        </w:rPr>
      </w:pPr>
    </w:p>
    <w:p w:rsidR="007D12DD" w:rsidRPr="007D12DD" w:rsidRDefault="007D12DD" w:rsidP="007D12DD">
      <w:pPr>
        <w:ind w:firstLine="720"/>
        <w:jc w:val="both"/>
        <w:rPr>
          <w:rFonts w:eastAsia="Calibri"/>
          <w:i/>
          <w:sz w:val="24"/>
          <w:szCs w:val="24"/>
        </w:rPr>
      </w:pPr>
      <w:r w:rsidRPr="007D12DD">
        <w:rPr>
          <w:rFonts w:eastAsia="Calibri"/>
          <w:i/>
          <w:sz w:val="24"/>
          <w:szCs w:val="24"/>
        </w:rPr>
        <w:t>7)</w:t>
      </w:r>
      <w:r w:rsidRPr="007D12DD">
        <w:rPr>
          <w:rFonts w:eastAsia="Calibri"/>
          <w:i/>
          <w:sz w:val="24"/>
          <w:szCs w:val="24"/>
        </w:rPr>
        <w:tab/>
        <w:t>1469950 Notice, para 5.1.12, Submission deadline April 9, 2025</w:t>
      </w:r>
    </w:p>
    <w:p w:rsidR="007D12DD" w:rsidRPr="007D12DD" w:rsidRDefault="007D12DD" w:rsidP="007D12DD">
      <w:pPr>
        <w:ind w:firstLine="720"/>
        <w:jc w:val="both"/>
        <w:rPr>
          <w:rFonts w:eastAsia="Calibri"/>
          <w:i/>
          <w:sz w:val="24"/>
          <w:szCs w:val="24"/>
        </w:rPr>
      </w:pPr>
      <w:r w:rsidRPr="007D12DD">
        <w:rPr>
          <w:rFonts w:eastAsia="Calibri"/>
          <w:i/>
          <w:sz w:val="24"/>
          <w:szCs w:val="24"/>
        </w:rPr>
        <w:t>Question: Given the complexity of the requirements and documentation to be processed, is it possible to extend submission deadline by 3 weeks, till April 30, 2025?“</w:t>
      </w:r>
    </w:p>
    <w:p w:rsidR="007D12DD" w:rsidRPr="007D12DD" w:rsidRDefault="007D12DD" w:rsidP="007D12DD">
      <w:pPr>
        <w:ind w:firstLine="720"/>
        <w:jc w:val="both"/>
        <w:rPr>
          <w:rFonts w:eastAsia="Calibri"/>
          <w:i/>
          <w:sz w:val="24"/>
          <w:szCs w:val="24"/>
        </w:rPr>
      </w:pPr>
    </w:p>
    <w:p w:rsidR="007D12DD" w:rsidRPr="007D12DD" w:rsidRDefault="007D12DD" w:rsidP="007D12DD">
      <w:pPr>
        <w:ind w:firstLine="720"/>
        <w:jc w:val="both"/>
        <w:rPr>
          <w:rFonts w:eastAsia="Calibri"/>
          <w:i/>
          <w:sz w:val="24"/>
          <w:szCs w:val="24"/>
        </w:rPr>
      </w:pPr>
      <w:r w:rsidRPr="007D12DD">
        <w:rPr>
          <w:rFonts w:eastAsia="Calibri"/>
          <w:i/>
          <w:sz w:val="24"/>
          <w:szCs w:val="24"/>
        </w:rPr>
        <w:t xml:space="preserve">8) 1 Annex TS and 2_Annex_Appendix_Proposed technical parameters, requirement Req. 2.47.6 states: The HMI shall comply with the latest Eurocontrol standards and recommendations. </w:t>
      </w:r>
    </w:p>
    <w:p w:rsidR="007D12DD" w:rsidRPr="007D12DD" w:rsidRDefault="007D12DD" w:rsidP="007D12DD">
      <w:pPr>
        <w:ind w:firstLine="720"/>
        <w:jc w:val="both"/>
        <w:rPr>
          <w:rFonts w:eastAsia="Calibri"/>
          <w:i/>
          <w:sz w:val="24"/>
          <w:szCs w:val="24"/>
        </w:rPr>
      </w:pPr>
      <w:r w:rsidRPr="007D12DD">
        <w:rPr>
          <w:rFonts w:eastAsia="Calibri"/>
          <w:i/>
          <w:sz w:val="24"/>
          <w:szCs w:val="24"/>
        </w:rPr>
        <w:t>Comment: Requirement is, in our opinion, not clearly defined or might be solution specific. If you intend to refer to documents - 1.6.45. EUROCONTROL Integrated Tower Working Position (ITWP) Baseline HMI Description and 1.6.46. EUROCONTROL Integrated Tower Working Position (ITWP) Functional Requirements then these, in our opinion, describe a particular solution. Thus, only producer of such solution can provide it and as such it could be considered as discriminatory requirement.</w:t>
      </w:r>
    </w:p>
    <w:p w:rsidR="000D7720" w:rsidRPr="000D7720" w:rsidRDefault="000D7720" w:rsidP="000D7720">
      <w:pPr>
        <w:ind w:firstLine="720"/>
        <w:jc w:val="both"/>
        <w:rPr>
          <w:rFonts w:eastAsia="Calibri"/>
          <w:sz w:val="24"/>
          <w:szCs w:val="24"/>
        </w:rPr>
      </w:pPr>
    </w:p>
    <w:p w:rsidR="000A14BB" w:rsidRDefault="000A14BB" w:rsidP="000A14BB">
      <w:pPr>
        <w:pBdr>
          <w:top w:val="nil"/>
          <w:left w:val="nil"/>
          <w:bottom w:val="nil"/>
          <w:right w:val="nil"/>
          <w:between w:val="nil"/>
          <w:bar w:val="nil"/>
        </w:pBdr>
        <w:ind w:firstLine="720"/>
        <w:jc w:val="both"/>
        <w:rPr>
          <w:sz w:val="24"/>
          <w:szCs w:val="24"/>
          <w:bdr w:val="nil"/>
        </w:rPr>
      </w:pPr>
      <w:r w:rsidRPr="000A14BB">
        <w:rPr>
          <w:sz w:val="24"/>
          <w:szCs w:val="24"/>
          <w:bdr w:val="nil"/>
        </w:rPr>
        <w:t>Viešojo pirkimo komisija</w:t>
      </w:r>
      <w:r>
        <w:rPr>
          <w:sz w:val="24"/>
          <w:szCs w:val="24"/>
          <w:bdr w:val="nil"/>
        </w:rPr>
        <w:t xml:space="preserve"> teikia atsakymus</w:t>
      </w:r>
      <w:r w:rsidRPr="000A14BB">
        <w:rPr>
          <w:sz w:val="24"/>
          <w:szCs w:val="24"/>
          <w:bdr w:val="nil"/>
        </w:rPr>
        <w:t xml:space="preserve"> į Tiekėjo paklausimą:</w:t>
      </w:r>
    </w:p>
    <w:p w:rsidR="000A14BB" w:rsidRPr="000A14BB" w:rsidRDefault="000A14BB" w:rsidP="000A14BB">
      <w:pPr>
        <w:pBdr>
          <w:top w:val="nil"/>
          <w:left w:val="nil"/>
          <w:bottom w:val="nil"/>
          <w:right w:val="nil"/>
          <w:between w:val="nil"/>
          <w:bar w:val="nil"/>
        </w:pBdr>
        <w:ind w:firstLine="720"/>
        <w:jc w:val="both"/>
        <w:rPr>
          <w:sz w:val="24"/>
          <w:szCs w:val="24"/>
          <w:bdr w:val="nil"/>
        </w:rPr>
      </w:pP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1) Answer:</w:t>
      </w:r>
      <w:r w:rsidRPr="000A14BB">
        <w:rPr>
          <w:rFonts w:ascii="Times New Roman" w:hAnsi="Times New Roman" w:cs="Times New Roman"/>
          <w:color w:val="000000"/>
          <w:sz w:val="24"/>
          <w:szCs w:val="24"/>
          <w:lang w:val="lt-LT"/>
        </w:rPr>
        <w:t xml:space="preserve"> The functionality and capacity of the system and its subsystems shall be implemented in accordance with this guidance material where and if applicable.</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 xml:space="preserve">Vertimas. </w:t>
      </w:r>
      <w:r w:rsidRPr="000A14BB">
        <w:rPr>
          <w:rFonts w:ascii="Times New Roman" w:hAnsi="Times New Roman" w:cs="Times New Roman"/>
          <w:color w:val="000000"/>
          <w:sz w:val="24"/>
          <w:szCs w:val="24"/>
          <w:lang w:val="lt-LT"/>
        </w:rPr>
        <w:t>Sistemos ir jos posistemių funkcionalumas ir pajėgumai turi būti įgyvendinami pagal šią rekomendacinę medžiagą, jei taikoma.</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2) Answer:</w:t>
      </w:r>
      <w:r w:rsidRPr="000A14BB">
        <w:rPr>
          <w:rFonts w:ascii="Times New Roman" w:hAnsi="Times New Roman" w:cs="Times New Roman"/>
          <w:color w:val="000000"/>
          <w:sz w:val="24"/>
          <w:szCs w:val="24"/>
          <w:lang w:val="lt-LT"/>
        </w:rPr>
        <w:t xml:space="preserve"> The Supplier on request of the purchaser (in this case ATM Service provider) is expected to provide documentation that enables ATM/ANS provider to issue corresponding Statement of Compliance as per Article 7 (Transitional provisions) of Regulation (EC) No 2023/1768. Also based on Regulation (EC) No 2023/1768 the system manufacturer (Supplier) must commit to applying for a DPO approval and for certification/declaration of GE (or evidance it has already applied or is in process of getting an approval)</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 xml:space="preserve">Vertimas. </w:t>
      </w:r>
      <w:r w:rsidRPr="000A14BB">
        <w:rPr>
          <w:rFonts w:ascii="Times New Roman" w:hAnsi="Times New Roman" w:cs="Times New Roman"/>
          <w:color w:val="000000"/>
          <w:sz w:val="24"/>
          <w:szCs w:val="24"/>
          <w:lang w:val="lt-LT"/>
        </w:rPr>
        <w:t>Tikimasi, kad tiekėjas pirkėjo (šiuo atveju skrydžių valdymo paslaugų teikėjo) prašymu pateiks dokumentus, leidžiančius ATM/ANS teikėjui išduoti atitinkamą atitikties pareiškimą, kaip numatyta Reglamento (EB) Nr. 2023/1768 7 straipsnyje (Pereinamosios nuostatos). Be to, remdamasis Reglamentu (EB) Nr. 2023/1768, sistemos gamintojas (tiekėjas) turi įsipareigoti pateikti paraišką dėl DPO patvirtinimo ir GE sertifikavimo / deklaracijos (arba įrodymų, kad teikėjas jau pateikė arba ruošiasi gauti patvirtinimą).</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3) Answer</w:t>
      </w:r>
      <w:r w:rsidRPr="000A14BB">
        <w:rPr>
          <w:rFonts w:ascii="Times New Roman" w:hAnsi="Times New Roman" w:cs="Times New Roman"/>
          <w:color w:val="000000"/>
          <w:sz w:val="24"/>
          <w:szCs w:val="24"/>
          <w:lang w:val="lt-LT"/>
        </w:rPr>
        <w:t>: If the subsystem uses the FDP service as its input and doesn't affect the FDP functionality, the SWAL level remains unchanged. If the subsystem has an impact on FDP, the SWAL level increases to SWAL 3.</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 xml:space="preserve">Vertimas. </w:t>
      </w:r>
      <w:r w:rsidRPr="000A14BB">
        <w:rPr>
          <w:rFonts w:ascii="Times New Roman" w:hAnsi="Times New Roman" w:cs="Times New Roman"/>
          <w:color w:val="000000"/>
          <w:sz w:val="24"/>
          <w:szCs w:val="24"/>
          <w:lang w:val="lt-LT"/>
        </w:rPr>
        <w:t>Jei posistemis naudoja FDP paslaugą kaip įvestį ir neturi įtakos FDP funkcionalumui, SWAL lygis lieka nepakitęs. Jei posistemis turi įtakos FDP, SWAL lygis padidėja iki SWAL 3.</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lastRenderedPageBreak/>
        <w:t>4) Answer:</w:t>
      </w:r>
      <w:r w:rsidRPr="000A14BB">
        <w:rPr>
          <w:rFonts w:ascii="Times New Roman" w:hAnsi="Times New Roman" w:cs="Times New Roman"/>
          <w:color w:val="000000"/>
          <w:sz w:val="24"/>
          <w:szCs w:val="24"/>
          <w:lang w:val="lt-LT"/>
        </w:rPr>
        <w:t xml:space="preserve"> The supplier has to show proof or explain how anti-virus measures can affect the security of the system (e.g. tests, measures, description of compromised processes, etc.).</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Vertimas</w:t>
      </w:r>
      <w:r w:rsidRPr="000A14BB">
        <w:rPr>
          <w:rFonts w:ascii="Times New Roman" w:hAnsi="Times New Roman" w:cs="Times New Roman"/>
          <w:color w:val="000000"/>
          <w:sz w:val="24"/>
          <w:szCs w:val="24"/>
          <w:lang w:val="lt-LT"/>
        </w:rPr>
        <w:t>. Tiekėjas turi įrodyti arba paaiškinti, kaip antivirusinės priemonės gali paveikti sistemos saugumą (pvz., testai, priemonės, pažeistų procesų aprašymas ir kt.).</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5) Answ</w:t>
      </w:r>
      <w:r w:rsidR="006B2776">
        <w:rPr>
          <w:rFonts w:ascii="Times New Roman" w:hAnsi="Times New Roman" w:cs="Times New Roman"/>
          <w:b/>
          <w:color w:val="000000"/>
          <w:sz w:val="24"/>
          <w:szCs w:val="24"/>
          <w:lang w:val="lt-LT"/>
        </w:rPr>
        <w:t>er</w:t>
      </w:r>
      <w:r w:rsidRPr="000A14BB">
        <w:rPr>
          <w:rFonts w:ascii="Times New Roman" w:hAnsi="Times New Roman" w:cs="Times New Roman"/>
          <w:color w:val="000000"/>
          <w:sz w:val="24"/>
          <w:szCs w:val="24"/>
          <w:lang w:val="lt-LT"/>
        </w:rPr>
        <w:t>: As we understand it, the supplier follows NIST (National Institute of Standards and Technology) standards. TS requirements for cybersecurity are written in accordance with Lithuanian legislation (valid edition of November 6, 2024 No. 945 "RESOLUTION ON AMENDMENT OF THE GOVERNMENT OF THE REPUBLIC OF LITHUANIA Resolution No. 818 "ON IMPLEMENTATION OF THE CYBER SECURITY LAW OF THE REPUBLIC OF LITHUANIA" of August 13, 2018")</w:t>
      </w:r>
    </w:p>
    <w:p w:rsidR="000A14BB" w:rsidRPr="000A14BB" w:rsidRDefault="000A14BB" w:rsidP="000A14BB">
      <w:pPr>
        <w:pStyle w:val="FreeForm"/>
        <w:spacing w:line="300" w:lineRule="atLeast"/>
        <w:ind w:firstLine="709"/>
        <w:jc w:val="both"/>
        <w:rPr>
          <w:rFonts w:ascii="Times New Roman" w:hAnsi="Times New Roman"/>
          <w:color w:val="000000"/>
          <w:sz w:val="24"/>
          <w:szCs w:val="24"/>
        </w:rPr>
      </w:pPr>
      <w:r w:rsidRPr="000A14BB">
        <w:rPr>
          <w:rFonts w:ascii="Times New Roman" w:hAnsi="Times New Roman" w:cs="Times New Roman"/>
          <w:b/>
          <w:color w:val="000000"/>
          <w:sz w:val="24"/>
          <w:szCs w:val="24"/>
          <w:lang w:val="lt-LT"/>
        </w:rPr>
        <w:t xml:space="preserve">Vertimas. </w:t>
      </w:r>
      <w:r w:rsidRPr="000A14BB">
        <w:rPr>
          <w:rFonts w:ascii="Times New Roman" w:hAnsi="Times New Roman"/>
          <w:color w:val="000000"/>
          <w:sz w:val="24"/>
          <w:szCs w:val="24"/>
          <w:lang w:val="lt-LT"/>
        </w:rPr>
        <w:t>Kaip mes suprantame, tiekėjas vadovaujasi NIST (Nacionalinis standartų ir technologijų institutas) standartais. TS reikalavimai kibernetiniam saugumui surašyti vadovaujantis Lietuvos teisės aktais (galioja 2024 m. lapkričio 6 d. redakcija Nr. 945 „NUTARIMAS DĖL LIETUVOS RESPUBLIKOS VYRIAUSYBĖS nutarimo Nr. 818 „DĖL KIBERTINIO SAUGUMO TAISYKLĖS ĮGYVENDINIMO“ rugpjūčio mėn. 13, 2018")</w:t>
      </w:r>
    </w:p>
    <w:p w:rsidR="000A14BB" w:rsidRPr="000A14BB" w:rsidRDefault="000A14BB" w:rsidP="000A14BB">
      <w:pPr>
        <w:pStyle w:val="FreeForm"/>
        <w:spacing w:line="300" w:lineRule="atLeast"/>
        <w:ind w:firstLine="709"/>
        <w:jc w:val="both"/>
        <w:rPr>
          <w:rFonts w:ascii="Times New Roman" w:hAnsi="Times New Roman" w:cs="Times New Roman"/>
          <w:b/>
          <w:color w:val="000000"/>
          <w:sz w:val="24"/>
          <w:szCs w:val="24"/>
          <w:lang w:val="lt-LT"/>
        </w:rPr>
      </w:pP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6) Answer</w:t>
      </w:r>
      <w:r w:rsidRPr="000A14BB">
        <w:rPr>
          <w:rFonts w:ascii="Times New Roman" w:hAnsi="Times New Roman" w:cs="Times New Roman"/>
          <w:color w:val="000000"/>
          <w:sz w:val="24"/>
          <w:szCs w:val="24"/>
          <w:lang w:val="lt-LT"/>
        </w:rPr>
        <w:t>: If it can't be part of the system this time, it can be used as either a tool or a part that works with other parts to form a subsystem (e.g. Host-based intrusion detection system – HIDS).</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Vertimas.</w:t>
      </w:r>
      <w:r w:rsidRPr="000A14BB">
        <w:rPr>
          <w:rFonts w:ascii="Times New Roman" w:hAnsi="Times New Roman" w:cs="Times New Roman"/>
          <w:color w:val="000000"/>
          <w:sz w:val="24"/>
          <w:szCs w:val="24"/>
          <w:lang w:val="lt-LT"/>
        </w:rPr>
        <w:t xml:space="preserve"> Jei šį kartą jis negali būti sistemos dalis, jis gali būti naudojamas kaip įrankis arba dalis, kuri veikia su kitomis dalimis, kad sudarytų posistemį (pvz., kompiuteryje įdiegta  įsilaužimo aptikimo sistemą – HIDS).</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7) Answer.</w:t>
      </w:r>
      <w:r w:rsidRPr="000A14B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w:t>
      </w:r>
      <w:r w:rsidRPr="000A14BB">
        <w:rPr>
          <w:rFonts w:ascii="Times New Roman" w:hAnsi="Times New Roman" w:cs="Times New Roman"/>
          <w:color w:val="000000"/>
          <w:sz w:val="24"/>
          <w:szCs w:val="24"/>
          <w:lang w:val="lt-LT"/>
        </w:rPr>
        <w:t xml:space="preserve">he Public Procurement Commission agrees to extend the deadline for submission of offers, which was set on 9 April 2025 at 10:00 a.m. to </w:t>
      </w:r>
      <w:r w:rsidRPr="000A14BB">
        <w:rPr>
          <w:rFonts w:ascii="Times New Roman" w:hAnsi="Times New Roman" w:cs="Times New Roman"/>
          <w:b/>
          <w:color w:val="000000"/>
          <w:sz w:val="24"/>
          <w:szCs w:val="24"/>
          <w:lang w:val="lt-LT"/>
        </w:rPr>
        <w:t>30 April 2025 at 10:00 a.m.,</w:t>
      </w:r>
      <w:r w:rsidRPr="000A14BB">
        <w:rPr>
          <w:rFonts w:ascii="Times New Roman" w:hAnsi="Times New Roman" w:cs="Times New Roman"/>
          <w:color w:val="000000"/>
          <w:sz w:val="24"/>
          <w:szCs w:val="24"/>
          <w:lang w:val="lt-LT"/>
        </w:rPr>
        <w:t xml:space="preserve"> and to set the time for familiarization with offers at 30 April 2025 at 10:30 a.m.</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color w:val="000000"/>
          <w:sz w:val="24"/>
          <w:szCs w:val="24"/>
          <w:lang w:val="lt-LT"/>
        </w:rPr>
        <w:t>It should be noted that the procurement notice was published on 6 March 2025, and the deadline for submission of offers set on 9 April 2025 complies with the deadlines provided for in the Law on Public Procurement of the Republic of Lithuania. Taking this into account, the contracting authority concludes that by additionally extending the deadline for submission of offers by 21 days, a sufficient deadline has been set for preparing an offer in accordance with the requirements set in the procurement conditions.</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b/>
          <w:color w:val="000000"/>
          <w:sz w:val="24"/>
          <w:szCs w:val="24"/>
          <w:lang w:val="lt-LT"/>
        </w:rPr>
        <w:t>Vertimas.</w:t>
      </w:r>
      <w:r w:rsidRPr="000A14BB">
        <w:rPr>
          <w:rFonts w:ascii="Times New Roman" w:hAnsi="Times New Roman" w:cs="Times New Roman"/>
          <w:color w:val="000000"/>
          <w:sz w:val="24"/>
          <w:szCs w:val="24"/>
          <w:lang w:val="lt-LT"/>
        </w:rPr>
        <w:t xml:space="preserve"> Viešojo pirkimo komisija sutinka pratęsti pasiūlymų pateikimo terminą, kuris buvo nustatytas 2025 m. balandžio 9 d. 10.00 val. pakeičiant į </w:t>
      </w:r>
      <w:r w:rsidRPr="000A14BB">
        <w:rPr>
          <w:rFonts w:ascii="Times New Roman" w:hAnsi="Times New Roman" w:cs="Times New Roman"/>
          <w:b/>
          <w:color w:val="000000"/>
          <w:sz w:val="24"/>
          <w:szCs w:val="24"/>
          <w:lang w:val="lt-LT"/>
        </w:rPr>
        <w:t>2025 m. balandžio 30 d. 10.00 val</w:t>
      </w:r>
      <w:r w:rsidRPr="000A14BB">
        <w:rPr>
          <w:rFonts w:ascii="Times New Roman" w:hAnsi="Times New Roman" w:cs="Times New Roman"/>
          <w:color w:val="000000"/>
          <w:sz w:val="24"/>
          <w:szCs w:val="24"/>
          <w:lang w:val="lt-LT"/>
        </w:rPr>
        <w:t>., o susipažinimo su pasiūlymais laiką nustatyti 2025 m. balandžio 30 d. 10.30 val.</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color w:val="000000"/>
          <w:sz w:val="24"/>
          <w:szCs w:val="24"/>
          <w:lang w:val="lt-LT"/>
        </w:rPr>
        <w:t>Paminėtina, kad skelbimas apie pirkimą buvo paskelbtas 2025 m. kovo 6 d., o nustatytas pasiūlymų pateikimo terminas 2025 m. balandžio 9 d. atitinka Lietuvos Respublikos Viešųjų pirkimų įstatyme numatytus terminus. Atsižvelgiant į tai perkančioji organizacija daro išvadą, kad pasiūlymų pateikimo terminą papildomai pratęsus 21 dieną, nustatytas pakankamas terminas paruošti pasiūlymą pagal pirkimo sąlygose nustatytus reikalavimus.</w:t>
      </w: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p>
    <w:p w:rsidR="000A14BB" w:rsidRPr="000A14BB" w:rsidRDefault="000A14BB" w:rsidP="000A14BB">
      <w:pPr>
        <w:pStyle w:val="FreeForm"/>
        <w:spacing w:line="300" w:lineRule="atLeast"/>
        <w:ind w:firstLine="709"/>
        <w:jc w:val="both"/>
        <w:rPr>
          <w:rFonts w:ascii="Times New Roman" w:hAnsi="Times New Roman" w:cs="Times New Roman"/>
          <w:color w:val="000000"/>
          <w:sz w:val="24"/>
          <w:szCs w:val="24"/>
          <w:lang w:val="lt-LT"/>
        </w:rPr>
      </w:pPr>
      <w:r w:rsidRPr="000A14BB">
        <w:rPr>
          <w:rFonts w:ascii="Times New Roman" w:hAnsi="Times New Roman" w:cs="Times New Roman"/>
          <w:color w:val="000000"/>
          <w:sz w:val="24"/>
          <w:szCs w:val="24"/>
          <w:lang w:val="lt-LT"/>
        </w:rPr>
        <w:t xml:space="preserve">8) If the supplier is not an ITWP producer and this solution is not included in the submitted proposal, then documents EUROCONTROL Integrated Tower Working Position (ITWP) Baseline HMI </w:t>
      </w:r>
      <w:r w:rsidRPr="000A14BB">
        <w:rPr>
          <w:rFonts w:ascii="Times New Roman" w:hAnsi="Times New Roman" w:cs="Times New Roman"/>
          <w:color w:val="000000"/>
          <w:sz w:val="24"/>
          <w:szCs w:val="24"/>
          <w:lang w:val="lt-LT"/>
        </w:rPr>
        <w:lastRenderedPageBreak/>
        <w:t>Description and EUROCONTROL Integrated Tower Working Position (ITWP) Functional Requirements do not apply, but the proposed HMI solutions must not conflict with the requirements of Eurocontrol documents.</w:t>
      </w:r>
    </w:p>
    <w:p w:rsidR="000A14BB" w:rsidRPr="000A14BB" w:rsidRDefault="000A14BB" w:rsidP="000A14BB">
      <w:pPr>
        <w:pStyle w:val="FreeForm"/>
        <w:spacing w:line="300" w:lineRule="atLeast"/>
        <w:ind w:firstLine="709"/>
        <w:jc w:val="both"/>
        <w:rPr>
          <w:rFonts w:ascii="Times New Roman" w:hAnsi="Times New Roman"/>
          <w:color w:val="000000"/>
          <w:sz w:val="24"/>
          <w:szCs w:val="24"/>
        </w:rPr>
      </w:pPr>
      <w:r w:rsidRPr="000A14BB">
        <w:rPr>
          <w:rFonts w:ascii="Times New Roman" w:hAnsi="Times New Roman" w:cs="Times New Roman"/>
          <w:b/>
          <w:color w:val="000000"/>
          <w:sz w:val="24"/>
          <w:szCs w:val="24"/>
          <w:lang w:val="lt-LT"/>
        </w:rPr>
        <w:t xml:space="preserve">Vertimas. </w:t>
      </w:r>
      <w:r w:rsidRPr="000A14BB">
        <w:rPr>
          <w:rFonts w:ascii="Times New Roman" w:hAnsi="Times New Roman"/>
          <w:color w:val="000000"/>
          <w:sz w:val="24"/>
          <w:szCs w:val="24"/>
        </w:rPr>
        <w:t>Jei tiekėjas nėra ITWP producer ir teikiamame pasiūlyme šio sprendimo nėra, tokiu atveju dokumentai EUROCONTROL Integrated Tower Working Position (ITWP) Baseline HMI Description ir EUROCONTROL Integrated Tower Working Position (ITWP) Functional Requirements nėra taikomi, tačiau siūlomai HMI sprendimai neturi prieštarauti Eurokontrolės dokumentų reikalavimams.</w:t>
      </w:r>
    </w:p>
    <w:p w:rsidR="000D7720" w:rsidRPr="000D7720" w:rsidRDefault="000D7720" w:rsidP="005B50CA">
      <w:pPr>
        <w:pBdr>
          <w:top w:val="nil"/>
          <w:left w:val="nil"/>
          <w:bottom w:val="nil"/>
          <w:right w:val="nil"/>
          <w:between w:val="nil"/>
          <w:bar w:val="nil"/>
        </w:pBdr>
        <w:jc w:val="both"/>
        <w:rPr>
          <w:rFonts w:eastAsia="Arial Unicode MS"/>
          <w:i/>
          <w:sz w:val="24"/>
          <w:szCs w:val="24"/>
          <w:bdr w:val="nil"/>
          <w:lang w:val="en-GB"/>
        </w:rPr>
      </w:pPr>
    </w:p>
    <w:p w:rsidR="001B4E86" w:rsidRDefault="001B4E86" w:rsidP="00C13234">
      <w:pPr>
        <w:pStyle w:val="FreeForm"/>
        <w:spacing w:line="300" w:lineRule="atLeast"/>
        <w:jc w:val="center"/>
        <w:rPr>
          <w:rFonts w:ascii="Times New Roman" w:eastAsia="Times New Roman" w:hAnsi="Times New Roman" w:cs="Times New Roman"/>
          <w:b/>
          <w:color w:val="000000"/>
          <w:sz w:val="24"/>
          <w:szCs w:val="24"/>
          <w:lang w:val="lt-LT"/>
        </w:rPr>
      </w:pPr>
    </w:p>
    <w:p w:rsidR="006B2776" w:rsidRDefault="006B2776" w:rsidP="00C13234">
      <w:pPr>
        <w:pStyle w:val="FreeForm"/>
        <w:spacing w:line="300" w:lineRule="atLeast"/>
        <w:jc w:val="center"/>
        <w:rPr>
          <w:rFonts w:ascii="Times New Roman" w:eastAsia="Times New Roman" w:hAnsi="Times New Roman" w:cs="Times New Roman"/>
          <w:b/>
          <w:color w:val="000000"/>
          <w:sz w:val="24"/>
          <w:szCs w:val="24"/>
          <w:lang w:val="lt-LT"/>
        </w:rPr>
      </w:pPr>
      <w:bookmarkStart w:id="0" w:name="_GoBack"/>
      <w:bookmarkEnd w:id="0"/>
    </w:p>
    <w:p w:rsidR="00C13234" w:rsidRPr="000D7720" w:rsidRDefault="00C13234" w:rsidP="000D7720">
      <w:pPr>
        <w:ind w:firstLine="708"/>
        <w:jc w:val="right"/>
        <w:rPr>
          <w:rFonts w:eastAsia="Calibri"/>
          <w:sz w:val="24"/>
          <w:szCs w:val="24"/>
        </w:rPr>
      </w:pPr>
      <w:r w:rsidRPr="000569FB">
        <w:rPr>
          <w:rFonts w:eastAsia="Calibri"/>
          <w:sz w:val="24"/>
          <w:szCs w:val="24"/>
        </w:rPr>
        <w:t>Viešojo pirkimo komisija</w:t>
      </w:r>
    </w:p>
    <w:sectPr w:rsidR="00C13234" w:rsidRPr="000D7720">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sig w:usb0="00000003" w:usb1="5000205B" w:usb2="00000002"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A5DD8"/>
    <w:multiLevelType w:val="hybridMultilevel"/>
    <w:tmpl w:val="F7809C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61"/>
    <w:rsid w:val="000A14BB"/>
    <w:rsid w:val="000D7720"/>
    <w:rsid w:val="00142A61"/>
    <w:rsid w:val="001B4E86"/>
    <w:rsid w:val="005948D4"/>
    <w:rsid w:val="005A3DC7"/>
    <w:rsid w:val="005B2361"/>
    <w:rsid w:val="005B50CA"/>
    <w:rsid w:val="005D0EBC"/>
    <w:rsid w:val="006B2776"/>
    <w:rsid w:val="007D12DD"/>
    <w:rsid w:val="00894313"/>
    <w:rsid w:val="00B9711D"/>
    <w:rsid w:val="00C13234"/>
    <w:rsid w:val="00C273C9"/>
    <w:rsid w:val="00C65DDF"/>
    <w:rsid w:val="00D22D8C"/>
    <w:rsid w:val="00DA262C"/>
    <w:rsid w:val="00E547D5"/>
    <w:rsid w:val="00E8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6121"/>
  <w15:chartTrackingRefBased/>
  <w15:docId w15:val="{3C44B999-8F5D-460B-BED1-E0CD003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34"/>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C1323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Title">
    <w:name w:val="Title"/>
    <w:next w:val="Normal"/>
    <w:link w:val="TitleChar"/>
    <w:qFormat/>
    <w:rsid w:val="00C1323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C13234"/>
    <w:rPr>
      <w:rFonts w:ascii="Helvetica Neue UltraLight" w:eastAsia="Arial Unicode MS" w:hAnsi="Helvetica Neue UltraLight" w:cs="Arial Unicode MS"/>
      <w:color w:val="000000"/>
      <w:spacing w:val="16"/>
      <w:sz w:val="56"/>
      <w:szCs w:val="56"/>
      <w:bdr w:val="nil"/>
    </w:rPr>
  </w:style>
  <w:style w:type="character" w:styleId="Hyperlink">
    <w:name w:val="Hyperlink"/>
    <w:rsid w:val="00C13234"/>
    <w:rPr>
      <w:color w:val="0000FF"/>
      <w:u w:val="single"/>
    </w:rPr>
  </w:style>
  <w:style w:type="paragraph" w:styleId="NormalWeb">
    <w:name w:val="Normal (Web)"/>
    <w:basedOn w:val="Normal"/>
    <w:uiPriority w:val="99"/>
    <w:unhideWhenUsed/>
    <w:rsid w:val="00C13234"/>
    <w:pPr>
      <w:spacing w:before="100" w:beforeAutospacing="1" w:after="100" w:afterAutospacing="1"/>
    </w:pPr>
    <w:rPr>
      <w:sz w:val="24"/>
      <w:szCs w:val="24"/>
      <w:lang w:eastAsia="lt-LT"/>
    </w:rPr>
  </w:style>
  <w:style w:type="paragraph" w:styleId="HTMLPreformatted">
    <w:name w:val="HTML Preformatted"/>
    <w:basedOn w:val="Normal"/>
    <w:link w:val="HTMLPreformattedChar"/>
    <w:uiPriority w:val="99"/>
    <w:semiHidden/>
    <w:unhideWhenUsed/>
    <w:rsid w:val="005948D4"/>
    <w:rPr>
      <w:rFonts w:ascii="Consolas" w:hAnsi="Consolas"/>
    </w:rPr>
  </w:style>
  <w:style w:type="character" w:customStyle="1" w:styleId="HTMLPreformattedChar">
    <w:name w:val="HTML Preformatted Char"/>
    <w:basedOn w:val="DefaultParagraphFont"/>
    <w:link w:val="HTMLPreformatted"/>
    <w:uiPriority w:val="99"/>
    <w:semiHidden/>
    <w:rsid w:val="005948D4"/>
    <w:rPr>
      <w:rFonts w:ascii="Consolas" w:eastAsia="Times New Roman" w:hAnsi="Consolas"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6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Lina Poškevičienė</cp:lastModifiedBy>
  <cp:revision>17</cp:revision>
  <dcterms:created xsi:type="dcterms:W3CDTF">2024-06-19T12:51:00Z</dcterms:created>
  <dcterms:modified xsi:type="dcterms:W3CDTF">2025-04-01T06:22:00Z</dcterms:modified>
</cp:coreProperties>
</file>