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4FB3" w14:textId="6E1E832C" w:rsidR="00BF4097" w:rsidRDefault="00BF4097" w:rsidP="00BF4097">
      <w:pPr>
        <w:rPr>
          <w:b/>
          <w:bCs/>
        </w:rPr>
      </w:pPr>
      <w:r w:rsidRPr="008602F2">
        <w:rPr>
          <w:b/>
          <w:bCs/>
        </w:rPr>
        <w:t>RK-VMKL-70987-CP-70364 MEDICININĖS ĮRANGOS PIRKIMAS. ANESTEZIJOS APARATAI SU MONITORIUMI</w:t>
      </w:r>
      <w:r>
        <w:rPr>
          <w:b/>
          <w:bCs/>
        </w:rPr>
        <w:t xml:space="preserve"> atsakymai į rinkos konsultacijos metu kilusius klausimus</w:t>
      </w:r>
    </w:p>
    <w:p w14:paraId="105CA18B" w14:textId="77777777" w:rsidR="00BF4097" w:rsidRDefault="00BF4097" w:rsidP="00BF4097">
      <w:pPr>
        <w:rPr>
          <w:b/>
          <w:bCs/>
        </w:rPr>
      </w:pPr>
    </w:p>
    <w:tbl>
      <w:tblPr>
        <w:tblW w:w="15209" w:type="dxa"/>
        <w:tblInd w:w="-46" w:type="dxa"/>
        <w:tblLook w:val="04A0" w:firstRow="1" w:lastRow="0" w:firstColumn="1" w:lastColumn="0" w:noHBand="0" w:noVBand="1"/>
      </w:tblPr>
      <w:tblGrid>
        <w:gridCol w:w="636"/>
        <w:gridCol w:w="2099"/>
        <w:gridCol w:w="3543"/>
        <w:gridCol w:w="3657"/>
        <w:gridCol w:w="5274"/>
      </w:tblGrid>
      <w:tr w:rsidR="00CA00EF" w:rsidRPr="00ED6AFB" w14:paraId="1DD63DD1" w14:textId="77777777" w:rsidTr="00D41A8B">
        <w:trPr>
          <w:trHeight w:val="278"/>
        </w:trPr>
        <w:tc>
          <w:tcPr>
            <w:tcW w:w="63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75C158B5" w14:textId="77777777" w:rsidR="00CA00EF" w:rsidRPr="00ED6AFB" w:rsidRDefault="00CA00EF" w:rsidP="00CA00EF">
            <w:pPr>
              <w:jc w:val="center"/>
              <w:rPr>
                <w:lang w:eastAsia="lt-LT"/>
              </w:rPr>
            </w:pPr>
            <w:r w:rsidRPr="00ED6AFB">
              <w:rPr>
                <w:lang w:eastAsia="lt-LT"/>
              </w:rPr>
              <w:t>2.11</w:t>
            </w:r>
          </w:p>
        </w:tc>
        <w:tc>
          <w:tcPr>
            <w:tcW w:w="2099"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575036E" w14:textId="77777777" w:rsidR="00CA00EF" w:rsidRPr="00ED6AFB" w:rsidRDefault="00CA00EF" w:rsidP="00CA00EF">
            <w:pPr>
              <w:jc w:val="both"/>
              <w:rPr>
                <w:lang w:eastAsia="lt-LT"/>
              </w:rPr>
            </w:pPr>
            <w:r w:rsidRPr="00ED6AFB">
              <w:rPr>
                <w:lang w:eastAsia="lt-LT"/>
              </w:rPr>
              <w:t>Aparato tiekiamų dujų sunaudojimo matavimas (dujų srauto matuokliai)</w:t>
            </w:r>
          </w:p>
        </w:tc>
        <w:tc>
          <w:tcPr>
            <w:tcW w:w="3543" w:type="dxa"/>
            <w:tcBorders>
              <w:top w:val="single" w:sz="4" w:space="0" w:color="auto"/>
              <w:left w:val="nil"/>
              <w:bottom w:val="single" w:sz="4" w:space="0" w:color="auto"/>
              <w:right w:val="single" w:sz="4" w:space="0" w:color="auto"/>
            </w:tcBorders>
            <w:shd w:val="clear" w:color="000000" w:fill="D9D9D9"/>
            <w:hideMark/>
          </w:tcPr>
          <w:p w14:paraId="45114730" w14:textId="77777777" w:rsidR="00CA00EF" w:rsidRPr="00ED6AFB" w:rsidRDefault="00CA00EF" w:rsidP="00CA00EF">
            <w:pPr>
              <w:jc w:val="both"/>
              <w:rPr>
                <w:lang w:eastAsia="lt-LT"/>
              </w:rPr>
            </w:pPr>
            <w:r w:rsidRPr="00ED6AFB">
              <w:rPr>
                <w:lang w:eastAsia="lt-LT"/>
              </w:rPr>
              <w:t>1. Elektroniniai sunaudojamų dujų kiekio matuokliai visoms į aparatą tiekiamoms dujoms,</w:t>
            </w:r>
          </w:p>
        </w:tc>
        <w:tc>
          <w:tcPr>
            <w:tcW w:w="3657" w:type="dxa"/>
            <w:tcBorders>
              <w:top w:val="single" w:sz="4" w:space="0" w:color="auto"/>
              <w:left w:val="nil"/>
              <w:bottom w:val="single" w:sz="4" w:space="0" w:color="auto"/>
              <w:right w:val="nil"/>
            </w:tcBorders>
            <w:shd w:val="clear" w:color="auto" w:fill="auto"/>
            <w:vAlign w:val="center"/>
          </w:tcPr>
          <w:p w14:paraId="42E4C711" w14:textId="77777777" w:rsidR="00CA00EF" w:rsidRPr="00ED6AFB" w:rsidRDefault="00CA00EF" w:rsidP="00CA00EF">
            <w:pPr>
              <w:jc w:val="both"/>
              <w:rPr>
                <w:lang w:eastAsia="lt-LT"/>
              </w:rPr>
            </w:pPr>
          </w:p>
        </w:tc>
        <w:tc>
          <w:tcPr>
            <w:tcW w:w="5274" w:type="dxa"/>
            <w:tcBorders>
              <w:top w:val="single" w:sz="4" w:space="0" w:color="auto"/>
              <w:left w:val="single" w:sz="4" w:space="0" w:color="auto"/>
              <w:bottom w:val="single" w:sz="4" w:space="0" w:color="auto"/>
              <w:right w:val="single" w:sz="4" w:space="0" w:color="auto"/>
            </w:tcBorders>
            <w:shd w:val="clear" w:color="auto" w:fill="auto"/>
            <w:noWrap/>
          </w:tcPr>
          <w:p w14:paraId="5DB5ADB7" w14:textId="3A195F14" w:rsidR="00CA00EF" w:rsidRPr="00ED6AFB" w:rsidRDefault="00CA00EF" w:rsidP="00CA00EF">
            <w:pPr>
              <w:jc w:val="center"/>
              <w:rPr>
                <w:rFonts w:ascii="Calibri" w:hAnsi="Calibri" w:cs="Calibri"/>
                <w:color w:val="000000"/>
                <w:sz w:val="22"/>
                <w:szCs w:val="22"/>
                <w:lang w:eastAsia="lt-LT"/>
              </w:rPr>
            </w:pPr>
            <w:r>
              <w:rPr>
                <w:b/>
                <w:color w:val="333333"/>
                <w:shd w:val="clear" w:color="auto" w:fill="FFFFFF"/>
              </w:rPr>
              <w:t>Perkančiosios organizacijos atsakymas</w:t>
            </w:r>
          </w:p>
        </w:tc>
      </w:tr>
      <w:tr w:rsidR="00CA00EF" w:rsidRPr="00ED6AFB" w14:paraId="5AC63631" w14:textId="77777777" w:rsidTr="00D41A8B">
        <w:trPr>
          <w:trHeight w:val="431"/>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0E49D3" w14:textId="77777777" w:rsidR="00CA00EF" w:rsidRPr="00ED6AFB" w:rsidRDefault="00CA00EF" w:rsidP="00CA00EF">
            <w:pPr>
              <w:rPr>
                <w:lang w:eastAsia="lt-LT"/>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223307C2" w14:textId="77777777" w:rsidR="00CA00EF" w:rsidRPr="00ED6AFB" w:rsidRDefault="00CA00EF" w:rsidP="00CA00EF">
            <w:pPr>
              <w:rPr>
                <w:lang w:eastAsia="lt-LT"/>
              </w:rPr>
            </w:pPr>
          </w:p>
        </w:tc>
        <w:tc>
          <w:tcPr>
            <w:tcW w:w="3543" w:type="dxa"/>
            <w:tcBorders>
              <w:top w:val="single" w:sz="4" w:space="0" w:color="auto"/>
              <w:left w:val="nil"/>
              <w:bottom w:val="single" w:sz="4" w:space="0" w:color="auto"/>
              <w:right w:val="single" w:sz="4" w:space="0" w:color="auto"/>
            </w:tcBorders>
            <w:shd w:val="clear" w:color="000000" w:fill="D9D9D9"/>
            <w:hideMark/>
          </w:tcPr>
          <w:p w14:paraId="1ABD6ABB" w14:textId="77777777" w:rsidR="00CA00EF" w:rsidRPr="00ED6AFB" w:rsidRDefault="00CA00EF" w:rsidP="00CA00EF">
            <w:pPr>
              <w:jc w:val="both"/>
              <w:rPr>
                <w:lang w:eastAsia="lt-LT"/>
              </w:rPr>
            </w:pPr>
            <w:r w:rsidRPr="00ED6AFB">
              <w:rPr>
                <w:lang w:eastAsia="lt-LT"/>
              </w:rPr>
              <w:t>2. Procentinė O2 reikšmės pacientui tiekiamų dujų mišinyje indikacija,</w:t>
            </w:r>
          </w:p>
        </w:tc>
        <w:tc>
          <w:tcPr>
            <w:tcW w:w="3657" w:type="dxa"/>
            <w:tcBorders>
              <w:top w:val="single" w:sz="4" w:space="0" w:color="auto"/>
              <w:left w:val="nil"/>
              <w:bottom w:val="single" w:sz="4" w:space="0" w:color="auto"/>
              <w:right w:val="nil"/>
            </w:tcBorders>
            <w:shd w:val="clear" w:color="000000" w:fill="FFFFFF"/>
          </w:tcPr>
          <w:p w14:paraId="6FB445D2" w14:textId="77777777" w:rsidR="00CA00EF" w:rsidRPr="00440B42" w:rsidRDefault="00CA00EF" w:rsidP="00CA00EF">
            <w:pPr>
              <w:jc w:val="both"/>
              <w:rPr>
                <w:sz w:val="20"/>
                <w:szCs w:val="20"/>
                <w:lang w:eastAsia="lt-LT"/>
              </w:rPr>
            </w:pPr>
          </w:p>
        </w:tc>
        <w:tc>
          <w:tcPr>
            <w:tcW w:w="5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78AD6" w14:textId="77777777" w:rsidR="00CA00EF" w:rsidRPr="00ED6AFB" w:rsidRDefault="00CA00EF" w:rsidP="00CA00EF">
            <w:pPr>
              <w:rPr>
                <w:rFonts w:ascii="Calibri" w:hAnsi="Calibri" w:cs="Calibri"/>
                <w:color w:val="000000"/>
                <w:sz w:val="22"/>
                <w:szCs w:val="22"/>
                <w:lang w:eastAsia="lt-LT"/>
              </w:rPr>
            </w:pPr>
          </w:p>
        </w:tc>
      </w:tr>
      <w:tr w:rsidR="00CA00EF" w:rsidRPr="00ED6AFB" w14:paraId="2B3B7BAA" w14:textId="77777777" w:rsidTr="00D41A8B">
        <w:trPr>
          <w:trHeight w:val="7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119D8C9" w14:textId="77777777" w:rsidR="00CA00EF" w:rsidRPr="00ED6AFB" w:rsidRDefault="00CA00EF" w:rsidP="00CA00EF">
            <w:pPr>
              <w:rPr>
                <w:lang w:eastAsia="lt-LT"/>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79E4879" w14:textId="77777777" w:rsidR="00CA00EF" w:rsidRPr="00ED6AFB" w:rsidRDefault="00CA00EF" w:rsidP="00CA00EF">
            <w:pPr>
              <w:rPr>
                <w:lang w:eastAsia="lt-LT"/>
              </w:rPr>
            </w:pPr>
          </w:p>
        </w:tc>
        <w:tc>
          <w:tcPr>
            <w:tcW w:w="3543" w:type="dxa"/>
            <w:tcBorders>
              <w:top w:val="single" w:sz="4" w:space="0" w:color="auto"/>
              <w:left w:val="nil"/>
              <w:bottom w:val="single" w:sz="4" w:space="0" w:color="auto"/>
              <w:right w:val="single" w:sz="4" w:space="0" w:color="auto"/>
            </w:tcBorders>
            <w:shd w:val="clear" w:color="000000" w:fill="D9D9D9"/>
            <w:hideMark/>
          </w:tcPr>
          <w:p w14:paraId="6E4F1F4D" w14:textId="77777777" w:rsidR="00CA00EF" w:rsidRDefault="00CA00EF" w:rsidP="00CA00EF">
            <w:pPr>
              <w:jc w:val="both"/>
              <w:rPr>
                <w:lang w:eastAsia="lt-LT"/>
              </w:rPr>
            </w:pPr>
            <w:r w:rsidRPr="00B619BF">
              <w:rPr>
                <w:highlight w:val="yellow"/>
                <w:lang w:eastAsia="lt-LT"/>
              </w:rPr>
              <w:t>3. Matavimo ribos ne blogiau kaip 0,2 – 15 l/min. diapazone.</w:t>
            </w:r>
          </w:p>
          <w:p w14:paraId="6C70AE01" w14:textId="77777777" w:rsidR="00CA00EF" w:rsidRPr="00ED6AFB" w:rsidRDefault="00CA00EF" w:rsidP="00CA00EF">
            <w:pPr>
              <w:jc w:val="both"/>
              <w:rPr>
                <w:lang w:eastAsia="lt-LT"/>
              </w:rPr>
            </w:pPr>
          </w:p>
        </w:tc>
        <w:tc>
          <w:tcPr>
            <w:tcW w:w="3657" w:type="dxa"/>
            <w:tcBorders>
              <w:top w:val="single" w:sz="4" w:space="0" w:color="auto"/>
              <w:left w:val="nil"/>
              <w:bottom w:val="single" w:sz="4" w:space="0" w:color="auto"/>
              <w:right w:val="nil"/>
            </w:tcBorders>
            <w:shd w:val="clear" w:color="000000" w:fill="FFFFFF"/>
            <w:vAlign w:val="center"/>
          </w:tcPr>
          <w:p w14:paraId="39D03EE5" w14:textId="77777777" w:rsidR="00CA00EF" w:rsidRPr="00440B42" w:rsidRDefault="00CA00EF" w:rsidP="00CA00EF">
            <w:pPr>
              <w:jc w:val="both"/>
              <w:rPr>
                <w:sz w:val="20"/>
                <w:szCs w:val="20"/>
                <w:lang w:eastAsia="lt-LT"/>
              </w:rPr>
            </w:pPr>
            <w:r w:rsidRPr="00440B42">
              <w:rPr>
                <w:sz w:val="20"/>
                <w:szCs w:val="20"/>
                <w:lang w:eastAsia="lt-LT"/>
              </w:rPr>
              <w:t>Itin mažo srauto anestezijos nustatymas ir matavimas leidžia sumažinti anestetikų sąnaudas bei užtikrinti didesnį ventiliavimo tikslumą</w:t>
            </w:r>
          </w:p>
          <w:p w14:paraId="0509ABA4" w14:textId="77777777" w:rsidR="00CA00EF" w:rsidRPr="00440B42" w:rsidRDefault="00CA00EF" w:rsidP="00CA00EF">
            <w:pPr>
              <w:jc w:val="both"/>
              <w:rPr>
                <w:sz w:val="20"/>
                <w:szCs w:val="20"/>
                <w:lang w:eastAsia="lt-LT"/>
              </w:rPr>
            </w:pPr>
          </w:p>
          <w:p w14:paraId="5F0A5AE3" w14:textId="77777777" w:rsidR="00CA00EF" w:rsidRPr="00440B42" w:rsidRDefault="00CA00EF" w:rsidP="00CA00EF">
            <w:pPr>
              <w:jc w:val="both"/>
              <w:rPr>
                <w:sz w:val="20"/>
                <w:szCs w:val="20"/>
                <w:lang w:eastAsia="lt-LT"/>
              </w:rPr>
            </w:pPr>
            <w:r w:rsidRPr="00440B42">
              <w:rPr>
                <w:sz w:val="20"/>
                <w:szCs w:val="20"/>
                <w:lang w:eastAsia="lt-LT"/>
              </w:rPr>
              <w:t>Prašome p. 2.11.3. keisti sekančiai :</w:t>
            </w:r>
          </w:p>
          <w:p w14:paraId="2B4DAC07" w14:textId="77777777" w:rsidR="00CA00EF" w:rsidRPr="00440B42" w:rsidRDefault="00CA00EF" w:rsidP="00CA00EF">
            <w:pPr>
              <w:jc w:val="both"/>
              <w:rPr>
                <w:sz w:val="20"/>
                <w:szCs w:val="20"/>
                <w:lang w:eastAsia="lt-LT"/>
              </w:rPr>
            </w:pPr>
            <w:r w:rsidRPr="00440B42">
              <w:rPr>
                <w:color w:val="0070C0"/>
                <w:sz w:val="20"/>
                <w:szCs w:val="20"/>
                <w:lang w:eastAsia="lt-LT"/>
              </w:rPr>
              <w:t>„3. Matavimo ribos ne blogiau kaip 0,1 – 15 l/min. diapazone“</w:t>
            </w:r>
          </w:p>
        </w:tc>
        <w:tc>
          <w:tcPr>
            <w:tcW w:w="5274" w:type="dxa"/>
            <w:tcBorders>
              <w:top w:val="single" w:sz="4" w:space="0" w:color="auto"/>
              <w:left w:val="single" w:sz="4" w:space="0" w:color="auto"/>
              <w:bottom w:val="single" w:sz="4" w:space="0" w:color="auto"/>
              <w:right w:val="single" w:sz="4" w:space="0" w:color="auto"/>
            </w:tcBorders>
            <w:shd w:val="clear" w:color="auto" w:fill="auto"/>
            <w:noWrap/>
          </w:tcPr>
          <w:p w14:paraId="5DCD6228" w14:textId="19260A60" w:rsidR="00CA00EF" w:rsidRPr="00D56DD2" w:rsidRDefault="00125983" w:rsidP="00CA00EF">
            <w:pPr>
              <w:rPr>
                <w:color w:val="000000"/>
                <w:lang w:eastAsia="lt-LT"/>
              </w:rPr>
            </w:pPr>
            <w:r w:rsidRPr="00D56DD2">
              <w:rPr>
                <w:color w:val="000000"/>
                <w:lang w:eastAsia="lt-LT"/>
              </w:rPr>
              <w:t xml:space="preserve">Tiekėjo siūlomas TS 2.11.3 p. pakeitimas </w:t>
            </w:r>
            <w:r w:rsidR="00D56DD2" w:rsidRPr="00D56DD2">
              <w:rPr>
                <w:color w:val="000000"/>
                <w:lang w:eastAsia="lt-LT"/>
              </w:rPr>
              <w:t>apribotų potencialių tiekėjų galimybę dalyvauti pirkime. PO nesutinka griežtinti TS sąlygų.</w:t>
            </w:r>
          </w:p>
        </w:tc>
      </w:tr>
    </w:tbl>
    <w:p w14:paraId="33362EE8" w14:textId="77777777" w:rsidR="00001806" w:rsidRDefault="00001806" w:rsidP="00BF4097">
      <w:pPr>
        <w:rPr>
          <w:b/>
          <w:bCs/>
        </w:rPr>
      </w:pPr>
    </w:p>
    <w:tbl>
      <w:tblPr>
        <w:tblW w:w="15168" w:type="dxa"/>
        <w:tblInd w:w="-5" w:type="dxa"/>
        <w:tblLook w:val="04A0" w:firstRow="1" w:lastRow="0" w:firstColumn="1" w:lastColumn="0" w:noHBand="0" w:noVBand="1"/>
      </w:tblPr>
      <w:tblGrid>
        <w:gridCol w:w="567"/>
        <w:gridCol w:w="2127"/>
        <w:gridCol w:w="3543"/>
        <w:gridCol w:w="3773"/>
        <w:gridCol w:w="5158"/>
      </w:tblGrid>
      <w:tr w:rsidR="00E8459B" w:rsidRPr="00ED6AFB" w14:paraId="439DF2D8" w14:textId="77777777" w:rsidTr="00D41A8B">
        <w:trPr>
          <w:trHeight w:val="371"/>
        </w:trPr>
        <w:tc>
          <w:tcPr>
            <w:tcW w:w="567"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E14C4D9" w14:textId="77777777" w:rsidR="00E8459B" w:rsidRPr="00ED6AFB" w:rsidRDefault="00E8459B" w:rsidP="002D6870">
            <w:pPr>
              <w:jc w:val="center"/>
              <w:rPr>
                <w:lang w:eastAsia="lt-LT"/>
              </w:rPr>
            </w:pPr>
            <w:r w:rsidRPr="00ED6AFB">
              <w:rPr>
                <w:lang w:eastAsia="lt-LT"/>
              </w:rPr>
              <w:t>3.1</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DD07260" w14:textId="77777777" w:rsidR="00E8459B" w:rsidRPr="00ED6AFB" w:rsidRDefault="00E8459B" w:rsidP="002D6870">
            <w:pPr>
              <w:jc w:val="both"/>
              <w:rPr>
                <w:lang w:eastAsia="lt-LT"/>
              </w:rPr>
            </w:pPr>
            <w:r w:rsidRPr="00ED6AFB">
              <w:rPr>
                <w:lang w:eastAsia="lt-LT"/>
              </w:rPr>
              <w:t>Ekrano maitinimo šaltinis</w:t>
            </w:r>
          </w:p>
        </w:tc>
        <w:tc>
          <w:tcPr>
            <w:tcW w:w="3543" w:type="dxa"/>
            <w:tcBorders>
              <w:top w:val="single" w:sz="4" w:space="0" w:color="auto"/>
              <w:left w:val="nil"/>
              <w:bottom w:val="single" w:sz="4" w:space="0" w:color="auto"/>
              <w:right w:val="single" w:sz="4" w:space="0" w:color="auto"/>
            </w:tcBorders>
            <w:shd w:val="clear" w:color="000000" w:fill="D9D9D9"/>
            <w:hideMark/>
          </w:tcPr>
          <w:p w14:paraId="70C0B9E5" w14:textId="77777777" w:rsidR="00E8459B" w:rsidRPr="00ED6AFB" w:rsidRDefault="00E8459B" w:rsidP="002D6870">
            <w:pPr>
              <w:jc w:val="both"/>
              <w:rPr>
                <w:lang w:eastAsia="lt-LT"/>
              </w:rPr>
            </w:pPr>
            <w:r w:rsidRPr="00ED6AFB">
              <w:rPr>
                <w:lang w:eastAsia="lt-LT"/>
              </w:rPr>
              <w:t>1. Elektros tinklas 220V ± 10 %, 50 Hz,</w:t>
            </w:r>
          </w:p>
        </w:tc>
        <w:tc>
          <w:tcPr>
            <w:tcW w:w="3773" w:type="dxa"/>
            <w:tcBorders>
              <w:top w:val="single" w:sz="4" w:space="0" w:color="auto"/>
              <w:left w:val="nil"/>
              <w:bottom w:val="single" w:sz="4" w:space="0" w:color="auto"/>
              <w:right w:val="single" w:sz="4" w:space="0" w:color="auto"/>
            </w:tcBorders>
            <w:shd w:val="clear" w:color="auto" w:fill="auto"/>
          </w:tcPr>
          <w:p w14:paraId="2CA86B1F" w14:textId="77777777" w:rsidR="00E8459B" w:rsidRPr="00440B42" w:rsidRDefault="00E8459B" w:rsidP="002D6870">
            <w:pPr>
              <w:jc w:val="both"/>
              <w:rPr>
                <w:sz w:val="20"/>
                <w:szCs w:val="20"/>
                <w:lang w:eastAsia="lt-LT"/>
              </w:rPr>
            </w:pPr>
          </w:p>
        </w:tc>
        <w:tc>
          <w:tcPr>
            <w:tcW w:w="5158" w:type="dxa"/>
            <w:tcBorders>
              <w:top w:val="single" w:sz="4" w:space="0" w:color="auto"/>
              <w:left w:val="nil"/>
              <w:bottom w:val="single" w:sz="4" w:space="0" w:color="auto"/>
              <w:right w:val="single" w:sz="4" w:space="0" w:color="auto"/>
            </w:tcBorders>
            <w:shd w:val="clear" w:color="auto" w:fill="auto"/>
          </w:tcPr>
          <w:p w14:paraId="54225183" w14:textId="77777777" w:rsidR="00E8459B" w:rsidRPr="00ED6AFB" w:rsidRDefault="00E8459B" w:rsidP="002D6870">
            <w:pPr>
              <w:jc w:val="both"/>
              <w:rPr>
                <w:lang w:eastAsia="lt-LT"/>
              </w:rPr>
            </w:pPr>
          </w:p>
        </w:tc>
      </w:tr>
      <w:tr w:rsidR="00E8459B" w:rsidRPr="00ED6AFB" w14:paraId="634E1DF6" w14:textId="77777777" w:rsidTr="00D41A8B">
        <w:trPr>
          <w:trHeight w:val="84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D7A23A9" w14:textId="77777777" w:rsidR="00E8459B" w:rsidRPr="00ED6AFB" w:rsidRDefault="00E8459B" w:rsidP="002D6870">
            <w:pPr>
              <w:rPr>
                <w:lang w:eastAsia="lt-LT"/>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1B6C00A" w14:textId="77777777" w:rsidR="00E8459B" w:rsidRPr="00ED6AFB" w:rsidRDefault="00E8459B" w:rsidP="002D6870">
            <w:pPr>
              <w:rPr>
                <w:lang w:eastAsia="lt-LT"/>
              </w:rPr>
            </w:pPr>
          </w:p>
        </w:tc>
        <w:tc>
          <w:tcPr>
            <w:tcW w:w="3543" w:type="dxa"/>
            <w:tcBorders>
              <w:top w:val="single" w:sz="4" w:space="0" w:color="auto"/>
              <w:left w:val="nil"/>
              <w:bottom w:val="single" w:sz="4" w:space="0" w:color="auto"/>
              <w:right w:val="single" w:sz="4" w:space="0" w:color="auto"/>
            </w:tcBorders>
            <w:shd w:val="clear" w:color="000000" w:fill="D9D9D9"/>
            <w:hideMark/>
          </w:tcPr>
          <w:p w14:paraId="0AF241F0" w14:textId="77777777" w:rsidR="00E8459B" w:rsidRPr="00D4281F" w:rsidRDefault="00E8459B" w:rsidP="002D6870">
            <w:pPr>
              <w:jc w:val="both"/>
              <w:rPr>
                <w:lang w:eastAsia="lt-LT"/>
              </w:rPr>
            </w:pPr>
            <w:r w:rsidRPr="00D4281F">
              <w:rPr>
                <w:lang w:eastAsia="lt-LT"/>
              </w:rPr>
              <w:t>2. Vidinis maitinimo šaltinis (akumuliatorius) užtikrinantis monitoriaus veikimą ne mažiau kaip 60 min,</w:t>
            </w:r>
          </w:p>
        </w:tc>
        <w:tc>
          <w:tcPr>
            <w:tcW w:w="3773" w:type="dxa"/>
            <w:tcBorders>
              <w:top w:val="single" w:sz="4" w:space="0" w:color="auto"/>
              <w:left w:val="nil"/>
              <w:bottom w:val="single" w:sz="4" w:space="0" w:color="auto"/>
              <w:right w:val="single" w:sz="4" w:space="0" w:color="auto"/>
            </w:tcBorders>
            <w:shd w:val="clear" w:color="auto" w:fill="auto"/>
          </w:tcPr>
          <w:p w14:paraId="0AD842DF" w14:textId="63D98806" w:rsidR="00E8459B" w:rsidRPr="00D4281F" w:rsidRDefault="00E8459B" w:rsidP="002D6870">
            <w:pPr>
              <w:jc w:val="both"/>
              <w:rPr>
                <w:i/>
                <w:iCs/>
                <w:sz w:val="20"/>
                <w:szCs w:val="20"/>
                <w:lang w:eastAsia="lt-LT"/>
              </w:rPr>
            </w:pPr>
            <w:r w:rsidRPr="00D4281F">
              <w:rPr>
                <w:i/>
                <w:iCs/>
                <w:sz w:val="20"/>
                <w:szCs w:val="20"/>
                <w:lang w:eastAsia="lt-LT"/>
              </w:rPr>
              <w:t xml:space="preserve">Gamintojas </w:t>
            </w:r>
            <w:r w:rsidR="00271F63">
              <w:rPr>
                <w:i/>
                <w:iCs/>
                <w:sz w:val="20"/>
                <w:szCs w:val="20"/>
                <w:lang w:eastAsia="lt-LT"/>
              </w:rPr>
              <w:t>X</w:t>
            </w:r>
            <w:r w:rsidRPr="00D4281F">
              <w:rPr>
                <w:i/>
                <w:iCs/>
                <w:sz w:val="20"/>
                <w:szCs w:val="20"/>
                <w:lang w:eastAsia="lt-LT"/>
              </w:rPr>
              <w:t xml:space="preserve"> gali pasiūlyti modulinius monitorius su ekranais nuo 12“ iki 22“ įstrižainės. Tačiau didesni nei 15“ monitoriai nėra komplektuojami su akumuliatoriumi. Techninės specifikacijos sąlyga </w:t>
            </w:r>
            <w:r w:rsidRPr="00D4281F">
              <w:rPr>
                <w:b/>
                <w:bCs/>
                <w:i/>
                <w:iCs/>
                <w:sz w:val="20"/>
                <w:szCs w:val="20"/>
                <w:lang w:eastAsia="lt-LT"/>
              </w:rPr>
              <w:t>p.3.1.2.</w:t>
            </w:r>
            <w:r w:rsidRPr="00D4281F">
              <w:rPr>
                <w:i/>
                <w:iCs/>
                <w:sz w:val="20"/>
                <w:szCs w:val="20"/>
                <w:lang w:eastAsia="lt-LT"/>
              </w:rPr>
              <w:t xml:space="preserve"> įpareigoja tiekėjus siūlyti mažesnio dydžio monitorius, kurie gali būti komplektuojami su vidinio maitinimo akumuliatoriais. </w:t>
            </w:r>
          </w:p>
          <w:p w14:paraId="258A1EB5" w14:textId="77777777" w:rsidR="00E8459B" w:rsidRPr="00D4281F" w:rsidRDefault="00E8459B" w:rsidP="002D6870">
            <w:pPr>
              <w:jc w:val="both"/>
              <w:rPr>
                <w:i/>
                <w:iCs/>
                <w:sz w:val="20"/>
                <w:szCs w:val="20"/>
                <w:lang w:eastAsia="lt-LT"/>
              </w:rPr>
            </w:pPr>
            <w:r w:rsidRPr="00D4281F">
              <w:rPr>
                <w:i/>
                <w:iCs/>
                <w:sz w:val="20"/>
                <w:szCs w:val="20"/>
                <w:lang w:eastAsia="lt-LT"/>
              </w:rPr>
              <w:t>Anestezijos ir monitoriaus sistema dirbs prijungta prie bendro tinklo, todėl monitoriaus akumuliatoriaus reikalavimas neleidžia P.O. įsigyti potencialiai didesnio ir geresnio monitoriaus už papildomą pasiūlymo vertinimo balą.</w:t>
            </w:r>
          </w:p>
          <w:p w14:paraId="3EC8DA59" w14:textId="77777777" w:rsidR="00E8459B" w:rsidRPr="00D4281F" w:rsidRDefault="00E8459B" w:rsidP="002D6870">
            <w:pPr>
              <w:jc w:val="both"/>
              <w:rPr>
                <w:b/>
                <w:bCs/>
                <w:sz w:val="20"/>
                <w:szCs w:val="20"/>
                <w:lang w:eastAsia="lt-LT"/>
              </w:rPr>
            </w:pPr>
            <w:r w:rsidRPr="00D4281F">
              <w:rPr>
                <w:b/>
                <w:bCs/>
                <w:sz w:val="20"/>
                <w:szCs w:val="20"/>
                <w:lang w:eastAsia="lt-LT"/>
              </w:rPr>
              <w:t>Prašome p. 3.1.2. šalinti iš techninės specifikacijos projekto.</w:t>
            </w:r>
          </w:p>
          <w:p w14:paraId="3A6D64F2" w14:textId="77777777" w:rsidR="00E8459B" w:rsidRPr="00D4281F" w:rsidRDefault="00E8459B" w:rsidP="002D6870">
            <w:pPr>
              <w:jc w:val="both"/>
              <w:rPr>
                <w:sz w:val="20"/>
                <w:szCs w:val="20"/>
                <w:lang w:eastAsia="lt-LT"/>
              </w:rPr>
            </w:pPr>
            <w:r w:rsidRPr="00D4281F">
              <w:rPr>
                <w:sz w:val="20"/>
                <w:szCs w:val="20"/>
                <w:lang w:eastAsia="lt-LT"/>
              </w:rPr>
              <w:t>ARBA keisti sekančiai:</w:t>
            </w:r>
          </w:p>
          <w:p w14:paraId="11C65EE0" w14:textId="77777777" w:rsidR="00E8459B" w:rsidRPr="00D4281F" w:rsidRDefault="00E8459B" w:rsidP="002D6870">
            <w:pPr>
              <w:jc w:val="both"/>
              <w:rPr>
                <w:sz w:val="20"/>
                <w:szCs w:val="20"/>
                <w:lang w:eastAsia="lt-LT"/>
              </w:rPr>
            </w:pPr>
            <w:r w:rsidRPr="00D4281F">
              <w:rPr>
                <w:sz w:val="20"/>
                <w:szCs w:val="20"/>
                <w:lang w:eastAsia="lt-LT"/>
              </w:rPr>
              <w:lastRenderedPageBreak/>
              <w:t xml:space="preserve">2. Vidinis maitinimo šaltinis (akumuliatorius) arba išorinis maitinimo šaltinis (UPS) užtikrinantis monitoriaus veikimą ne mažiau kaip 60 min, </w:t>
            </w:r>
          </w:p>
        </w:tc>
        <w:tc>
          <w:tcPr>
            <w:tcW w:w="5158" w:type="dxa"/>
            <w:tcBorders>
              <w:top w:val="single" w:sz="4" w:space="0" w:color="auto"/>
              <w:left w:val="nil"/>
              <w:bottom w:val="single" w:sz="4" w:space="0" w:color="auto"/>
              <w:right w:val="single" w:sz="4" w:space="0" w:color="auto"/>
            </w:tcBorders>
            <w:shd w:val="clear" w:color="auto" w:fill="auto"/>
          </w:tcPr>
          <w:p w14:paraId="02326B61" w14:textId="19009235" w:rsidR="00E8459B" w:rsidRPr="00D4281F" w:rsidRDefault="00D56DD2" w:rsidP="002D6870">
            <w:pPr>
              <w:jc w:val="both"/>
              <w:rPr>
                <w:b/>
                <w:bCs/>
                <w:lang w:eastAsia="lt-LT"/>
              </w:rPr>
            </w:pPr>
            <w:r w:rsidRPr="00D4281F">
              <w:rPr>
                <w:b/>
                <w:bCs/>
                <w:lang w:eastAsia="lt-LT"/>
              </w:rPr>
              <w:lastRenderedPageBreak/>
              <w:t>PO sutinka su tiekėjo pastaba ir siūlymu koreguoti TS 3.1.2 p. reikalavimą. Reikalavimas išdėstomas sekančiai: Vidinis maitinimo šaltinis (akumuliatorius) arba išorinis maitinimo šaltinis (UPS) užtikrinantis monitoriaus veikimą ne mažiau kaip 60 min</w:t>
            </w:r>
          </w:p>
        </w:tc>
      </w:tr>
      <w:tr w:rsidR="00E8459B" w:rsidRPr="00ED6AFB" w14:paraId="6E5C3808" w14:textId="77777777" w:rsidTr="00D41A8B">
        <w:trPr>
          <w:trHeight w:val="1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6E04946" w14:textId="77777777" w:rsidR="00E8459B" w:rsidRPr="00ED6AFB" w:rsidRDefault="00E8459B" w:rsidP="002D6870">
            <w:pPr>
              <w:rPr>
                <w:lang w:eastAsia="lt-LT"/>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567EA48" w14:textId="77777777" w:rsidR="00E8459B" w:rsidRPr="00ED6AFB" w:rsidRDefault="00E8459B" w:rsidP="002D6870">
            <w:pPr>
              <w:rPr>
                <w:lang w:eastAsia="lt-LT"/>
              </w:rPr>
            </w:pPr>
          </w:p>
        </w:tc>
        <w:tc>
          <w:tcPr>
            <w:tcW w:w="3543" w:type="dxa"/>
            <w:tcBorders>
              <w:top w:val="single" w:sz="4" w:space="0" w:color="auto"/>
              <w:left w:val="nil"/>
              <w:bottom w:val="single" w:sz="4" w:space="0" w:color="auto"/>
              <w:right w:val="single" w:sz="4" w:space="0" w:color="auto"/>
            </w:tcBorders>
            <w:shd w:val="clear" w:color="000000" w:fill="D9D9D9"/>
            <w:hideMark/>
          </w:tcPr>
          <w:p w14:paraId="1E939C8F" w14:textId="77777777" w:rsidR="00E8459B" w:rsidRPr="00ED6AFB" w:rsidRDefault="00E8459B" w:rsidP="002D6870">
            <w:pPr>
              <w:jc w:val="both"/>
              <w:rPr>
                <w:lang w:eastAsia="lt-LT"/>
              </w:rPr>
            </w:pPr>
            <w:r w:rsidRPr="00ED6AFB">
              <w:rPr>
                <w:lang w:eastAsia="lt-LT"/>
              </w:rPr>
              <w:t>3. Monitoriaus aušinimui nenaudojami ventiliatoriai.</w:t>
            </w:r>
          </w:p>
        </w:tc>
        <w:tc>
          <w:tcPr>
            <w:tcW w:w="3773" w:type="dxa"/>
            <w:tcBorders>
              <w:top w:val="single" w:sz="4" w:space="0" w:color="auto"/>
              <w:left w:val="nil"/>
              <w:bottom w:val="single" w:sz="4" w:space="0" w:color="auto"/>
              <w:right w:val="single" w:sz="4" w:space="0" w:color="auto"/>
            </w:tcBorders>
            <w:shd w:val="clear" w:color="auto" w:fill="auto"/>
          </w:tcPr>
          <w:p w14:paraId="1FE9C99B" w14:textId="77777777" w:rsidR="00E8459B" w:rsidRPr="00ED6AFB" w:rsidRDefault="00E8459B" w:rsidP="002D6870">
            <w:pPr>
              <w:jc w:val="both"/>
              <w:rPr>
                <w:lang w:eastAsia="lt-LT"/>
              </w:rPr>
            </w:pPr>
          </w:p>
        </w:tc>
        <w:tc>
          <w:tcPr>
            <w:tcW w:w="5158" w:type="dxa"/>
            <w:tcBorders>
              <w:top w:val="single" w:sz="4" w:space="0" w:color="auto"/>
              <w:left w:val="nil"/>
              <w:bottom w:val="single" w:sz="4" w:space="0" w:color="auto"/>
              <w:right w:val="single" w:sz="4" w:space="0" w:color="auto"/>
            </w:tcBorders>
            <w:shd w:val="clear" w:color="auto" w:fill="auto"/>
          </w:tcPr>
          <w:p w14:paraId="66E806DD" w14:textId="77777777" w:rsidR="00E8459B" w:rsidRPr="00ED6AFB" w:rsidRDefault="00E8459B" w:rsidP="002D6870">
            <w:pPr>
              <w:jc w:val="both"/>
              <w:rPr>
                <w:lang w:eastAsia="lt-LT"/>
              </w:rPr>
            </w:pPr>
          </w:p>
        </w:tc>
      </w:tr>
    </w:tbl>
    <w:p w14:paraId="118BFAE1" w14:textId="77777777" w:rsidR="00001806" w:rsidRDefault="00001806" w:rsidP="00BF4097">
      <w:pPr>
        <w:rPr>
          <w:b/>
          <w:bCs/>
        </w:rPr>
      </w:pPr>
    </w:p>
    <w:p w14:paraId="0555920E" w14:textId="77777777" w:rsidR="00CA00EF" w:rsidRDefault="00CA00EF" w:rsidP="00BF4097">
      <w:pPr>
        <w:rPr>
          <w:b/>
          <w:bCs/>
        </w:rPr>
      </w:pPr>
    </w:p>
    <w:tbl>
      <w:tblPr>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127"/>
        <w:gridCol w:w="2409"/>
        <w:gridCol w:w="3544"/>
        <w:gridCol w:w="3686"/>
        <w:gridCol w:w="3119"/>
      </w:tblGrid>
      <w:tr w:rsidR="00BF4097" w:rsidRPr="00450BB0" w14:paraId="751B1249" w14:textId="2973CE49" w:rsidTr="00C16327">
        <w:tc>
          <w:tcPr>
            <w:tcW w:w="562" w:type="dxa"/>
            <w:vAlign w:val="center"/>
          </w:tcPr>
          <w:p w14:paraId="72C196CC" w14:textId="77777777" w:rsidR="00BF4097" w:rsidRPr="00450BB0" w:rsidRDefault="00BF4097" w:rsidP="002F788E">
            <w:pPr>
              <w:jc w:val="center"/>
              <w:rPr>
                <w:b/>
                <w:lang w:eastAsia="en-US"/>
              </w:rPr>
            </w:pPr>
            <w:r w:rsidRPr="00450BB0">
              <w:rPr>
                <w:b/>
                <w:lang w:eastAsia="en-US"/>
              </w:rPr>
              <w:t>Eil. nr.</w:t>
            </w:r>
          </w:p>
        </w:tc>
        <w:tc>
          <w:tcPr>
            <w:tcW w:w="2127" w:type="dxa"/>
            <w:vAlign w:val="center"/>
          </w:tcPr>
          <w:p w14:paraId="07C2F92A" w14:textId="77777777" w:rsidR="00BF4097" w:rsidRPr="00450BB0" w:rsidRDefault="00BF4097" w:rsidP="002F788E">
            <w:pPr>
              <w:jc w:val="center"/>
              <w:rPr>
                <w:b/>
                <w:lang w:eastAsia="en-US"/>
              </w:rPr>
            </w:pPr>
            <w:r w:rsidRPr="00450BB0">
              <w:rPr>
                <w:b/>
                <w:lang w:eastAsia="en-US"/>
              </w:rPr>
              <w:t>Kiekybės kriterijai</w:t>
            </w:r>
          </w:p>
        </w:tc>
        <w:tc>
          <w:tcPr>
            <w:tcW w:w="2409" w:type="dxa"/>
            <w:vAlign w:val="center"/>
          </w:tcPr>
          <w:p w14:paraId="5DDD66D8" w14:textId="77777777" w:rsidR="00BF4097" w:rsidRPr="00450BB0" w:rsidRDefault="00BF4097" w:rsidP="002F788E">
            <w:pPr>
              <w:jc w:val="center"/>
              <w:rPr>
                <w:b/>
                <w:lang w:eastAsia="en-US"/>
              </w:rPr>
            </w:pPr>
            <w:r w:rsidRPr="00450BB0">
              <w:rPr>
                <w:b/>
                <w:lang w:eastAsia="en-US"/>
              </w:rPr>
              <w:t>Siūlomų kriterijų rodiklių reikšmės</w:t>
            </w:r>
          </w:p>
        </w:tc>
        <w:tc>
          <w:tcPr>
            <w:tcW w:w="3544" w:type="dxa"/>
            <w:vAlign w:val="center"/>
          </w:tcPr>
          <w:p w14:paraId="11BF5B37" w14:textId="789F5D29" w:rsidR="00BF4097" w:rsidRPr="00450BB0" w:rsidRDefault="00BF4097" w:rsidP="002F788E">
            <w:pPr>
              <w:jc w:val="center"/>
              <w:rPr>
                <w:b/>
                <w:lang w:eastAsia="en-US"/>
              </w:rPr>
            </w:pPr>
            <w:r w:rsidRPr="00BF4097">
              <w:rPr>
                <w:b/>
                <w:color w:val="FF0000"/>
                <w:shd w:val="clear" w:color="auto" w:fill="FFFFFF"/>
              </w:rPr>
              <w:t>Tiekėjo Nr. 1 pastabos/ pasiūlymai</w:t>
            </w:r>
          </w:p>
        </w:tc>
        <w:tc>
          <w:tcPr>
            <w:tcW w:w="3686" w:type="dxa"/>
          </w:tcPr>
          <w:p w14:paraId="3FBBEEED" w14:textId="305A63D8" w:rsidR="00BF4097" w:rsidRDefault="00BF4097" w:rsidP="002F788E">
            <w:pPr>
              <w:jc w:val="center"/>
              <w:rPr>
                <w:b/>
                <w:color w:val="333333"/>
                <w:shd w:val="clear" w:color="auto" w:fill="FFFFFF"/>
              </w:rPr>
            </w:pPr>
            <w:r w:rsidRPr="006C4E76">
              <w:rPr>
                <w:b/>
                <w:color w:val="FF0000"/>
                <w:shd w:val="clear" w:color="auto" w:fill="FFFFFF"/>
              </w:rPr>
              <w:t>Tiekėjo Nr. 2 pastabos/ pasiūlymai</w:t>
            </w:r>
          </w:p>
        </w:tc>
        <w:tc>
          <w:tcPr>
            <w:tcW w:w="3119" w:type="dxa"/>
          </w:tcPr>
          <w:p w14:paraId="5ABD7FFD" w14:textId="1D7229D7" w:rsidR="00BF4097" w:rsidRDefault="00BF4097" w:rsidP="002F788E">
            <w:pPr>
              <w:jc w:val="center"/>
              <w:rPr>
                <w:b/>
                <w:color w:val="333333"/>
                <w:shd w:val="clear" w:color="auto" w:fill="FFFFFF"/>
              </w:rPr>
            </w:pPr>
            <w:r>
              <w:rPr>
                <w:b/>
                <w:color w:val="333333"/>
                <w:shd w:val="clear" w:color="auto" w:fill="FFFFFF"/>
              </w:rPr>
              <w:t>Perkančiosios organizacijos atsakymas</w:t>
            </w:r>
          </w:p>
        </w:tc>
      </w:tr>
      <w:tr w:rsidR="00BF4097" w:rsidRPr="00420D76" w14:paraId="0A5E2CB5" w14:textId="32E3F2F7" w:rsidTr="00C16327">
        <w:tc>
          <w:tcPr>
            <w:tcW w:w="562" w:type="dxa"/>
            <w:vAlign w:val="center"/>
          </w:tcPr>
          <w:p w14:paraId="2A997B66" w14:textId="77777777" w:rsidR="00BF4097" w:rsidRPr="00450BB0" w:rsidRDefault="00BF4097" w:rsidP="002F788E">
            <w:pPr>
              <w:jc w:val="center"/>
              <w:rPr>
                <w:lang w:eastAsia="en-US"/>
              </w:rPr>
            </w:pPr>
            <w:r w:rsidRPr="00450BB0">
              <w:t>T1</w:t>
            </w:r>
          </w:p>
        </w:tc>
        <w:tc>
          <w:tcPr>
            <w:tcW w:w="2127" w:type="dxa"/>
            <w:vAlign w:val="center"/>
          </w:tcPr>
          <w:p w14:paraId="5D1FBBB7" w14:textId="77777777" w:rsidR="00BF4097" w:rsidRPr="00450BB0" w:rsidRDefault="00BF4097" w:rsidP="002F788E">
            <w:pPr>
              <w:jc w:val="both"/>
              <w:rPr>
                <w:lang w:eastAsia="en-US"/>
              </w:rPr>
            </w:pPr>
            <w:r w:rsidRPr="00450BB0">
              <w:t xml:space="preserve">Anestezijos aparate integruotas </w:t>
            </w:r>
            <w:r w:rsidRPr="00450BB0">
              <w:rPr>
                <w:lang w:eastAsia="lt-LT"/>
              </w:rPr>
              <w:t>vidinis avarinis maitinimo šaltinis, kurio veikimo laikas nuo jo aktyvavimo ≥ 120 min. užtikrinant visas anestezijos aparato funkcijas (TS 2.2.2 p.)</w:t>
            </w:r>
          </w:p>
        </w:tc>
        <w:tc>
          <w:tcPr>
            <w:tcW w:w="2409" w:type="dxa"/>
          </w:tcPr>
          <w:p w14:paraId="25713625" w14:textId="77777777" w:rsidR="00BF4097" w:rsidRPr="00450BB0" w:rsidRDefault="00BF4097" w:rsidP="002F788E">
            <w:pPr>
              <w:jc w:val="center"/>
              <w:textAlignment w:val="baseline"/>
              <w:rPr>
                <w:i/>
                <w:iCs/>
                <w:color w:val="FF0000"/>
                <w:lang w:eastAsia="lt-LT"/>
              </w:rPr>
            </w:pPr>
            <w:r w:rsidRPr="00450BB0">
              <w:rPr>
                <w:i/>
                <w:iCs/>
                <w:color w:val="FF0000"/>
                <w:lang w:eastAsia="lt-LT"/>
              </w:rPr>
              <w:t>Taip / Ne (pasirinkti atsakymą)</w:t>
            </w:r>
          </w:p>
          <w:p w14:paraId="0336FB0B" w14:textId="77777777" w:rsidR="00BF4097" w:rsidRPr="00450BB0" w:rsidRDefault="00BF4097" w:rsidP="002F788E">
            <w:pPr>
              <w:jc w:val="center"/>
              <w:textAlignment w:val="baseline"/>
              <w:rPr>
                <w:i/>
                <w:iCs/>
                <w:color w:val="FF0000"/>
                <w:lang w:eastAsia="lt-LT"/>
              </w:rPr>
            </w:pPr>
          </w:p>
          <w:p w14:paraId="6F49810D" w14:textId="77777777" w:rsidR="00BF4097" w:rsidRPr="00450BB0" w:rsidRDefault="00BF4097" w:rsidP="002F788E">
            <w:pPr>
              <w:jc w:val="both"/>
              <w:rPr>
                <w:i/>
                <w:iCs/>
                <w:lang w:eastAsia="en-US"/>
              </w:rPr>
            </w:pPr>
            <w:r w:rsidRPr="00450BB0">
              <w:rPr>
                <w:i/>
              </w:rPr>
              <w:t>Pateikiama nuoroda į nurodytą parametrą patvirtinantį gamintojo dokumento (</w:t>
            </w:r>
            <w:r w:rsidRPr="00450BB0">
              <w:rPr>
                <w:i/>
                <w:bdr w:val="nil"/>
              </w:rPr>
              <w:t>katalogo / bukleto / brošiūros / instrukcijos) puslapį</w:t>
            </w:r>
          </w:p>
        </w:tc>
        <w:tc>
          <w:tcPr>
            <w:tcW w:w="3544" w:type="dxa"/>
          </w:tcPr>
          <w:p w14:paraId="71E8C86F" w14:textId="77777777" w:rsidR="00BF4097" w:rsidRPr="00C16327" w:rsidRDefault="00BF4097" w:rsidP="002F788E">
            <w:pPr>
              <w:jc w:val="both"/>
              <w:textAlignment w:val="baseline"/>
              <w:rPr>
                <w:sz w:val="20"/>
                <w:szCs w:val="20"/>
                <w:lang w:eastAsia="lt-LT"/>
              </w:rPr>
            </w:pPr>
            <w:r w:rsidRPr="00C16327">
              <w:rPr>
                <w:sz w:val="20"/>
                <w:szCs w:val="20"/>
                <w:lang w:eastAsia="lt-LT"/>
              </w:rPr>
              <w:t>Prašome šalinti kaip perteklinį reikalavimą, kadangi visos gydymo įstaigos elektros energiją gauna bent iš dviejų nepriklausomų elektros įvadų ir kai žinoma, Vilniaus miesto klinikinės ligoninės naujas korpusas yra aprūpintas nuosavu elektros generatoriumi, kuris palaiko elektros tiekimą nutrūkus išoriniam elektros tiekimui. 90 min vidinis akumuliatorius pilnai užtikrina visas anestezijos aparato funkcijas ir suteikia galimybę saugiai baigti pradėtas procedūras, nutrūkus elektros tiekimui.</w:t>
            </w:r>
          </w:p>
        </w:tc>
        <w:tc>
          <w:tcPr>
            <w:tcW w:w="3686" w:type="dxa"/>
          </w:tcPr>
          <w:p w14:paraId="63F13161" w14:textId="77777777" w:rsidR="00BF4097" w:rsidRPr="00C16327" w:rsidRDefault="00BF4097" w:rsidP="00BF4097">
            <w:pPr>
              <w:jc w:val="both"/>
              <w:rPr>
                <w:i/>
                <w:iCs/>
                <w:sz w:val="20"/>
                <w:szCs w:val="20"/>
              </w:rPr>
            </w:pPr>
            <w:r w:rsidRPr="00C16327">
              <w:rPr>
                <w:i/>
                <w:iCs/>
                <w:sz w:val="20"/>
                <w:szCs w:val="20"/>
              </w:rPr>
              <w:t>Techninės specifikacijos reikalavimas p. 2.2.2. įpareigoja tiekėjus siūlyti anestezijos sistemas, kurios iš vidinio akumuliatoriaus gali dirbti ne mažiau kaip 90 minučių.</w:t>
            </w:r>
          </w:p>
          <w:p w14:paraId="370048E1" w14:textId="77777777" w:rsidR="00BF4097" w:rsidRPr="00C16327" w:rsidRDefault="00BF4097" w:rsidP="00BF4097">
            <w:pPr>
              <w:jc w:val="both"/>
              <w:rPr>
                <w:i/>
                <w:iCs/>
                <w:sz w:val="20"/>
                <w:szCs w:val="20"/>
              </w:rPr>
            </w:pPr>
          </w:p>
          <w:p w14:paraId="20F8C199" w14:textId="77777777" w:rsidR="00BF4097" w:rsidRPr="00C16327" w:rsidRDefault="00BF4097" w:rsidP="00BF4097">
            <w:pPr>
              <w:jc w:val="both"/>
              <w:rPr>
                <w:i/>
                <w:iCs/>
                <w:sz w:val="20"/>
                <w:szCs w:val="20"/>
              </w:rPr>
            </w:pPr>
            <w:r w:rsidRPr="00C16327">
              <w:rPr>
                <w:i/>
                <w:iCs/>
                <w:sz w:val="20"/>
                <w:szCs w:val="20"/>
              </w:rPr>
              <w:t>Tokia laiko trukmė yra pakankama nenumatytais atvejais pratęsti darbą, kol bus atkurtas energijos tiekimas.</w:t>
            </w:r>
          </w:p>
          <w:p w14:paraId="0227C69B" w14:textId="77777777" w:rsidR="00BF4097" w:rsidRPr="00C16327" w:rsidRDefault="00BF4097" w:rsidP="00BF4097">
            <w:pPr>
              <w:jc w:val="both"/>
              <w:rPr>
                <w:i/>
                <w:iCs/>
                <w:sz w:val="20"/>
                <w:szCs w:val="20"/>
              </w:rPr>
            </w:pPr>
          </w:p>
          <w:p w14:paraId="4AFAC861" w14:textId="77777777" w:rsidR="00BF4097" w:rsidRPr="00C16327" w:rsidRDefault="00BF4097" w:rsidP="00BF4097">
            <w:pPr>
              <w:jc w:val="both"/>
              <w:rPr>
                <w:i/>
                <w:iCs/>
                <w:sz w:val="20"/>
                <w:szCs w:val="20"/>
              </w:rPr>
            </w:pPr>
            <w:r w:rsidRPr="00C16327">
              <w:rPr>
                <w:i/>
                <w:iCs/>
                <w:sz w:val="20"/>
                <w:szCs w:val="20"/>
              </w:rPr>
              <w:t xml:space="preserve">Kriterijus T1 nesuteikia perkamai sistemai klinikinės, ar ekonominės vertės. </w:t>
            </w:r>
          </w:p>
          <w:p w14:paraId="11E60131" w14:textId="77777777" w:rsidR="00BF4097" w:rsidRPr="00C16327" w:rsidRDefault="00BF4097" w:rsidP="00BF4097">
            <w:pPr>
              <w:jc w:val="both"/>
              <w:rPr>
                <w:i/>
                <w:iCs/>
                <w:sz w:val="20"/>
                <w:szCs w:val="20"/>
              </w:rPr>
            </w:pPr>
            <w:r w:rsidRPr="00C16327">
              <w:rPr>
                <w:i/>
                <w:iCs/>
                <w:sz w:val="20"/>
                <w:szCs w:val="20"/>
              </w:rPr>
              <w:t>Teoriniai scenarijai, kur ligoninėje dingtų elektra ir būtų poreikis ne mažiau kaip 2 valandas tęsti ventiliavimą be operacinės patalpos apšvietimo ir nustojus veikti kitiems prietaisams yra mažai tikėtinas.</w:t>
            </w:r>
          </w:p>
          <w:p w14:paraId="3FC87803" w14:textId="77777777" w:rsidR="00BF4097" w:rsidRPr="00C16327" w:rsidRDefault="00BF4097" w:rsidP="00BF4097">
            <w:pPr>
              <w:jc w:val="both"/>
              <w:rPr>
                <w:i/>
                <w:iCs/>
                <w:sz w:val="20"/>
                <w:szCs w:val="20"/>
              </w:rPr>
            </w:pPr>
          </w:p>
          <w:p w14:paraId="06D9D896" w14:textId="08B0E24F" w:rsidR="00BF4097" w:rsidRPr="00C16327" w:rsidRDefault="00BF4097" w:rsidP="00BF4097">
            <w:pPr>
              <w:jc w:val="both"/>
              <w:textAlignment w:val="baseline"/>
              <w:rPr>
                <w:sz w:val="20"/>
                <w:szCs w:val="20"/>
                <w:lang w:eastAsia="lt-LT"/>
              </w:rPr>
            </w:pPr>
            <w:r w:rsidRPr="00C16327">
              <w:rPr>
                <w:b/>
                <w:bCs/>
                <w:i/>
                <w:iCs/>
                <w:sz w:val="20"/>
                <w:szCs w:val="20"/>
              </w:rPr>
              <w:t>Prašome kriterijų T1 šalinti arba keisti funkcionalumu, kuris tiesiogiai įtakos suteikiamų paslaugų kokybę.</w:t>
            </w:r>
          </w:p>
        </w:tc>
        <w:tc>
          <w:tcPr>
            <w:tcW w:w="3119" w:type="dxa"/>
          </w:tcPr>
          <w:p w14:paraId="123E55EF" w14:textId="77777777" w:rsidR="00BF4097" w:rsidRPr="001E1DDC" w:rsidRDefault="00EB453C" w:rsidP="002F788E">
            <w:pPr>
              <w:jc w:val="both"/>
              <w:textAlignment w:val="baseline"/>
              <w:rPr>
                <w:lang w:eastAsia="lt-LT"/>
              </w:rPr>
            </w:pPr>
            <w:r w:rsidRPr="001E1DDC">
              <w:rPr>
                <w:lang w:eastAsia="lt-LT"/>
              </w:rPr>
              <w:t>Skirtumas tarp ≥ 120 min ir ≥ 90 min avarinio maitinimo veikimo laiko atrodo nedidelis, bet kliniškai tai yra labai svarbu, ypač kritinėse situacijose.</w:t>
            </w:r>
          </w:p>
          <w:p w14:paraId="6382F71D" w14:textId="020C8149" w:rsidR="00984A41" w:rsidRDefault="008B0D74" w:rsidP="002F788E">
            <w:pPr>
              <w:jc w:val="both"/>
              <w:textAlignment w:val="baseline"/>
              <w:rPr>
                <w:rStyle w:val="Grietas"/>
                <w:rFonts w:eastAsiaTheme="majorEastAsia"/>
                <w:b w:val="0"/>
                <w:bCs w:val="0"/>
              </w:rPr>
            </w:pPr>
            <w:r w:rsidRPr="001E1DDC">
              <w:rPr>
                <w:lang w:eastAsia="lt-LT"/>
              </w:rPr>
              <w:t>Visų pirma, e</w:t>
            </w:r>
            <w:r w:rsidRPr="001E1DDC">
              <w:t>lektros tiekimo sutrikimai ekstremal</w:t>
            </w:r>
            <w:r w:rsidR="001E1DDC" w:rsidRPr="001E1DDC">
              <w:t xml:space="preserve">ių situacijų metu </w:t>
            </w:r>
            <w:r w:rsidRPr="001E1DDC">
              <w:rPr>
                <w:rStyle w:val="Grietas"/>
                <w:rFonts w:eastAsiaTheme="majorEastAsia"/>
                <w:b w:val="0"/>
                <w:bCs w:val="0"/>
              </w:rPr>
              <w:t>gali trukti ilgiau nei planuot</w:t>
            </w:r>
            <w:r w:rsidR="001E1DDC">
              <w:rPr>
                <w:rStyle w:val="Grietas"/>
                <w:rFonts w:eastAsiaTheme="majorEastAsia"/>
                <w:b w:val="0"/>
                <w:bCs w:val="0"/>
              </w:rPr>
              <w:t xml:space="preserve">a. PO </w:t>
            </w:r>
            <w:r w:rsidR="00E55C19">
              <w:rPr>
                <w:rStyle w:val="Grietas"/>
                <w:rFonts w:eastAsiaTheme="majorEastAsia"/>
                <w:b w:val="0"/>
                <w:bCs w:val="0"/>
              </w:rPr>
              <w:t xml:space="preserve">įvertinusi dabartinę </w:t>
            </w:r>
            <w:r w:rsidR="00F91997">
              <w:rPr>
                <w:rStyle w:val="Grietas"/>
                <w:rFonts w:eastAsiaTheme="majorEastAsia"/>
                <w:b w:val="0"/>
                <w:bCs w:val="0"/>
              </w:rPr>
              <w:t>geopolitinę</w:t>
            </w:r>
            <w:r w:rsidR="00E55C19">
              <w:rPr>
                <w:rStyle w:val="Grietas"/>
                <w:rFonts w:eastAsiaTheme="majorEastAsia"/>
                <w:b w:val="0"/>
                <w:bCs w:val="0"/>
              </w:rPr>
              <w:t xml:space="preserve"> situaciją siekia įsigyti įrangą, kurią visų pirma būtų galima saugiai ir nepertraukiamai naudoti būtent ekstremalių situacijų atveju. </w:t>
            </w:r>
            <w:r w:rsidR="00BF5EEA">
              <w:rPr>
                <w:rStyle w:val="Grietas"/>
                <w:rFonts w:eastAsiaTheme="majorEastAsia"/>
                <w:b w:val="0"/>
                <w:bCs w:val="0"/>
              </w:rPr>
              <w:t xml:space="preserve">Nors tiekėjai </w:t>
            </w:r>
            <w:r w:rsidR="002E51FD">
              <w:rPr>
                <w:rStyle w:val="Grietas"/>
                <w:rFonts w:eastAsiaTheme="majorEastAsia"/>
                <w:b w:val="0"/>
                <w:bCs w:val="0"/>
              </w:rPr>
              <w:t xml:space="preserve">tokiais </w:t>
            </w:r>
            <w:r w:rsidR="00BF5EEA">
              <w:rPr>
                <w:rStyle w:val="Grietas"/>
                <w:rFonts w:eastAsiaTheme="majorEastAsia"/>
                <w:b w:val="0"/>
                <w:bCs w:val="0"/>
              </w:rPr>
              <w:t xml:space="preserve">savo siūlymais siekia konkrečių ekonominių tikslų, tačiau </w:t>
            </w:r>
            <w:r w:rsidR="002E51FD">
              <w:rPr>
                <w:rStyle w:val="Grietas"/>
                <w:rFonts w:eastAsiaTheme="majorEastAsia"/>
                <w:b w:val="0"/>
                <w:bCs w:val="0"/>
              </w:rPr>
              <w:t xml:space="preserve">PO nustatytas techninis pranašumas </w:t>
            </w:r>
            <w:r w:rsidR="000A7EED">
              <w:rPr>
                <w:rStyle w:val="Grietas"/>
                <w:rFonts w:eastAsiaTheme="majorEastAsia"/>
                <w:b w:val="0"/>
                <w:bCs w:val="0"/>
              </w:rPr>
              <w:t>neturėtų kelti niekam abejonių dėl tiek ekonominės, tiek ir praktinės naudos.</w:t>
            </w:r>
            <w:r w:rsidR="00022A51">
              <w:rPr>
                <w:rStyle w:val="Grietas"/>
                <w:rFonts w:eastAsiaTheme="majorEastAsia"/>
                <w:b w:val="0"/>
                <w:bCs w:val="0"/>
              </w:rPr>
              <w:t xml:space="preserve"> </w:t>
            </w:r>
            <w:r w:rsidR="00984A41">
              <w:rPr>
                <w:rStyle w:val="Grietas"/>
                <w:rFonts w:eastAsiaTheme="majorEastAsia"/>
                <w:b w:val="0"/>
                <w:bCs w:val="0"/>
              </w:rPr>
              <w:t xml:space="preserve">PO yra pasiruošusi išleisti daugiau valstybės </w:t>
            </w:r>
            <w:r w:rsidR="00984A41">
              <w:rPr>
                <w:rStyle w:val="Grietas"/>
                <w:rFonts w:eastAsiaTheme="majorEastAsia"/>
                <w:b w:val="0"/>
                <w:bCs w:val="0"/>
              </w:rPr>
              <w:lastRenderedPageBreak/>
              <w:t>biudžeto lėšų už technologinius sprendinius, kurie leis įrangą saugiai ir svarbiausia nepertraukiamai naudoti kuo ilgesnį laiką elektros sutrikimų atveju.</w:t>
            </w:r>
          </w:p>
          <w:p w14:paraId="7F3352D1" w14:textId="77777777" w:rsidR="0099332C" w:rsidRDefault="0099332C" w:rsidP="007818E8">
            <w:pPr>
              <w:jc w:val="both"/>
              <w:textAlignment w:val="baseline"/>
              <w:rPr>
                <w:rStyle w:val="Grietas"/>
                <w:rFonts w:eastAsiaTheme="majorEastAsia"/>
                <w:b w:val="0"/>
                <w:bCs w:val="0"/>
              </w:rPr>
            </w:pPr>
            <w:r>
              <w:rPr>
                <w:rStyle w:val="Grietas"/>
                <w:rFonts w:eastAsiaTheme="majorEastAsia"/>
                <w:b w:val="0"/>
                <w:bCs w:val="0"/>
              </w:rPr>
              <w:t xml:space="preserve">Turint didesnį laiko rezervą PO gydytojų komanda turės papildomą </w:t>
            </w:r>
            <w:r w:rsidRPr="0099332C">
              <w:rPr>
                <w:rStyle w:val="Grietas"/>
                <w:rFonts w:eastAsiaTheme="majorEastAsia"/>
                <w:b w:val="0"/>
                <w:bCs w:val="0"/>
              </w:rPr>
              <w:t>„saugumo langą“, kuris gali būti lemiamas</w:t>
            </w:r>
            <w:r w:rsidR="007818E8">
              <w:rPr>
                <w:rStyle w:val="Grietas"/>
                <w:rFonts w:eastAsiaTheme="majorEastAsia"/>
                <w:b w:val="0"/>
                <w:bCs w:val="0"/>
              </w:rPr>
              <w:t xml:space="preserve"> kritinėse situacijose, kol </w:t>
            </w:r>
            <w:r w:rsidRPr="0099332C">
              <w:rPr>
                <w:rStyle w:val="Grietas"/>
                <w:rFonts w:eastAsiaTheme="majorEastAsia"/>
                <w:b w:val="0"/>
                <w:bCs w:val="0"/>
              </w:rPr>
              <w:t>bus atstatytas maitinimas,</w:t>
            </w:r>
            <w:r w:rsidR="007818E8">
              <w:rPr>
                <w:rStyle w:val="Grietas"/>
                <w:rFonts w:eastAsiaTheme="majorEastAsia"/>
                <w:b w:val="0"/>
                <w:bCs w:val="0"/>
              </w:rPr>
              <w:t xml:space="preserve"> arba </w:t>
            </w:r>
            <w:r w:rsidRPr="0099332C">
              <w:rPr>
                <w:rStyle w:val="Grietas"/>
                <w:rFonts w:eastAsiaTheme="majorEastAsia"/>
                <w:b w:val="0"/>
                <w:bCs w:val="0"/>
              </w:rPr>
              <w:t>kol pacientas bus perkeltas į saugią aplinką,</w:t>
            </w:r>
            <w:r w:rsidR="007818E8">
              <w:rPr>
                <w:rStyle w:val="Grietas"/>
                <w:rFonts w:eastAsiaTheme="majorEastAsia"/>
                <w:b w:val="0"/>
                <w:bCs w:val="0"/>
              </w:rPr>
              <w:t xml:space="preserve"> arba </w:t>
            </w:r>
            <w:r w:rsidRPr="0099332C">
              <w:rPr>
                <w:rStyle w:val="Grietas"/>
                <w:rFonts w:eastAsiaTheme="majorEastAsia"/>
                <w:b w:val="0"/>
                <w:bCs w:val="0"/>
              </w:rPr>
              <w:t xml:space="preserve">kol </w:t>
            </w:r>
            <w:r w:rsidR="007818E8">
              <w:rPr>
                <w:rStyle w:val="Grietas"/>
                <w:rFonts w:eastAsiaTheme="majorEastAsia"/>
                <w:b w:val="0"/>
                <w:bCs w:val="0"/>
              </w:rPr>
              <w:t xml:space="preserve">prie prietaiso </w:t>
            </w:r>
            <w:r w:rsidRPr="0099332C">
              <w:rPr>
                <w:rStyle w:val="Grietas"/>
                <w:rFonts w:eastAsiaTheme="majorEastAsia"/>
                <w:b w:val="0"/>
                <w:bCs w:val="0"/>
              </w:rPr>
              <w:t>bus prijungtas išorinis energijos šaltinis ar atsarginė įranga.</w:t>
            </w:r>
          </w:p>
          <w:p w14:paraId="6AF11C6C" w14:textId="77777777" w:rsidR="00AD526A" w:rsidRDefault="001242D6" w:rsidP="007818E8">
            <w:pPr>
              <w:jc w:val="both"/>
              <w:textAlignment w:val="baseline"/>
            </w:pPr>
            <w:r>
              <w:rPr>
                <w:rStyle w:val="Grietas"/>
                <w:rFonts w:eastAsiaTheme="majorEastAsia"/>
                <w:b w:val="0"/>
                <w:bCs w:val="0"/>
              </w:rPr>
              <w:t xml:space="preserve">Ne mažesnė kaip </w:t>
            </w:r>
            <w:r w:rsidRPr="001242D6">
              <w:rPr>
                <w:rStyle w:val="Grietas"/>
                <w:rFonts w:eastAsiaTheme="majorEastAsia"/>
                <w:b w:val="0"/>
                <w:bCs w:val="0"/>
              </w:rPr>
              <w:t>120 min. baterija suteikia daugiau laiko reaguoti į nenumatytas situacijas</w:t>
            </w:r>
            <w:r w:rsidRPr="001242D6">
              <w:rPr>
                <w:b/>
                <w:bCs/>
              </w:rPr>
              <w:t>,</w:t>
            </w:r>
            <w:r>
              <w:t xml:space="preserve"> padidina paciento saugumą ir leidžia tęsti gyvybiškai svarbias funkcijas net tada, kai infrastruktūra laikinai neveikia.</w:t>
            </w:r>
          </w:p>
          <w:p w14:paraId="6DECB057" w14:textId="6CC20971" w:rsidR="007818E8" w:rsidRPr="00271F63" w:rsidRDefault="00AD526A" w:rsidP="007818E8">
            <w:pPr>
              <w:jc w:val="both"/>
              <w:textAlignment w:val="baseline"/>
              <w:rPr>
                <w:rFonts w:eastAsiaTheme="majorEastAsia"/>
              </w:rPr>
            </w:pPr>
            <w:r w:rsidRPr="00271F63">
              <w:t xml:space="preserve">Tai yra </w:t>
            </w:r>
            <w:r w:rsidRPr="00271F63">
              <w:rPr>
                <w:rStyle w:val="Grietas"/>
                <w:rFonts w:eastAsiaTheme="majorEastAsia"/>
                <w:b w:val="0"/>
                <w:bCs w:val="0"/>
              </w:rPr>
              <w:t>kokybinis saugumo šuolis</w:t>
            </w:r>
            <w:r w:rsidRPr="00271F63">
              <w:t>, o ne tik skaičių skirtumas.</w:t>
            </w:r>
          </w:p>
        </w:tc>
      </w:tr>
      <w:tr w:rsidR="00BF4097" w:rsidRPr="00A922F5" w14:paraId="4E6A68D1" w14:textId="2C35E5CE" w:rsidTr="00C16327">
        <w:tc>
          <w:tcPr>
            <w:tcW w:w="562" w:type="dxa"/>
            <w:vAlign w:val="center"/>
          </w:tcPr>
          <w:p w14:paraId="59E5E243" w14:textId="77777777" w:rsidR="00BF4097" w:rsidRPr="00450BB0" w:rsidRDefault="00BF4097" w:rsidP="002F788E">
            <w:pPr>
              <w:jc w:val="center"/>
              <w:rPr>
                <w:lang w:eastAsia="en-US"/>
              </w:rPr>
            </w:pPr>
            <w:r w:rsidRPr="00450BB0">
              <w:lastRenderedPageBreak/>
              <w:t>T2</w:t>
            </w:r>
          </w:p>
        </w:tc>
        <w:tc>
          <w:tcPr>
            <w:tcW w:w="2127" w:type="dxa"/>
            <w:vAlign w:val="center"/>
          </w:tcPr>
          <w:p w14:paraId="6325FB41" w14:textId="77777777" w:rsidR="00BF4097" w:rsidRPr="00450BB0" w:rsidRDefault="00BF4097" w:rsidP="002F788E">
            <w:pPr>
              <w:rPr>
                <w:lang w:eastAsia="lt-LT"/>
              </w:rPr>
            </w:pPr>
            <w:r w:rsidRPr="00450BB0">
              <w:rPr>
                <w:lang w:eastAsia="lt-LT"/>
              </w:rPr>
              <w:t>PEEP ribos - ne siauresnėse kaip 0 – 50 cmH2O ribose (TS 2.23.3 p.)</w:t>
            </w:r>
          </w:p>
        </w:tc>
        <w:tc>
          <w:tcPr>
            <w:tcW w:w="2409" w:type="dxa"/>
          </w:tcPr>
          <w:p w14:paraId="4324E16D" w14:textId="77777777" w:rsidR="00BF4097" w:rsidRPr="00450BB0" w:rsidRDefault="00BF4097" w:rsidP="002F788E">
            <w:pPr>
              <w:jc w:val="center"/>
              <w:textAlignment w:val="baseline"/>
              <w:rPr>
                <w:i/>
                <w:iCs/>
                <w:color w:val="FF0000"/>
                <w:lang w:eastAsia="lt-LT"/>
              </w:rPr>
            </w:pPr>
            <w:r w:rsidRPr="00450BB0">
              <w:rPr>
                <w:i/>
                <w:iCs/>
                <w:color w:val="FF0000"/>
                <w:lang w:eastAsia="lt-LT"/>
              </w:rPr>
              <w:t>Taip / Ne (pasirinkti atsakymą)</w:t>
            </w:r>
          </w:p>
          <w:p w14:paraId="78E8F341" w14:textId="77777777" w:rsidR="00BF4097" w:rsidRPr="00450BB0" w:rsidRDefault="00BF4097" w:rsidP="002F788E">
            <w:pPr>
              <w:jc w:val="center"/>
              <w:textAlignment w:val="baseline"/>
              <w:rPr>
                <w:i/>
                <w:iCs/>
                <w:color w:val="FF0000"/>
                <w:lang w:eastAsia="lt-LT"/>
              </w:rPr>
            </w:pPr>
          </w:p>
          <w:p w14:paraId="1BC8EA98" w14:textId="77777777" w:rsidR="00BF4097" w:rsidRPr="00450BB0" w:rsidRDefault="00BF4097" w:rsidP="002F788E">
            <w:pPr>
              <w:jc w:val="center"/>
              <w:textAlignment w:val="baseline"/>
              <w:rPr>
                <w:i/>
                <w:iCs/>
                <w:color w:val="FF0000"/>
                <w:lang w:eastAsia="lt-LT"/>
              </w:rPr>
            </w:pPr>
            <w:r w:rsidRPr="00450BB0">
              <w:rPr>
                <w:i/>
              </w:rPr>
              <w:t xml:space="preserve">Pateikiama nuoroda į nurodytą parametrą patvirtinantį </w:t>
            </w:r>
            <w:r w:rsidRPr="00450BB0">
              <w:rPr>
                <w:i/>
              </w:rPr>
              <w:lastRenderedPageBreak/>
              <w:t>gamintojo dokumento (</w:t>
            </w:r>
            <w:r w:rsidRPr="00450BB0">
              <w:rPr>
                <w:i/>
                <w:bdr w:val="nil"/>
              </w:rPr>
              <w:t>katalogo / bukleto / brošiūros / instrukcijos) puslapį</w:t>
            </w:r>
          </w:p>
        </w:tc>
        <w:tc>
          <w:tcPr>
            <w:tcW w:w="3544" w:type="dxa"/>
          </w:tcPr>
          <w:p w14:paraId="05DC84F1" w14:textId="77777777" w:rsidR="00BF4097" w:rsidRPr="00C16327" w:rsidRDefault="00BF4097" w:rsidP="00457874">
            <w:pPr>
              <w:pStyle w:val="Betarp"/>
              <w:jc w:val="both"/>
              <w:rPr>
                <w:sz w:val="20"/>
                <w:szCs w:val="20"/>
              </w:rPr>
            </w:pPr>
            <w:r w:rsidRPr="00C16327">
              <w:rPr>
                <w:sz w:val="20"/>
                <w:szCs w:val="20"/>
              </w:rPr>
              <w:lastRenderedPageBreak/>
              <w:t>Prašome šalinti kaip perteklinį reikalavimą, kadangi 0 cmH2O PEEP niekada nebus naudojamas.</w:t>
            </w:r>
          </w:p>
          <w:p w14:paraId="77E4BC1B" w14:textId="77777777" w:rsidR="00BF4097" w:rsidRPr="00C16327" w:rsidRDefault="00BF4097" w:rsidP="00457874">
            <w:pPr>
              <w:pStyle w:val="Betarp"/>
              <w:jc w:val="both"/>
              <w:rPr>
                <w:sz w:val="20"/>
                <w:szCs w:val="20"/>
              </w:rPr>
            </w:pPr>
            <w:r w:rsidRPr="00C16327">
              <w:rPr>
                <w:sz w:val="20"/>
                <w:szCs w:val="20"/>
              </w:rPr>
              <w:t xml:space="preserve">0 </w:t>
            </w:r>
            <w:proofErr w:type="spellStart"/>
            <w:r w:rsidRPr="00C16327">
              <w:rPr>
                <w:sz w:val="20"/>
                <w:szCs w:val="20"/>
              </w:rPr>
              <w:t>cmH₂O</w:t>
            </w:r>
            <w:proofErr w:type="spellEnd"/>
            <w:r w:rsidRPr="00C16327">
              <w:rPr>
                <w:sz w:val="20"/>
                <w:szCs w:val="20"/>
              </w:rPr>
              <w:t xml:space="preserve"> PEEP (</w:t>
            </w:r>
            <w:proofErr w:type="spellStart"/>
            <w:r w:rsidRPr="00C16327">
              <w:rPr>
                <w:sz w:val="20"/>
                <w:szCs w:val="20"/>
              </w:rPr>
              <w:t>Positive</w:t>
            </w:r>
            <w:proofErr w:type="spellEnd"/>
            <w:r w:rsidRPr="00C16327">
              <w:rPr>
                <w:sz w:val="20"/>
                <w:szCs w:val="20"/>
              </w:rPr>
              <w:t xml:space="preserve"> </w:t>
            </w:r>
            <w:proofErr w:type="spellStart"/>
            <w:r w:rsidRPr="00C16327">
              <w:rPr>
                <w:sz w:val="20"/>
                <w:szCs w:val="20"/>
              </w:rPr>
              <w:t>End-Expiratory</w:t>
            </w:r>
            <w:proofErr w:type="spellEnd"/>
            <w:r w:rsidRPr="00C16327">
              <w:rPr>
                <w:sz w:val="20"/>
                <w:szCs w:val="20"/>
              </w:rPr>
              <w:t xml:space="preserve"> </w:t>
            </w:r>
            <w:proofErr w:type="spellStart"/>
            <w:r w:rsidRPr="00C16327">
              <w:rPr>
                <w:sz w:val="20"/>
                <w:szCs w:val="20"/>
              </w:rPr>
              <w:t>Pressure</w:t>
            </w:r>
            <w:proofErr w:type="spellEnd"/>
            <w:r w:rsidRPr="00C16327">
              <w:rPr>
                <w:sz w:val="20"/>
                <w:szCs w:val="20"/>
              </w:rPr>
              <w:t xml:space="preserve">) ventiliuojant pacientą paprastai naudojamas labai retai, nes jis turi neigiamą poveikį plaučių mechanikai ir </w:t>
            </w:r>
            <w:proofErr w:type="spellStart"/>
            <w:r w:rsidRPr="00C16327">
              <w:rPr>
                <w:sz w:val="20"/>
                <w:szCs w:val="20"/>
              </w:rPr>
              <w:t>oksigenacijai</w:t>
            </w:r>
            <w:proofErr w:type="spellEnd"/>
            <w:r w:rsidRPr="00C16327">
              <w:rPr>
                <w:sz w:val="20"/>
                <w:szCs w:val="20"/>
              </w:rPr>
              <w:t>.</w:t>
            </w:r>
          </w:p>
          <w:p w14:paraId="1D115E9B" w14:textId="77777777" w:rsidR="00BF4097" w:rsidRPr="00C16327" w:rsidRDefault="00BF4097" w:rsidP="00457874">
            <w:pPr>
              <w:pStyle w:val="Betarp"/>
              <w:jc w:val="both"/>
              <w:rPr>
                <w:sz w:val="20"/>
                <w:szCs w:val="20"/>
              </w:rPr>
            </w:pPr>
            <w:r w:rsidRPr="00C16327">
              <w:rPr>
                <w:sz w:val="20"/>
                <w:szCs w:val="20"/>
              </w:rPr>
              <w:lastRenderedPageBreak/>
              <w:t xml:space="preserve">0 </w:t>
            </w:r>
            <w:proofErr w:type="spellStart"/>
            <w:r w:rsidRPr="00C16327">
              <w:rPr>
                <w:sz w:val="20"/>
                <w:szCs w:val="20"/>
              </w:rPr>
              <w:t>cmH₂O</w:t>
            </w:r>
            <w:proofErr w:type="spellEnd"/>
            <w:r w:rsidRPr="00C16327">
              <w:rPr>
                <w:sz w:val="20"/>
                <w:szCs w:val="20"/>
              </w:rPr>
              <w:t xml:space="preserve"> PEEP yra žalingas? TAIP</w:t>
            </w:r>
          </w:p>
          <w:p w14:paraId="3E673175" w14:textId="77777777" w:rsidR="00BF4097" w:rsidRPr="00C16327" w:rsidRDefault="00BF4097" w:rsidP="00457874">
            <w:pPr>
              <w:pStyle w:val="Betarp"/>
              <w:jc w:val="both"/>
              <w:rPr>
                <w:sz w:val="20"/>
                <w:szCs w:val="20"/>
              </w:rPr>
            </w:pPr>
            <w:r w:rsidRPr="00C16327">
              <w:rPr>
                <w:sz w:val="20"/>
                <w:szCs w:val="20"/>
              </w:rPr>
              <w:t>Dažniausiai tai nėra rekomenduojama dėl šių priežasčių:</w:t>
            </w:r>
          </w:p>
          <w:p w14:paraId="17E1247B" w14:textId="77777777" w:rsidR="00BF4097" w:rsidRPr="00C16327" w:rsidRDefault="00BF4097" w:rsidP="00457874">
            <w:pPr>
              <w:pStyle w:val="Betarp"/>
              <w:jc w:val="both"/>
              <w:rPr>
                <w:sz w:val="20"/>
                <w:szCs w:val="20"/>
              </w:rPr>
            </w:pPr>
            <w:r w:rsidRPr="00C16327">
              <w:rPr>
                <w:sz w:val="20"/>
                <w:szCs w:val="20"/>
              </w:rPr>
              <w:t xml:space="preserve">Alveolių </w:t>
            </w:r>
            <w:proofErr w:type="spellStart"/>
            <w:r w:rsidRPr="00C16327">
              <w:rPr>
                <w:sz w:val="20"/>
                <w:szCs w:val="20"/>
              </w:rPr>
              <w:t>kolapsas</w:t>
            </w:r>
            <w:proofErr w:type="spellEnd"/>
            <w:r w:rsidRPr="00C16327">
              <w:rPr>
                <w:sz w:val="20"/>
                <w:szCs w:val="20"/>
              </w:rPr>
              <w:t xml:space="preserve"> (</w:t>
            </w:r>
            <w:proofErr w:type="spellStart"/>
            <w:r w:rsidRPr="00C16327">
              <w:rPr>
                <w:sz w:val="20"/>
                <w:szCs w:val="20"/>
              </w:rPr>
              <w:t>atelektazė</w:t>
            </w:r>
            <w:proofErr w:type="spellEnd"/>
            <w:r w:rsidRPr="00C16327">
              <w:rPr>
                <w:sz w:val="20"/>
                <w:szCs w:val="20"/>
              </w:rPr>
              <w:t>) – be PEEP, ypač pacientams su ūminiu kvėpavimo nepakankamumu ar ARDS (</w:t>
            </w:r>
            <w:proofErr w:type="spellStart"/>
            <w:r w:rsidRPr="00C16327">
              <w:rPr>
                <w:sz w:val="20"/>
                <w:szCs w:val="20"/>
              </w:rPr>
              <w:t>Acute</w:t>
            </w:r>
            <w:proofErr w:type="spellEnd"/>
            <w:r w:rsidRPr="00C16327">
              <w:rPr>
                <w:sz w:val="20"/>
                <w:szCs w:val="20"/>
              </w:rPr>
              <w:t xml:space="preserve"> </w:t>
            </w:r>
            <w:proofErr w:type="spellStart"/>
            <w:r w:rsidRPr="00C16327">
              <w:rPr>
                <w:sz w:val="20"/>
                <w:szCs w:val="20"/>
              </w:rPr>
              <w:t>Respiratory</w:t>
            </w:r>
            <w:proofErr w:type="spellEnd"/>
            <w:r w:rsidRPr="00C16327">
              <w:rPr>
                <w:sz w:val="20"/>
                <w:szCs w:val="20"/>
              </w:rPr>
              <w:t xml:space="preserve"> </w:t>
            </w:r>
            <w:proofErr w:type="spellStart"/>
            <w:r w:rsidRPr="00C16327">
              <w:rPr>
                <w:sz w:val="20"/>
                <w:szCs w:val="20"/>
              </w:rPr>
              <w:t>Distress</w:t>
            </w:r>
            <w:proofErr w:type="spellEnd"/>
            <w:r w:rsidRPr="00C16327">
              <w:rPr>
                <w:sz w:val="20"/>
                <w:szCs w:val="20"/>
              </w:rPr>
              <w:t xml:space="preserve"> </w:t>
            </w:r>
            <w:proofErr w:type="spellStart"/>
            <w:r w:rsidRPr="00C16327">
              <w:rPr>
                <w:sz w:val="20"/>
                <w:szCs w:val="20"/>
              </w:rPr>
              <w:t>Syndrome</w:t>
            </w:r>
            <w:proofErr w:type="spellEnd"/>
            <w:r w:rsidRPr="00C16327">
              <w:rPr>
                <w:sz w:val="20"/>
                <w:szCs w:val="20"/>
              </w:rPr>
              <w:t xml:space="preserve">), gali greitai atsirasti alveolių užsidarymas, pablogėti dujų apykaita ir sumažėti deguonies </w:t>
            </w:r>
            <w:proofErr w:type="spellStart"/>
            <w:r w:rsidRPr="00C16327">
              <w:rPr>
                <w:sz w:val="20"/>
                <w:szCs w:val="20"/>
              </w:rPr>
              <w:t>saturacija</w:t>
            </w:r>
            <w:proofErr w:type="spellEnd"/>
            <w:r w:rsidRPr="00C16327">
              <w:rPr>
                <w:sz w:val="20"/>
                <w:szCs w:val="20"/>
              </w:rPr>
              <w:t>.</w:t>
            </w:r>
          </w:p>
          <w:p w14:paraId="33414765" w14:textId="77777777" w:rsidR="00BF4097" w:rsidRPr="00C16327" w:rsidRDefault="00BF4097" w:rsidP="00457874">
            <w:pPr>
              <w:pStyle w:val="Betarp"/>
              <w:jc w:val="both"/>
              <w:rPr>
                <w:sz w:val="20"/>
                <w:szCs w:val="20"/>
              </w:rPr>
            </w:pPr>
            <w:r w:rsidRPr="00C16327">
              <w:rPr>
                <w:sz w:val="20"/>
                <w:szCs w:val="20"/>
              </w:rPr>
              <w:t>Didėjantis plaučių pažeidimas – didesnis alveolių atsidarymo ir užsidarymo ciklų skaičius (</w:t>
            </w:r>
            <w:proofErr w:type="spellStart"/>
            <w:r w:rsidRPr="00C16327">
              <w:rPr>
                <w:sz w:val="20"/>
                <w:szCs w:val="20"/>
              </w:rPr>
              <w:t>atelektotraumos</w:t>
            </w:r>
            <w:proofErr w:type="spellEnd"/>
            <w:r w:rsidRPr="00C16327">
              <w:rPr>
                <w:sz w:val="20"/>
                <w:szCs w:val="20"/>
              </w:rPr>
              <w:t xml:space="preserve"> mechanizmas) gali skatinti plaučių pažeidimą.</w:t>
            </w:r>
          </w:p>
          <w:p w14:paraId="6A5CB6D2" w14:textId="77777777" w:rsidR="00BF4097" w:rsidRPr="00C16327" w:rsidRDefault="00BF4097" w:rsidP="00457874">
            <w:pPr>
              <w:pStyle w:val="Betarp"/>
              <w:jc w:val="both"/>
              <w:rPr>
                <w:sz w:val="20"/>
                <w:szCs w:val="20"/>
              </w:rPr>
            </w:pPr>
            <w:r w:rsidRPr="00C16327">
              <w:rPr>
                <w:sz w:val="20"/>
                <w:szCs w:val="20"/>
              </w:rPr>
              <w:t xml:space="preserve">Deguonies pasisavinimo pablogėjimas – be minimalaus PEEP, funkcinė likutinė talpa (FRC) sumažėja, dėl ko blogėja deguonies difuzija ir kraujo </w:t>
            </w:r>
            <w:proofErr w:type="spellStart"/>
            <w:r w:rsidRPr="00C16327">
              <w:rPr>
                <w:sz w:val="20"/>
                <w:szCs w:val="20"/>
              </w:rPr>
              <w:t>oksigenacija</w:t>
            </w:r>
            <w:proofErr w:type="spellEnd"/>
            <w:r w:rsidRPr="00C16327">
              <w:rPr>
                <w:sz w:val="20"/>
                <w:szCs w:val="20"/>
              </w:rPr>
              <w:t>.</w:t>
            </w:r>
          </w:p>
          <w:p w14:paraId="01DE7AEC" w14:textId="77777777" w:rsidR="00BF4097" w:rsidRPr="00C16327" w:rsidRDefault="00BF4097" w:rsidP="00457874">
            <w:pPr>
              <w:pStyle w:val="Betarp"/>
              <w:jc w:val="both"/>
              <w:rPr>
                <w:sz w:val="20"/>
                <w:szCs w:val="20"/>
              </w:rPr>
            </w:pPr>
            <w:r w:rsidRPr="00C16327">
              <w:rPr>
                <w:sz w:val="20"/>
                <w:szCs w:val="20"/>
              </w:rPr>
              <w:t>Didėjantis kvėpavimo darbas – pacientams, kurie pradeda kvėpuoti spontaniškai, per mažas ar nulinis PEEP gali apsunkinti kvėpavimą.</w:t>
            </w:r>
          </w:p>
          <w:p w14:paraId="4F1E6109" w14:textId="77777777" w:rsidR="00BF4097" w:rsidRPr="00C16327" w:rsidRDefault="00BF4097" w:rsidP="00457874">
            <w:pPr>
              <w:pStyle w:val="Betarp"/>
              <w:jc w:val="both"/>
              <w:rPr>
                <w:sz w:val="20"/>
                <w:szCs w:val="20"/>
              </w:rPr>
            </w:pPr>
            <w:r w:rsidRPr="00C16327">
              <w:rPr>
                <w:sz w:val="20"/>
                <w:szCs w:val="20"/>
              </w:rPr>
              <w:t xml:space="preserve">Daugeliu atvejų rekomenduojama naudoti bent 3–5 </w:t>
            </w:r>
            <w:proofErr w:type="spellStart"/>
            <w:r w:rsidRPr="00C16327">
              <w:rPr>
                <w:sz w:val="20"/>
                <w:szCs w:val="20"/>
              </w:rPr>
              <w:t>cmH₂O</w:t>
            </w:r>
            <w:proofErr w:type="spellEnd"/>
            <w:r w:rsidRPr="00C16327">
              <w:rPr>
                <w:sz w:val="20"/>
                <w:szCs w:val="20"/>
              </w:rPr>
              <w:t xml:space="preserve"> PEEP, nes tai padeda palaikyti alveolių stabilumą ir sumažina komplikacijų riziką. Ypač pacientams su plaučių ligomis (ARDS, pneumonija, plaučių edema) ar dirbtine ventiliacija, 0 </w:t>
            </w:r>
            <w:proofErr w:type="spellStart"/>
            <w:r w:rsidRPr="00C16327">
              <w:rPr>
                <w:sz w:val="20"/>
                <w:szCs w:val="20"/>
              </w:rPr>
              <w:t>cmH₂O</w:t>
            </w:r>
            <w:proofErr w:type="spellEnd"/>
            <w:r w:rsidRPr="00C16327">
              <w:rPr>
                <w:sz w:val="20"/>
                <w:szCs w:val="20"/>
              </w:rPr>
              <w:t xml:space="preserve"> PEEP gali būti kenksmingas.</w:t>
            </w:r>
          </w:p>
          <w:p w14:paraId="5B7D840A" w14:textId="77777777" w:rsidR="00BF4097" w:rsidRPr="00C16327" w:rsidRDefault="00BF4097" w:rsidP="00457874">
            <w:pPr>
              <w:pStyle w:val="Betarp"/>
              <w:jc w:val="both"/>
              <w:rPr>
                <w:sz w:val="20"/>
                <w:szCs w:val="20"/>
              </w:rPr>
            </w:pPr>
            <w:r w:rsidRPr="00C16327">
              <w:rPr>
                <w:sz w:val="20"/>
                <w:szCs w:val="20"/>
              </w:rPr>
              <w:t xml:space="preserve">Apibendrinant, 0 </w:t>
            </w:r>
            <w:proofErr w:type="spellStart"/>
            <w:r w:rsidRPr="00C16327">
              <w:rPr>
                <w:sz w:val="20"/>
                <w:szCs w:val="20"/>
              </w:rPr>
              <w:t>cmH₂O</w:t>
            </w:r>
            <w:proofErr w:type="spellEnd"/>
            <w:r w:rsidRPr="00C16327">
              <w:rPr>
                <w:sz w:val="20"/>
                <w:szCs w:val="20"/>
              </w:rPr>
              <w:t xml:space="preserve"> PEEP dažniausiai nerekomenduojamas, išskyrus labai specifines situacijas (neurochirurgines operacijas – kurios nebus atliekamos Vilniaus miesto klinikinėje ligoninėje ir Centro poliklinikoje) Minimalus PEEP (3–5 </w:t>
            </w:r>
            <w:proofErr w:type="spellStart"/>
            <w:r w:rsidRPr="00C16327">
              <w:rPr>
                <w:sz w:val="20"/>
                <w:szCs w:val="20"/>
              </w:rPr>
              <w:t>cmH₂O</w:t>
            </w:r>
            <w:proofErr w:type="spellEnd"/>
            <w:r w:rsidRPr="00C16327">
              <w:rPr>
                <w:sz w:val="20"/>
                <w:szCs w:val="20"/>
              </w:rPr>
              <w:t xml:space="preserve">) dažniausiai yra saugesnis ir naudingesnis kvėpavimo palaikymui. </w:t>
            </w:r>
          </w:p>
          <w:p w14:paraId="793F6871" w14:textId="77777777" w:rsidR="00BF4097" w:rsidRPr="00C16327" w:rsidRDefault="00BF4097" w:rsidP="00457874">
            <w:pPr>
              <w:pStyle w:val="Betarp"/>
              <w:jc w:val="both"/>
              <w:rPr>
                <w:sz w:val="20"/>
                <w:szCs w:val="20"/>
              </w:rPr>
            </w:pPr>
            <w:r w:rsidRPr="00C16327">
              <w:rPr>
                <w:b/>
                <w:bCs/>
                <w:sz w:val="20"/>
                <w:szCs w:val="20"/>
              </w:rPr>
              <w:t>PEEP vertė 50 cmH2O yra pavojingas</w:t>
            </w:r>
            <w:r w:rsidRPr="00C16327">
              <w:rPr>
                <w:sz w:val="20"/>
                <w:szCs w:val="20"/>
              </w:rPr>
              <w:t xml:space="preserve"> pacientui ir parametras, kuris kelia grėsmę paciento sveikatos būklei, </w:t>
            </w:r>
            <w:r w:rsidRPr="00C16327">
              <w:rPr>
                <w:b/>
                <w:bCs/>
                <w:sz w:val="20"/>
                <w:szCs w:val="20"/>
              </w:rPr>
              <w:lastRenderedPageBreak/>
              <w:t>neturėtu būti įvardinamas kaip privalumas</w:t>
            </w:r>
            <w:r w:rsidRPr="00C16327">
              <w:rPr>
                <w:sz w:val="20"/>
                <w:szCs w:val="20"/>
              </w:rPr>
              <w:t>.</w:t>
            </w:r>
          </w:p>
          <w:p w14:paraId="1096BE13" w14:textId="77777777" w:rsidR="00BF4097" w:rsidRPr="00C16327" w:rsidRDefault="00BF4097" w:rsidP="00457874">
            <w:pPr>
              <w:pStyle w:val="Betarp"/>
              <w:jc w:val="both"/>
              <w:rPr>
                <w:sz w:val="20"/>
                <w:szCs w:val="20"/>
              </w:rPr>
            </w:pPr>
            <w:r w:rsidRPr="00C16327">
              <w:rPr>
                <w:sz w:val="20"/>
                <w:szCs w:val="20"/>
              </w:rPr>
              <w:t xml:space="preserve">PEEP 50 </w:t>
            </w:r>
            <w:proofErr w:type="spellStart"/>
            <w:r w:rsidRPr="00C16327">
              <w:rPr>
                <w:sz w:val="20"/>
                <w:szCs w:val="20"/>
              </w:rPr>
              <w:t>cmH₂O</w:t>
            </w:r>
            <w:proofErr w:type="spellEnd"/>
            <w:r w:rsidRPr="00C16327">
              <w:rPr>
                <w:sz w:val="20"/>
                <w:szCs w:val="20"/>
              </w:rPr>
              <w:t xml:space="preserve"> yra labai aukštas ir ekstremaliai pavojingas, nes gali sukelti rimtą plaučių ir širdies-kraujagyslių sistemos pažeidimą.</w:t>
            </w:r>
          </w:p>
          <w:p w14:paraId="02069EAC" w14:textId="77777777" w:rsidR="00BF4097" w:rsidRPr="00C16327" w:rsidRDefault="00BF4097" w:rsidP="00457874">
            <w:pPr>
              <w:pStyle w:val="Betarp"/>
              <w:jc w:val="both"/>
              <w:rPr>
                <w:sz w:val="20"/>
                <w:szCs w:val="20"/>
              </w:rPr>
            </w:pPr>
            <w:r w:rsidRPr="00C16327">
              <w:rPr>
                <w:sz w:val="20"/>
                <w:szCs w:val="20"/>
              </w:rPr>
              <w:t xml:space="preserve">Pagrindinės žalos mechanizmai esant 50 </w:t>
            </w:r>
            <w:proofErr w:type="spellStart"/>
            <w:r w:rsidRPr="00C16327">
              <w:rPr>
                <w:sz w:val="20"/>
                <w:szCs w:val="20"/>
              </w:rPr>
              <w:t>cmH₂O</w:t>
            </w:r>
            <w:proofErr w:type="spellEnd"/>
            <w:r w:rsidRPr="00C16327">
              <w:rPr>
                <w:sz w:val="20"/>
                <w:szCs w:val="20"/>
              </w:rPr>
              <w:t xml:space="preserve"> PEEP:</w:t>
            </w:r>
          </w:p>
          <w:p w14:paraId="5301CFB3" w14:textId="77777777" w:rsidR="00BF4097" w:rsidRPr="00C16327" w:rsidRDefault="00BF4097" w:rsidP="00457874">
            <w:pPr>
              <w:pStyle w:val="Betarp"/>
              <w:jc w:val="both"/>
              <w:rPr>
                <w:sz w:val="20"/>
                <w:szCs w:val="20"/>
              </w:rPr>
            </w:pPr>
            <w:proofErr w:type="spellStart"/>
            <w:r w:rsidRPr="00C16327">
              <w:rPr>
                <w:b/>
                <w:bCs/>
                <w:sz w:val="20"/>
                <w:szCs w:val="20"/>
              </w:rPr>
              <w:t>Barotrauma</w:t>
            </w:r>
            <w:proofErr w:type="spellEnd"/>
            <w:r w:rsidRPr="00C16327">
              <w:rPr>
                <w:b/>
                <w:bCs/>
                <w:sz w:val="20"/>
                <w:szCs w:val="20"/>
              </w:rPr>
              <w:t xml:space="preserve"> </w:t>
            </w:r>
            <w:r w:rsidRPr="00C16327">
              <w:rPr>
                <w:sz w:val="20"/>
                <w:szCs w:val="20"/>
              </w:rPr>
              <w:t>(perteklinis slėgis plaučiuose)</w:t>
            </w:r>
          </w:p>
          <w:p w14:paraId="0789EE1C" w14:textId="77777777" w:rsidR="00BF4097" w:rsidRPr="00C16327" w:rsidRDefault="00BF4097" w:rsidP="00457874">
            <w:pPr>
              <w:pStyle w:val="Betarp"/>
              <w:jc w:val="both"/>
              <w:rPr>
                <w:sz w:val="20"/>
                <w:szCs w:val="20"/>
              </w:rPr>
            </w:pPr>
            <w:r w:rsidRPr="00C16327">
              <w:rPr>
                <w:sz w:val="20"/>
                <w:szCs w:val="20"/>
              </w:rPr>
              <w:t xml:space="preserve">Didelis slėgis gali sukelti alveolių plyšimą, dėl kurio atsiranda: </w:t>
            </w:r>
          </w:p>
          <w:p w14:paraId="518057C0" w14:textId="77777777" w:rsidR="00BF4097" w:rsidRPr="00C16327" w:rsidRDefault="00BF4097" w:rsidP="00457874">
            <w:pPr>
              <w:pStyle w:val="Betarp"/>
              <w:jc w:val="both"/>
              <w:rPr>
                <w:sz w:val="20"/>
                <w:szCs w:val="20"/>
              </w:rPr>
            </w:pPr>
            <w:proofErr w:type="spellStart"/>
            <w:r w:rsidRPr="00C16327">
              <w:rPr>
                <w:b/>
                <w:bCs/>
                <w:sz w:val="20"/>
                <w:szCs w:val="20"/>
              </w:rPr>
              <w:t>Pneumotoraksas</w:t>
            </w:r>
            <w:proofErr w:type="spellEnd"/>
            <w:r w:rsidRPr="00C16327">
              <w:rPr>
                <w:sz w:val="20"/>
                <w:szCs w:val="20"/>
              </w:rPr>
              <w:t xml:space="preserve"> (oro patekimas į pleuros ertmę, sukeliantis plaučių </w:t>
            </w:r>
            <w:proofErr w:type="spellStart"/>
            <w:r w:rsidRPr="00C16327">
              <w:rPr>
                <w:sz w:val="20"/>
                <w:szCs w:val="20"/>
              </w:rPr>
              <w:t>kolapsą</w:t>
            </w:r>
            <w:proofErr w:type="spellEnd"/>
            <w:r w:rsidRPr="00C16327">
              <w:rPr>
                <w:sz w:val="20"/>
                <w:szCs w:val="20"/>
              </w:rPr>
              <w:t>)</w:t>
            </w:r>
          </w:p>
          <w:p w14:paraId="43B347B4" w14:textId="77777777" w:rsidR="00BF4097" w:rsidRPr="00C16327" w:rsidRDefault="00BF4097" w:rsidP="00457874">
            <w:pPr>
              <w:pStyle w:val="Betarp"/>
              <w:jc w:val="both"/>
              <w:rPr>
                <w:sz w:val="20"/>
                <w:szCs w:val="20"/>
              </w:rPr>
            </w:pPr>
            <w:proofErr w:type="spellStart"/>
            <w:r w:rsidRPr="00C16327">
              <w:rPr>
                <w:b/>
                <w:bCs/>
                <w:sz w:val="20"/>
                <w:szCs w:val="20"/>
              </w:rPr>
              <w:t>Pneumomediastinum</w:t>
            </w:r>
            <w:proofErr w:type="spellEnd"/>
            <w:r w:rsidRPr="00C16327">
              <w:rPr>
                <w:sz w:val="20"/>
                <w:szCs w:val="20"/>
              </w:rPr>
              <w:t xml:space="preserve"> (oro kaupimasis </w:t>
            </w:r>
            <w:proofErr w:type="spellStart"/>
            <w:r w:rsidRPr="00C16327">
              <w:rPr>
                <w:sz w:val="20"/>
                <w:szCs w:val="20"/>
              </w:rPr>
              <w:t>tarpkrūtinės</w:t>
            </w:r>
            <w:proofErr w:type="spellEnd"/>
            <w:r w:rsidRPr="00C16327">
              <w:rPr>
                <w:sz w:val="20"/>
                <w:szCs w:val="20"/>
              </w:rPr>
              <w:t xml:space="preserve"> plote)</w:t>
            </w:r>
          </w:p>
          <w:p w14:paraId="4FD28DE5" w14:textId="77777777" w:rsidR="00BF4097" w:rsidRPr="00C16327" w:rsidRDefault="00BF4097" w:rsidP="00457874">
            <w:pPr>
              <w:pStyle w:val="Betarp"/>
              <w:jc w:val="both"/>
              <w:rPr>
                <w:sz w:val="20"/>
                <w:szCs w:val="20"/>
              </w:rPr>
            </w:pPr>
            <w:proofErr w:type="spellStart"/>
            <w:r w:rsidRPr="00C16327">
              <w:rPr>
                <w:b/>
                <w:bCs/>
                <w:sz w:val="20"/>
                <w:szCs w:val="20"/>
              </w:rPr>
              <w:t>Pneumoperitoneum</w:t>
            </w:r>
            <w:proofErr w:type="spellEnd"/>
            <w:r w:rsidRPr="00C16327">
              <w:rPr>
                <w:sz w:val="20"/>
                <w:szCs w:val="20"/>
              </w:rPr>
              <w:t xml:space="preserve"> (oro patekimas į pilvo ertmę)</w:t>
            </w:r>
          </w:p>
          <w:p w14:paraId="5B9A6B4C" w14:textId="77777777" w:rsidR="00BF4097" w:rsidRPr="00C16327" w:rsidRDefault="00BF4097" w:rsidP="00457874">
            <w:pPr>
              <w:pStyle w:val="Betarp"/>
              <w:jc w:val="both"/>
              <w:rPr>
                <w:sz w:val="20"/>
                <w:szCs w:val="20"/>
              </w:rPr>
            </w:pPr>
            <w:r w:rsidRPr="00C16327">
              <w:rPr>
                <w:sz w:val="20"/>
                <w:szCs w:val="20"/>
              </w:rPr>
              <w:t xml:space="preserve">Dėl per didelio spaudimo gali atsirasti </w:t>
            </w:r>
            <w:proofErr w:type="spellStart"/>
            <w:r w:rsidRPr="00C16327">
              <w:rPr>
                <w:sz w:val="20"/>
                <w:szCs w:val="20"/>
              </w:rPr>
              <w:t>subkutaninė</w:t>
            </w:r>
            <w:proofErr w:type="spellEnd"/>
            <w:r w:rsidRPr="00C16327">
              <w:rPr>
                <w:sz w:val="20"/>
                <w:szCs w:val="20"/>
              </w:rPr>
              <w:t xml:space="preserve"> </w:t>
            </w:r>
            <w:proofErr w:type="spellStart"/>
            <w:r w:rsidRPr="00C16327">
              <w:rPr>
                <w:sz w:val="20"/>
                <w:szCs w:val="20"/>
              </w:rPr>
              <w:t>emfizema</w:t>
            </w:r>
            <w:proofErr w:type="spellEnd"/>
            <w:r w:rsidRPr="00C16327">
              <w:rPr>
                <w:sz w:val="20"/>
                <w:szCs w:val="20"/>
              </w:rPr>
              <w:t xml:space="preserve"> (oro kaupimasis po oda).</w:t>
            </w:r>
          </w:p>
          <w:p w14:paraId="4E132C08" w14:textId="77777777" w:rsidR="00BF4097" w:rsidRPr="00C16327" w:rsidRDefault="00BF4097" w:rsidP="00457874">
            <w:pPr>
              <w:pStyle w:val="Betarp"/>
              <w:jc w:val="both"/>
              <w:rPr>
                <w:sz w:val="20"/>
                <w:szCs w:val="20"/>
              </w:rPr>
            </w:pPr>
            <w:r w:rsidRPr="00C16327">
              <w:rPr>
                <w:sz w:val="20"/>
                <w:szCs w:val="20"/>
              </w:rPr>
              <w:t xml:space="preserve">Plaučių </w:t>
            </w:r>
            <w:proofErr w:type="spellStart"/>
            <w:r w:rsidRPr="00C16327">
              <w:rPr>
                <w:sz w:val="20"/>
                <w:szCs w:val="20"/>
              </w:rPr>
              <w:t>hiperinflacija</w:t>
            </w:r>
            <w:proofErr w:type="spellEnd"/>
            <w:r w:rsidRPr="00C16327">
              <w:rPr>
                <w:sz w:val="20"/>
                <w:szCs w:val="20"/>
              </w:rPr>
              <w:t xml:space="preserve"> ir </w:t>
            </w:r>
            <w:proofErr w:type="spellStart"/>
            <w:r w:rsidRPr="00C16327">
              <w:rPr>
                <w:sz w:val="20"/>
                <w:szCs w:val="20"/>
              </w:rPr>
              <w:t>volutrauma</w:t>
            </w:r>
            <w:proofErr w:type="spellEnd"/>
          </w:p>
          <w:p w14:paraId="508D1E8C" w14:textId="77777777" w:rsidR="00BF4097" w:rsidRPr="00C16327" w:rsidRDefault="00BF4097" w:rsidP="00457874">
            <w:pPr>
              <w:pStyle w:val="Betarp"/>
              <w:jc w:val="both"/>
              <w:rPr>
                <w:sz w:val="20"/>
                <w:szCs w:val="20"/>
              </w:rPr>
            </w:pPr>
            <w:r w:rsidRPr="00C16327">
              <w:rPr>
                <w:sz w:val="20"/>
                <w:szCs w:val="20"/>
              </w:rPr>
              <w:t>Didelis PEEP palaiko per daug išsiplėtusius alveoles, o tai gali sukelti mechaninį audinių pažeidimą.</w:t>
            </w:r>
          </w:p>
          <w:p w14:paraId="50D9D36D" w14:textId="77777777" w:rsidR="00BF4097" w:rsidRPr="00C16327" w:rsidRDefault="00BF4097" w:rsidP="00457874">
            <w:pPr>
              <w:pStyle w:val="Betarp"/>
              <w:jc w:val="both"/>
              <w:rPr>
                <w:sz w:val="20"/>
                <w:szCs w:val="20"/>
              </w:rPr>
            </w:pPr>
            <w:proofErr w:type="spellStart"/>
            <w:r w:rsidRPr="00C16327">
              <w:rPr>
                <w:sz w:val="20"/>
                <w:szCs w:val="20"/>
              </w:rPr>
              <w:t>Hiperinflacija</w:t>
            </w:r>
            <w:proofErr w:type="spellEnd"/>
            <w:r w:rsidRPr="00C16327">
              <w:rPr>
                <w:sz w:val="20"/>
                <w:szCs w:val="20"/>
              </w:rPr>
              <w:t xml:space="preserve"> sumažina plaučių </w:t>
            </w:r>
            <w:proofErr w:type="spellStart"/>
            <w:r w:rsidRPr="00C16327">
              <w:rPr>
                <w:sz w:val="20"/>
                <w:szCs w:val="20"/>
              </w:rPr>
              <w:t>compliance</w:t>
            </w:r>
            <w:proofErr w:type="spellEnd"/>
            <w:r w:rsidRPr="00C16327">
              <w:rPr>
                <w:sz w:val="20"/>
                <w:szCs w:val="20"/>
              </w:rPr>
              <w:t xml:space="preserve"> (elastingumą), dėl to ventiliacija tampa mažiau efektyvi.</w:t>
            </w:r>
          </w:p>
          <w:p w14:paraId="4F90CC05" w14:textId="77777777" w:rsidR="00BF4097" w:rsidRPr="00C16327" w:rsidRDefault="00BF4097" w:rsidP="00457874">
            <w:pPr>
              <w:pStyle w:val="Betarp"/>
              <w:jc w:val="both"/>
              <w:rPr>
                <w:sz w:val="20"/>
                <w:szCs w:val="20"/>
              </w:rPr>
            </w:pPr>
            <w:r w:rsidRPr="00C16327">
              <w:rPr>
                <w:sz w:val="20"/>
                <w:szCs w:val="20"/>
              </w:rPr>
              <w:t>Sumažėjusi veninė grįžtis ir širdies disfunkcija</w:t>
            </w:r>
          </w:p>
          <w:p w14:paraId="00EFCA57" w14:textId="77777777" w:rsidR="00BF4097" w:rsidRPr="00C16327" w:rsidRDefault="00BF4097" w:rsidP="00457874">
            <w:pPr>
              <w:pStyle w:val="Betarp"/>
              <w:jc w:val="both"/>
              <w:rPr>
                <w:sz w:val="20"/>
                <w:szCs w:val="20"/>
              </w:rPr>
            </w:pPr>
            <w:r w:rsidRPr="00C16327">
              <w:rPr>
                <w:sz w:val="20"/>
                <w:szCs w:val="20"/>
              </w:rPr>
              <w:t>Didelis krūtinės ląstos slėgis sumažina kraujo grįžimą į širdį (</w:t>
            </w:r>
            <w:proofErr w:type="spellStart"/>
            <w:r w:rsidRPr="00C16327">
              <w:rPr>
                <w:sz w:val="20"/>
                <w:szCs w:val="20"/>
              </w:rPr>
              <w:t>venous</w:t>
            </w:r>
            <w:proofErr w:type="spellEnd"/>
            <w:r w:rsidRPr="00C16327">
              <w:rPr>
                <w:sz w:val="20"/>
                <w:szCs w:val="20"/>
              </w:rPr>
              <w:t xml:space="preserve"> </w:t>
            </w:r>
            <w:proofErr w:type="spellStart"/>
            <w:r w:rsidRPr="00C16327">
              <w:rPr>
                <w:sz w:val="20"/>
                <w:szCs w:val="20"/>
              </w:rPr>
              <w:t>return</w:t>
            </w:r>
            <w:proofErr w:type="spellEnd"/>
            <w:r w:rsidRPr="00C16327">
              <w:rPr>
                <w:sz w:val="20"/>
                <w:szCs w:val="20"/>
              </w:rPr>
              <w:t xml:space="preserve">), todėl gali atsirasti: </w:t>
            </w:r>
          </w:p>
          <w:p w14:paraId="0A321C03" w14:textId="77777777" w:rsidR="00BF4097" w:rsidRPr="00C16327" w:rsidRDefault="00BF4097" w:rsidP="00457874">
            <w:pPr>
              <w:pStyle w:val="Betarp"/>
              <w:jc w:val="both"/>
              <w:rPr>
                <w:sz w:val="20"/>
                <w:szCs w:val="20"/>
              </w:rPr>
            </w:pPr>
            <w:proofErr w:type="spellStart"/>
            <w:r w:rsidRPr="00C16327">
              <w:rPr>
                <w:sz w:val="20"/>
                <w:szCs w:val="20"/>
              </w:rPr>
              <w:t>Hipotenzija</w:t>
            </w:r>
            <w:proofErr w:type="spellEnd"/>
            <w:r w:rsidRPr="00C16327">
              <w:rPr>
                <w:sz w:val="20"/>
                <w:szCs w:val="20"/>
              </w:rPr>
              <w:t xml:space="preserve"> (žemas kraujospūdis)</w:t>
            </w:r>
          </w:p>
          <w:p w14:paraId="3F695F9B" w14:textId="77777777" w:rsidR="00BF4097" w:rsidRPr="00C16327" w:rsidRDefault="00BF4097" w:rsidP="00457874">
            <w:pPr>
              <w:pStyle w:val="Betarp"/>
              <w:jc w:val="both"/>
              <w:rPr>
                <w:sz w:val="20"/>
                <w:szCs w:val="20"/>
              </w:rPr>
            </w:pPr>
            <w:r w:rsidRPr="00C16327">
              <w:rPr>
                <w:sz w:val="20"/>
                <w:szCs w:val="20"/>
              </w:rPr>
              <w:t>Širdies išmetimo sumažėjimas (</w:t>
            </w:r>
            <w:proofErr w:type="spellStart"/>
            <w:r w:rsidRPr="00C16327">
              <w:rPr>
                <w:sz w:val="20"/>
                <w:szCs w:val="20"/>
              </w:rPr>
              <w:t>cardiac</w:t>
            </w:r>
            <w:proofErr w:type="spellEnd"/>
            <w:r w:rsidRPr="00C16327">
              <w:rPr>
                <w:sz w:val="20"/>
                <w:szCs w:val="20"/>
              </w:rPr>
              <w:t xml:space="preserve"> </w:t>
            </w:r>
            <w:proofErr w:type="spellStart"/>
            <w:r w:rsidRPr="00C16327">
              <w:rPr>
                <w:sz w:val="20"/>
                <w:szCs w:val="20"/>
              </w:rPr>
              <w:t>output</w:t>
            </w:r>
            <w:proofErr w:type="spellEnd"/>
            <w:r w:rsidRPr="00C16327">
              <w:rPr>
                <w:sz w:val="20"/>
                <w:szCs w:val="20"/>
              </w:rPr>
              <w:t>)</w:t>
            </w:r>
          </w:p>
          <w:p w14:paraId="48858B59" w14:textId="77777777" w:rsidR="00BF4097" w:rsidRPr="00C16327" w:rsidRDefault="00BF4097" w:rsidP="00457874">
            <w:pPr>
              <w:pStyle w:val="Betarp"/>
              <w:jc w:val="both"/>
              <w:rPr>
                <w:sz w:val="20"/>
                <w:szCs w:val="20"/>
              </w:rPr>
            </w:pPr>
            <w:r w:rsidRPr="00C16327">
              <w:rPr>
                <w:sz w:val="20"/>
                <w:szCs w:val="20"/>
              </w:rPr>
              <w:t xml:space="preserve">Šoko būklė dėl sumažėjusios </w:t>
            </w:r>
            <w:proofErr w:type="spellStart"/>
            <w:r w:rsidRPr="00C16327">
              <w:rPr>
                <w:sz w:val="20"/>
                <w:szCs w:val="20"/>
              </w:rPr>
              <w:t>perfuzijos</w:t>
            </w:r>
            <w:proofErr w:type="spellEnd"/>
          </w:p>
          <w:p w14:paraId="463FA2CF" w14:textId="77777777" w:rsidR="00BF4097" w:rsidRPr="00C16327" w:rsidRDefault="00BF4097" w:rsidP="00457874">
            <w:pPr>
              <w:pStyle w:val="Betarp"/>
              <w:jc w:val="both"/>
              <w:rPr>
                <w:sz w:val="20"/>
                <w:szCs w:val="20"/>
              </w:rPr>
            </w:pPr>
            <w:r w:rsidRPr="00C16327">
              <w:rPr>
                <w:sz w:val="20"/>
                <w:szCs w:val="20"/>
              </w:rPr>
              <w:t xml:space="preserve">Tai ypač pavojinga pacientams su jau esama </w:t>
            </w:r>
            <w:proofErr w:type="spellStart"/>
            <w:r w:rsidRPr="00C16327">
              <w:rPr>
                <w:sz w:val="20"/>
                <w:szCs w:val="20"/>
              </w:rPr>
              <w:t>hipovolemija</w:t>
            </w:r>
            <w:proofErr w:type="spellEnd"/>
            <w:r w:rsidRPr="00C16327">
              <w:rPr>
                <w:sz w:val="20"/>
                <w:szCs w:val="20"/>
              </w:rPr>
              <w:t xml:space="preserve"> ar širdies nepakankamumu.</w:t>
            </w:r>
          </w:p>
          <w:p w14:paraId="1255B200" w14:textId="77777777" w:rsidR="00BF4097" w:rsidRPr="00C16327" w:rsidRDefault="00BF4097" w:rsidP="00457874">
            <w:pPr>
              <w:pStyle w:val="Betarp"/>
              <w:jc w:val="both"/>
              <w:rPr>
                <w:sz w:val="20"/>
                <w:szCs w:val="20"/>
              </w:rPr>
            </w:pPr>
            <w:r w:rsidRPr="00C16327">
              <w:rPr>
                <w:sz w:val="20"/>
                <w:szCs w:val="20"/>
              </w:rPr>
              <w:lastRenderedPageBreak/>
              <w:t>Deguonies transporto pablogėjimas</w:t>
            </w:r>
          </w:p>
          <w:p w14:paraId="7C9A5275" w14:textId="77777777" w:rsidR="00BF4097" w:rsidRPr="00C16327" w:rsidRDefault="00BF4097" w:rsidP="00457874">
            <w:pPr>
              <w:pStyle w:val="Betarp"/>
              <w:jc w:val="both"/>
              <w:rPr>
                <w:sz w:val="20"/>
                <w:szCs w:val="20"/>
              </w:rPr>
            </w:pPr>
            <w:r w:rsidRPr="00C16327">
              <w:rPr>
                <w:sz w:val="20"/>
                <w:szCs w:val="20"/>
              </w:rPr>
              <w:t xml:space="preserve">Didelis PEEP gali suspausti plaučių kapiliarus, dėl ko: </w:t>
            </w:r>
          </w:p>
          <w:p w14:paraId="475A5601" w14:textId="77777777" w:rsidR="00BF4097" w:rsidRPr="00C16327" w:rsidRDefault="00BF4097" w:rsidP="00457874">
            <w:pPr>
              <w:pStyle w:val="Betarp"/>
              <w:jc w:val="both"/>
              <w:rPr>
                <w:sz w:val="20"/>
                <w:szCs w:val="20"/>
              </w:rPr>
            </w:pPr>
            <w:r w:rsidRPr="00C16327">
              <w:rPr>
                <w:sz w:val="20"/>
                <w:szCs w:val="20"/>
              </w:rPr>
              <w:t xml:space="preserve">Didėja plaučių kraujagyslių pasipriešinimas → gali išsivystyti ūminė </w:t>
            </w:r>
            <w:proofErr w:type="spellStart"/>
            <w:r w:rsidRPr="00C16327">
              <w:rPr>
                <w:sz w:val="20"/>
                <w:szCs w:val="20"/>
              </w:rPr>
              <w:t>plautinė</w:t>
            </w:r>
            <w:proofErr w:type="spellEnd"/>
            <w:r w:rsidRPr="00C16327">
              <w:rPr>
                <w:sz w:val="20"/>
                <w:szCs w:val="20"/>
              </w:rPr>
              <w:t xml:space="preserve"> hipertenzija.</w:t>
            </w:r>
          </w:p>
          <w:p w14:paraId="6FA235CF" w14:textId="77777777" w:rsidR="00BF4097" w:rsidRPr="00C16327" w:rsidRDefault="00BF4097" w:rsidP="00457874">
            <w:pPr>
              <w:pStyle w:val="Betarp"/>
              <w:jc w:val="both"/>
              <w:rPr>
                <w:sz w:val="20"/>
                <w:szCs w:val="20"/>
              </w:rPr>
            </w:pPr>
            <w:r w:rsidRPr="00C16327">
              <w:rPr>
                <w:sz w:val="20"/>
                <w:szCs w:val="20"/>
              </w:rPr>
              <w:t xml:space="preserve">Blogėja širdies ir plaučių </w:t>
            </w:r>
            <w:proofErr w:type="spellStart"/>
            <w:r w:rsidRPr="00C16327">
              <w:rPr>
                <w:sz w:val="20"/>
                <w:szCs w:val="20"/>
              </w:rPr>
              <w:t>perfuzijos</w:t>
            </w:r>
            <w:proofErr w:type="spellEnd"/>
            <w:r w:rsidRPr="00C16327">
              <w:rPr>
                <w:sz w:val="20"/>
                <w:szCs w:val="20"/>
              </w:rPr>
              <w:t xml:space="preserve"> santykis (V/Q </w:t>
            </w:r>
            <w:proofErr w:type="spellStart"/>
            <w:r w:rsidRPr="00C16327">
              <w:rPr>
                <w:sz w:val="20"/>
                <w:szCs w:val="20"/>
              </w:rPr>
              <w:t>mismatch</w:t>
            </w:r>
            <w:proofErr w:type="spellEnd"/>
            <w:r w:rsidRPr="00C16327">
              <w:rPr>
                <w:sz w:val="20"/>
                <w:szCs w:val="20"/>
              </w:rPr>
              <w:t>), dėl to prastėja deguonies tiekimas į audinius.</w:t>
            </w:r>
          </w:p>
          <w:p w14:paraId="3CF7310C" w14:textId="77777777" w:rsidR="00BF4097" w:rsidRPr="00C16327" w:rsidRDefault="00BF4097" w:rsidP="00457874">
            <w:pPr>
              <w:pStyle w:val="Betarp"/>
              <w:jc w:val="both"/>
              <w:rPr>
                <w:sz w:val="20"/>
                <w:szCs w:val="20"/>
              </w:rPr>
            </w:pPr>
            <w:r w:rsidRPr="00C16327">
              <w:rPr>
                <w:sz w:val="20"/>
                <w:szCs w:val="20"/>
              </w:rPr>
              <w:t>Inkstų ir kepenų kraujotakos sutrikimai</w:t>
            </w:r>
          </w:p>
          <w:p w14:paraId="72217418" w14:textId="77777777" w:rsidR="00BF4097" w:rsidRPr="00C16327" w:rsidRDefault="00BF4097" w:rsidP="00457874">
            <w:pPr>
              <w:pStyle w:val="Betarp"/>
              <w:jc w:val="both"/>
              <w:rPr>
                <w:sz w:val="20"/>
                <w:szCs w:val="20"/>
              </w:rPr>
            </w:pPr>
            <w:r w:rsidRPr="00C16327">
              <w:rPr>
                <w:sz w:val="20"/>
                <w:szCs w:val="20"/>
              </w:rPr>
              <w:t xml:space="preserve">Mažesnė širdies išmetimo frakcija sumažina kraujo tiekimą į inkstus ir kepenis, dėl to: </w:t>
            </w:r>
          </w:p>
          <w:p w14:paraId="086FBBA7" w14:textId="77777777" w:rsidR="00BF4097" w:rsidRPr="00C16327" w:rsidRDefault="00BF4097" w:rsidP="00457874">
            <w:pPr>
              <w:pStyle w:val="Betarp"/>
              <w:jc w:val="both"/>
              <w:rPr>
                <w:sz w:val="20"/>
                <w:szCs w:val="20"/>
              </w:rPr>
            </w:pPr>
            <w:r w:rsidRPr="00C16327">
              <w:rPr>
                <w:sz w:val="20"/>
                <w:szCs w:val="20"/>
              </w:rPr>
              <w:t xml:space="preserve">Gali išsivystyti ūminis inkstų nepakankamumas dėl </w:t>
            </w:r>
            <w:proofErr w:type="spellStart"/>
            <w:r w:rsidRPr="00C16327">
              <w:rPr>
                <w:sz w:val="20"/>
                <w:szCs w:val="20"/>
              </w:rPr>
              <w:t>hipoperfuzijos</w:t>
            </w:r>
            <w:proofErr w:type="spellEnd"/>
            <w:r w:rsidRPr="00C16327">
              <w:rPr>
                <w:sz w:val="20"/>
                <w:szCs w:val="20"/>
              </w:rPr>
              <w:t>.</w:t>
            </w:r>
          </w:p>
          <w:p w14:paraId="417E9DC1" w14:textId="77777777" w:rsidR="00BF4097" w:rsidRPr="00C16327" w:rsidRDefault="00BF4097" w:rsidP="00457874">
            <w:pPr>
              <w:pStyle w:val="Betarp"/>
              <w:jc w:val="both"/>
              <w:rPr>
                <w:sz w:val="20"/>
                <w:szCs w:val="20"/>
              </w:rPr>
            </w:pPr>
            <w:r w:rsidRPr="00C16327">
              <w:rPr>
                <w:sz w:val="20"/>
                <w:szCs w:val="20"/>
              </w:rPr>
              <w:t xml:space="preserve">Sutrinka kepenų funkcija, nes sumažėja kraujo tekėjimas per </w:t>
            </w:r>
            <w:proofErr w:type="spellStart"/>
            <w:r w:rsidRPr="00C16327">
              <w:rPr>
                <w:sz w:val="20"/>
                <w:szCs w:val="20"/>
              </w:rPr>
              <w:t>portinę</w:t>
            </w:r>
            <w:proofErr w:type="spellEnd"/>
            <w:r w:rsidRPr="00C16327">
              <w:rPr>
                <w:sz w:val="20"/>
                <w:szCs w:val="20"/>
              </w:rPr>
              <w:t xml:space="preserve"> veną.</w:t>
            </w:r>
          </w:p>
          <w:p w14:paraId="3176D5C6" w14:textId="77777777" w:rsidR="00BF4097" w:rsidRPr="00C16327" w:rsidRDefault="00BF4097" w:rsidP="00457874">
            <w:pPr>
              <w:pStyle w:val="Betarp"/>
              <w:jc w:val="both"/>
              <w:rPr>
                <w:b/>
                <w:bCs/>
                <w:sz w:val="20"/>
                <w:szCs w:val="20"/>
              </w:rPr>
            </w:pPr>
            <w:r w:rsidRPr="00C16327">
              <w:rPr>
                <w:b/>
                <w:bCs/>
                <w:sz w:val="20"/>
                <w:szCs w:val="20"/>
              </w:rPr>
              <w:t xml:space="preserve">Išvada: 50 </w:t>
            </w:r>
            <w:proofErr w:type="spellStart"/>
            <w:r w:rsidRPr="00C16327">
              <w:rPr>
                <w:b/>
                <w:bCs/>
                <w:sz w:val="20"/>
                <w:szCs w:val="20"/>
              </w:rPr>
              <w:t>cmH₂O</w:t>
            </w:r>
            <w:proofErr w:type="spellEnd"/>
            <w:r w:rsidRPr="00C16327">
              <w:rPr>
                <w:b/>
                <w:bCs/>
                <w:sz w:val="20"/>
                <w:szCs w:val="20"/>
              </w:rPr>
              <w:t xml:space="preserve"> PEEP yra pavojingas ir nerekomenduojamas</w:t>
            </w:r>
          </w:p>
          <w:p w14:paraId="36F3CC8B" w14:textId="77777777" w:rsidR="00BF4097" w:rsidRPr="00C16327" w:rsidRDefault="00BF4097" w:rsidP="00457874">
            <w:pPr>
              <w:pStyle w:val="Betarp"/>
              <w:jc w:val="both"/>
              <w:rPr>
                <w:sz w:val="20"/>
                <w:szCs w:val="20"/>
              </w:rPr>
            </w:pPr>
            <w:r w:rsidRPr="00C16327">
              <w:rPr>
                <w:b/>
                <w:bCs/>
                <w:sz w:val="20"/>
                <w:szCs w:val="20"/>
              </w:rPr>
              <w:t xml:space="preserve">Tokio aukšto PEEP naudojimas gali greitai sukelti </w:t>
            </w:r>
            <w:proofErr w:type="spellStart"/>
            <w:r w:rsidRPr="00C16327">
              <w:rPr>
                <w:b/>
                <w:bCs/>
                <w:sz w:val="20"/>
                <w:szCs w:val="20"/>
              </w:rPr>
              <w:t>barotraumą</w:t>
            </w:r>
            <w:proofErr w:type="spellEnd"/>
            <w:r w:rsidRPr="00C16327">
              <w:rPr>
                <w:b/>
                <w:bCs/>
                <w:sz w:val="20"/>
                <w:szCs w:val="20"/>
              </w:rPr>
              <w:t xml:space="preserve">, širdies-kraujagyslių </w:t>
            </w:r>
            <w:proofErr w:type="spellStart"/>
            <w:r w:rsidRPr="00C16327">
              <w:rPr>
                <w:b/>
                <w:bCs/>
                <w:sz w:val="20"/>
                <w:szCs w:val="20"/>
              </w:rPr>
              <w:t>kolapsą</w:t>
            </w:r>
            <w:proofErr w:type="spellEnd"/>
            <w:r w:rsidRPr="00C16327">
              <w:rPr>
                <w:b/>
                <w:bCs/>
                <w:sz w:val="20"/>
                <w:szCs w:val="20"/>
              </w:rPr>
              <w:t xml:space="preserve">, inkstų pažeidimus ir blogą audinių </w:t>
            </w:r>
            <w:proofErr w:type="spellStart"/>
            <w:r w:rsidRPr="00C16327">
              <w:rPr>
                <w:b/>
                <w:bCs/>
                <w:sz w:val="20"/>
                <w:szCs w:val="20"/>
              </w:rPr>
              <w:t>oksigenaciją</w:t>
            </w:r>
            <w:proofErr w:type="spellEnd"/>
            <w:r w:rsidRPr="00C16327">
              <w:rPr>
                <w:b/>
                <w:bCs/>
                <w:sz w:val="20"/>
                <w:szCs w:val="20"/>
              </w:rPr>
              <w:t xml:space="preserve">. Jei reikia didelio PEEP, geriausia laikytis individualizuoto ir </w:t>
            </w:r>
            <w:proofErr w:type="spellStart"/>
            <w:r w:rsidRPr="00C16327">
              <w:rPr>
                <w:b/>
                <w:bCs/>
                <w:sz w:val="20"/>
                <w:szCs w:val="20"/>
              </w:rPr>
              <w:t>palaipsnio</w:t>
            </w:r>
            <w:proofErr w:type="spellEnd"/>
            <w:r w:rsidRPr="00C16327">
              <w:rPr>
                <w:b/>
                <w:bCs/>
                <w:sz w:val="20"/>
                <w:szCs w:val="20"/>
              </w:rPr>
              <w:t xml:space="preserve"> jo didinimo bei stebėti paciento hemodinamiką ir plaučių mechaniką</w:t>
            </w:r>
            <w:r w:rsidRPr="00C16327">
              <w:rPr>
                <w:sz w:val="20"/>
                <w:szCs w:val="20"/>
              </w:rPr>
              <w:t>.</w:t>
            </w:r>
          </w:p>
          <w:p w14:paraId="41FAD281" w14:textId="77777777" w:rsidR="00BF4097" w:rsidRPr="00C16327" w:rsidRDefault="00BF4097" w:rsidP="00457874">
            <w:pPr>
              <w:pStyle w:val="Betarp"/>
              <w:jc w:val="both"/>
              <w:rPr>
                <w:sz w:val="20"/>
                <w:szCs w:val="20"/>
              </w:rPr>
            </w:pPr>
            <w:r w:rsidRPr="00C16327">
              <w:rPr>
                <w:sz w:val="20"/>
                <w:szCs w:val="20"/>
              </w:rPr>
              <w:t>Ar gali būti kad toks parametras, kuris sukelia tiek komplikacijų ir nėra naudojamas vertinamas kaip privalumas.</w:t>
            </w:r>
          </w:p>
        </w:tc>
        <w:tc>
          <w:tcPr>
            <w:tcW w:w="3686" w:type="dxa"/>
          </w:tcPr>
          <w:p w14:paraId="0B2A43CA" w14:textId="77777777" w:rsidR="00BF4097" w:rsidRPr="00C16327" w:rsidRDefault="00BF4097" w:rsidP="002F788E">
            <w:pPr>
              <w:pStyle w:val="Betarp"/>
              <w:rPr>
                <w:sz w:val="20"/>
                <w:szCs w:val="20"/>
              </w:rPr>
            </w:pPr>
          </w:p>
        </w:tc>
        <w:tc>
          <w:tcPr>
            <w:tcW w:w="3119" w:type="dxa"/>
          </w:tcPr>
          <w:p w14:paraId="7700E02A" w14:textId="77777777" w:rsidR="00BF4097" w:rsidRDefault="00B5607C" w:rsidP="00B5607C">
            <w:pPr>
              <w:pStyle w:val="Betarp"/>
              <w:jc w:val="both"/>
              <w:rPr>
                <w:sz w:val="22"/>
                <w:szCs w:val="22"/>
              </w:rPr>
            </w:pPr>
            <w:r>
              <w:rPr>
                <w:sz w:val="22"/>
                <w:szCs w:val="22"/>
              </w:rPr>
              <w:t xml:space="preserve">Nustatytos </w:t>
            </w:r>
            <w:r w:rsidRPr="00B5607C">
              <w:rPr>
                <w:sz w:val="22"/>
                <w:szCs w:val="22"/>
              </w:rPr>
              <w:t xml:space="preserve">PEEP </w:t>
            </w:r>
            <w:r>
              <w:rPr>
                <w:sz w:val="22"/>
                <w:szCs w:val="22"/>
              </w:rPr>
              <w:t>ribos už kuriuos tiekėjai gaus papildomą ekonominį pranašumą yra kritiškai svarbus klinikinėje praktikoje.</w:t>
            </w:r>
          </w:p>
          <w:p w14:paraId="7CB6A8AB" w14:textId="77777777" w:rsidR="00395C94" w:rsidRDefault="00395C94" w:rsidP="00395C94">
            <w:pPr>
              <w:pStyle w:val="Betarp"/>
              <w:jc w:val="both"/>
              <w:rPr>
                <w:sz w:val="22"/>
                <w:szCs w:val="22"/>
              </w:rPr>
            </w:pPr>
            <w:r w:rsidRPr="00395C94">
              <w:rPr>
                <w:sz w:val="22"/>
                <w:szCs w:val="22"/>
              </w:rPr>
              <w:t xml:space="preserve">0 </w:t>
            </w:r>
            <w:proofErr w:type="spellStart"/>
            <w:r w:rsidRPr="00395C94">
              <w:rPr>
                <w:sz w:val="22"/>
                <w:szCs w:val="22"/>
              </w:rPr>
              <w:t>cmH₂O</w:t>
            </w:r>
            <w:proofErr w:type="spellEnd"/>
            <w:r w:rsidRPr="00395C94">
              <w:rPr>
                <w:sz w:val="22"/>
                <w:szCs w:val="22"/>
              </w:rPr>
              <w:t xml:space="preserve"> leidžia dirbti su savaime kvėpuojančiais </w:t>
            </w:r>
            <w:r w:rsidRPr="00395C94">
              <w:rPr>
                <w:sz w:val="22"/>
                <w:szCs w:val="22"/>
              </w:rPr>
              <w:lastRenderedPageBreak/>
              <w:t>pacientais ar esant poreikiui pašalinti PEEP</w:t>
            </w:r>
            <w:r>
              <w:rPr>
                <w:sz w:val="22"/>
                <w:szCs w:val="22"/>
              </w:rPr>
              <w:t>.</w:t>
            </w:r>
          </w:p>
          <w:p w14:paraId="65ACC849" w14:textId="77777777" w:rsidR="00E82475" w:rsidRDefault="00395C94" w:rsidP="00395C94">
            <w:pPr>
              <w:pStyle w:val="Betarp"/>
              <w:jc w:val="both"/>
              <w:rPr>
                <w:sz w:val="22"/>
                <w:szCs w:val="22"/>
              </w:rPr>
            </w:pPr>
            <w:r>
              <w:rPr>
                <w:sz w:val="22"/>
                <w:szCs w:val="22"/>
              </w:rPr>
              <w:t>I</w:t>
            </w:r>
            <w:r w:rsidRPr="00395C94">
              <w:rPr>
                <w:sz w:val="22"/>
                <w:szCs w:val="22"/>
              </w:rPr>
              <w:t xml:space="preserve">ki 50 </w:t>
            </w:r>
            <w:proofErr w:type="spellStart"/>
            <w:r w:rsidRPr="00395C94">
              <w:rPr>
                <w:sz w:val="22"/>
                <w:szCs w:val="22"/>
              </w:rPr>
              <w:t>cmH₂O</w:t>
            </w:r>
            <w:proofErr w:type="spellEnd"/>
            <w:r w:rsidRPr="00395C94">
              <w:rPr>
                <w:sz w:val="22"/>
                <w:szCs w:val="22"/>
              </w:rPr>
              <w:t xml:space="preserve"> suteikia galimybę naudoti PEEP esant</w:t>
            </w:r>
            <w:r>
              <w:rPr>
                <w:sz w:val="22"/>
                <w:szCs w:val="22"/>
              </w:rPr>
              <w:t xml:space="preserve"> šioms </w:t>
            </w:r>
            <w:r w:rsidR="00E82475">
              <w:rPr>
                <w:sz w:val="22"/>
                <w:szCs w:val="22"/>
              </w:rPr>
              <w:t>sąlygoms:</w:t>
            </w:r>
          </w:p>
          <w:p w14:paraId="6EA35878" w14:textId="6F881040" w:rsidR="00395C94" w:rsidRPr="00395C94" w:rsidRDefault="00E82475" w:rsidP="00395C94">
            <w:pPr>
              <w:pStyle w:val="Betarp"/>
              <w:jc w:val="both"/>
              <w:rPr>
                <w:sz w:val="22"/>
                <w:szCs w:val="22"/>
              </w:rPr>
            </w:pPr>
            <w:r>
              <w:rPr>
                <w:sz w:val="22"/>
                <w:szCs w:val="22"/>
              </w:rPr>
              <w:t xml:space="preserve">1. </w:t>
            </w:r>
            <w:r w:rsidR="00395C94" w:rsidRPr="00395C94">
              <w:rPr>
                <w:sz w:val="22"/>
                <w:szCs w:val="22"/>
              </w:rPr>
              <w:t xml:space="preserve">Sunkiam ARDS (ūminiam respiracinio </w:t>
            </w:r>
            <w:proofErr w:type="spellStart"/>
            <w:r w:rsidR="00395C94" w:rsidRPr="00395C94">
              <w:rPr>
                <w:sz w:val="22"/>
                <w:szCs w:val="22"/>
              </w:rPr>
              <w:t>distreso</w:t>
            </w:r>
            <w:proofErr w:type="spellEnd"/>
            <w:r w:rsidR="00395C94" w:rsidRPr="00395C94">
              <w:rPr>
                <w:sz w:val="22"/>
                <w:szCs w:val="22"/>
              </w:rPr>
              <w:t xml:space="preserve"> sindromui),</w:t>
            </w:r>
          </w:p>
          <w:p w14:paraId="280A02C8" w14:textId="480AB062" w:rsidR="00395C94" w:rsidRPr="00395C94" w:rsidRDefault="00E82475" w:rsidP="00395C94">
            <w:pPr>
              <w:pStyle w:val="Betarp"/>
              <w:jc w:val="both"/>
              <w:rPr>
                <w:sz w:val="22"/>
                <w:szCs w:val="22"/>
              </w:rPr>
            </w:pPr>
            <w:r>
              <w:rPr>
                <w:sz w:val="22"/>
                <w:szCs w:val="22"/>
              </w:rPr>
              <w:t xml:space="preserve">2. </w:t>
            </w:r>
            <w:r w:rsidR="00395C94" w:rsidRPr="00395C94">
              <w:rPr>
                <w:sz w:val="22"/>
                <w:szCs w:val="22"/>
              </w:rPr>
              <w:t>Nutukusiems pacientams (padidėjęs krūtinės pasipriešinimas),</w:t>
            </w:r>
          </w:p>
          <w:p w14:paraId="2352B6CA" w14:textId="3A5FCEAE" w:rsidR="00395C94" w:rsidRPr="00395C94" w:rsidRDefault="00E82475" w:rsidP="00395C94">
            <w:pPr>
              <w:pStyle w:val="Betarp"/>
              <w:jc w:val="both"/>
              <w:rPr>
                <w:sz w:val="22"/>
                <w:szCs w:val="22"/>
              </w:rPr>
            </w:pPr>
            <w:r>
              <w:rPr>
                <w:sz w:val="22"/>
                <w:szCs w:val="22"/>
              </w:rPr>
              <w:t xml:space="preserve">3. </w:t>
            </w:r>
            <w:proofErr w:type="spellStart"/>
            <w:r w:rsidR="00395C94" w:rsidRPr="00395C94">
              <w:rPr>
                <w:sz w:val="22"/>
                <w:szCs w:val="22"/>
              </w:rPr>
              <w:t>Torakoskopijos</w:t>
            </w:r>
            <w:proofErr w:type="spellEnd"/>
            <w:r w:rsidR="00395C94" w:rsidRPr="00395C94">
              <w:rPr>
                <w:sz w:val="22"/>
                <w:szCs w:val="22"/>
              </w:rPr>
              <w:t xml:space="preserve"> / pilvo chirurgijos metu (padidėję </w:t>
            </w:r>
            <w:proofErr w:type="spellStart"/>
            <w:r w:rsidR="00395C94" w:rsidRPr="00395C94">
              <w:rPr>
                <w:sz w:val="22"/>
                <w:szCs w:val="22"/>
              </w:rPr>
              <w:t>intraabdominaliniai</w:t>
            </w:r>
            <w:proofErr w:type="spellEnd"/>
            <w:r w:rsidR="00395C94" w:rsidRPr="00395C94">
              <w:rPr>
                <w:sz w:val="22"/>
                <w:szCs w:val="22"/>
              </w:rPr>
              <w:t xml:space="preserve"> slėgiai),</w:t>
            </w:r>
          </w:p>
          <w:p w14:paraId="2ADFA5DC" w14:textId="77777777" w:rsidR="00395C94" w:rsidRDefault="007465EF" w:rsidP="007465EF">
            <w:pPr>
              <w:pStyle w:val="Betarp"/>
              <w:jc w:val="both"/>
              <w:rPr>
                <w:sz w:val="22"/>
                <w:szCs w:val="22"/>
              </w:rPr>
            </w:pPr>
            <w:r>
              <w:rPr>
                <w:sz w:val="22"/>
                <w:szCs w:val="22"/>
              </w:rPr>
              <w:t>4. G</w:t>
            </w:r>
            <w:r w:rsidR="00395C94" w:rsidRPr="00395C94">
              <w:rPr>
                <w:sz w:val="22"/>
                <w:szCs w:val="22"/>
              </w:rPr>
              <w:t>ulėjimo veidu žemyn padėtyje.</w:t>
            </w:r>
          </w:p>
          <w:p w14:paraId="4DC841AB" w14:textId="413F521D" w:rsidR="007465EF" w:rsidRDefault="006F52AD" w:rsidP="008A3BB9">
            <w:pPr>
              <w:pStyle w:val="Betarp"/>
              <w:jc w:val="both"/>
              <w:rPr>
                <w:sz w:val="22"/>
                <w:szCs w:val="22"/>
              </w:rPr>
            </w:pPr>
            <w:r>
              <w:rPr>
                <w:sz w:val="22"/>
                <w:szCs w:val="22"/>
              </w:rPr>
              <w:t xml:space="preserve">Klinikinėje praktikoje pasitaiko situacijų, kai būtina turėti </w:t>
            </w:r>
            <w:r w:rsidRPr="006F52AD">
              <w:rPr>
                <w:sz w:val="22"/>
                <w:szCs w:val="22"/>
              </w:rPr>
              <w:t>aukštesn</w:t>
            </w:r>
            <w:r>
              <w:rPr>
                <w:sz w:val="22"/>
                <w:szCs w:val="22"/>
              </w:rPr>
              <w:t>į</w:t>
            </w:r>
            <w:r w:rsidRPr="006F52AD">
              <w:rPr>
                <w:sz w:val="22"/>
                <w:szCs w:val="22"/>
              </w:rPr>
              <w:t xml:space="preserve"> PEEP, kad</w:t>
            </w:r>
            <w:r>
              <w:rPr>
                <w:sz w:val="22"/>
                <w:szCs w:val="22"/>
              </w:rPr>
              <w:t xml:space="preserve"> būtų galima i</w:t>
            </w:r>
            <w:r w:rsidRPr="006F52AD">
              <w:rPr>
                <w:sz w:val="22"/>
                <w:szCs w:val="22"/>
              </w:rPr>
              <w:t xml:space="preserve">šlaikyti alveolių „atidarymą“ po </w:t>
            </w:r>
            <w:proofErr w:type="spellStart"/>
            <w:r w:rsidR="00C47CFF">
              <w:rPr>
                <w:lang w:eastAsia="lt-LT"/>
              </w:rPr>
              <w:t>r</w:t>
            </w:r>
            <w:r w:rsidR="00C47CFF" w:rsidRPr="00ED6AFB">
              <w:rPr>
                <w:lang w:eastAsia="lt-LT"/>
              </w:rPr>
              <w:t>ecruitment</w:t>
            </w:r>
            <w:proofErr w:type="spellEnd"/>
            <w:r w:rsidR="00C47CFF" w:rsidRPr="00ED6AFB">
              <w:rPr>
                <w:lang w:eastAsia="lt-LT"/>
              </w:rPr>
              <w:t xml:space="preserve"> </w:t>
            </w:r>
            <w:proofErr w:type="spellStart"/>
            <w:r w:rsidR="00C47CFF" w:rsidRPr="00ED6AFB">
              <w:rPr>
                <w:lang w:eastAsia="lt-LT"/>
              </w:rPr>
              <w:t>maneuvers</w:t>
            </w:r>
            <w:proofErr w:type="spellEnd"/>
            <w:r w:rsidRPr="006F52AD">
              <w:rPr>
                <w:sz w:val="22"/>
                <w:szCs w:val="22"/>
              </w:rPr>
              <w:t>,</w:t>
            </w:r>
            <w:r w:rsidR="008A3BB9">
              <w:rPr>
                <w:sz w:val="22"/>
                <w:szCs w:val="22"/>
              </w:rPr>
              <w:t xml:space="preserve"> arba kai reikia s</w:t>
            </w:r>
            <w:r w:rsidRPr="006F52AD">
              <w:rPr>
                <w:sz w:val="22"/>
                <w:szCs w:val="22"/>
              </w:rPr>
              <w:t>umažinti alveolių „atvėrimo ir užsidarymo“ ciklus, kurie sukelia ventiliacinį plaučių pažeidimą.</w:t>
            </w:r>
          </w:p>
          <w:p w14:paraId="7995EFFA" w14:textId="77777777" w:rsidR="008A3BB9" w:rsidRDefault="00A6593E" w:rsidP="008A3BB9">
            <w:pPr>
              <w:pStyle w:val="Betarp"/>
              <w:jc w:val="both"/>
              <w:rPr>
                <w:sz w:val="22"/>
                <w:szCs w:val="22"/>
              </w:rPr>
            </w:pPr>
            <w:r>
              <w:rPr>
                <w:sz w:val="22"/>
                <w:szCs w:val="22"/>
              </w:rPr>
              <w:t xml:space="preserve">Prietaisai turintys nustatytą </w:t>
            </w:r>
            <w:r w:rsidRPr="00A6593E">
              <w:rPr>
                <w:sz w:val="22"/>
                <w:szCs w:val="22"/>
              </w:rPr>
              <w:t>rib</w:t>
            </w:r>
            <w:r>
              <w:rPr>
                <w:sz w:val="22"/>
                <w:szCs w:val="22"/>
              </w:rPr>
              <w:t xml:space="preserve">ą yra </w:t>
            </w:r>
            <w:r w:rsidRPr="00A6593E">
              <w:rPr>
                <w:sz w:val="22"/>
                <w:szCs w:val="22"/>
              </w:rPr>
              <w:t>universalesni</w:t>
            </w:r>
            <w:r>
              <w:rPr>
                <w:sz w:val="22"/>
                <w:szCs w:val="22"/>
              </w:rPr>
              <w:t xml:space="preserve"> ir labiau tinkantys vaikams ir suaugusiems</w:t>
            </w:r>
            <w:r w:rsidR="001D45FA">
              <w:rPr>
                <w:sz w:val="22"/>
                <w:szCs w:val="22"/>
              </w:rPr>
              <w:t xml:space="preserve">, nes </w:t>
            </w:r>
            <w:r w:rsidRPr="00A6593E">
              <w:rPr>
                <w:sz w:val="22"/>
                <w:szCs w:val="22"/>
              </w:rPr>
              <w:t>tinka tiek mažų tūr</w:t>
            </w:r>
            <w:r w:rsidR="001D45FA">
              <w:rPr>
                <w:sz w:val="22"/>
                <w:szCs w:val="22"/>
              </w:rPr>
              <w:t>i</w:t>
            </w:r>
            <w:r w:rsidRPr="00A6593E">
              <w:rPr>
                <w:sz w:val="22"/>
                <w:szCs w:val="22"/>
              </w:rPr>
              <w:t>ų, tiek didelio PEEP reikalaujančioms būklėms.</w:t>
            </w:r>
          </w:p>
          <w:p w14:paraId="2ABDCE67" w14:textId="042C91B7" w:rsidR="001D45FA" w:rsidRPr="00A922F5" w:rsidRDefault="00E1587F" w:rsidP="008A3BB9">
            <w:pPr>
              <w:pStyle w:val="Betarp"/>
              <w:jc w:val="both"/>
              <w:rPr>
                <w:sz w:val="22"/>
                <w:szCs w:val="22"/>
              </w:rPr>
            </w:pPr>
            <w:r>
              <w:rPr>
                <w:sz w:val="22"/>
                <w:szCs w:val="22"/>
              </w:rPr>
              <w:t>Įvertinus išdėstytus argumentus vertinimo tvarkos T2 techninis pranašum</w:t>
            </w:r>
            <w:r w:rsidR="00271F63">
              <w:rPr>
                <w:sz w:val="22"/>
                <w:szCs w:val="22"/>
              </w:rPr>
              <w:t>a</w:t>
            </w:r>
            <w:r>
              <w:rPr>
                <w:sz w:val="22"/>
                <w:szCs w:val="22"/>
              </w:rPr>
              <w:t>s nėra koreguojamas ar šalinamas.</w:t>
            </w:r>
          </w:p>
        </w:tc>
      </w:tr>
      <w:tr w:rsidR="00BF4097" w:rsidRPr="00A922F5" w14:paraId="2A81205C" w14:textId="4EA41298" w:rsidTr="00C16327">
        <w:tc>
          <w:tcPr>
            <w:tcW w:w="562" w:type="dxa"/>
            <w:vAlign w:val="center"/>
          </w:tcPr>
          <w:p w14:paraId="6343FE7A" w14:textId="77777777" w:rsidR="00BF4097" w:rsidRPr="00450BB0" w:rsidRDefault="00BF4097" w:rsidP="00BF4097">
            <w:pPr>
              <w:jc w:val="center"/>
              <w:rPr>
                <w:lang w:eastAsia="en-US"/>
              </w:rPr>
            </w:pPr>
            <w:r w:rsidRPr="00450BB0">
              <w:lastRenderedPageBreak/>
              <w:t>T3</w:t>
            </w:r>
          </w:p>
        </w:tc>
        <w:tc>
          <w:tcPr>
            <w:tcW w:w="2127" w:type="dxa"/>
            <w:vAlign w:val="center"/>
          </w:tcPr>
          <w:p w14:paraId="42868562" w14:textId="77777777" w:rsidR="00BF4097" w:rsidRPr="00450BB0" w:rsidRDefault="00BF4097" w:rsidP="00BF4097">
            <w:pPr>
              <w:rPr>
                <w:lang w:eastAsia="lt-LT"/>
              </w:rPr>
            </w:pPr>
            <w:r w:rsidRPr="00450BB0">
              <w:rPr>
                <w:lang w:eastAsia="lt-LT"/>
              </w:rPr>
              <w:t>Monitoriaus ekrano įstrižainė ≥ 20</w:t>
            </w:r>
            <w:r>
              <w:rPr>
                <w:lang w:eastAsia="lt-LT"/>
              </w:rPr>
              <w:t>“</w:t>
            </w:r>
            <w:r w:rsidRPr="00450BB0">
              <w:rPr>
                <w:lang w:eastAsia="lt-LT"/>
              </w:rPr>
              <w:t xml:space="preserve"> (TS 3.2.2 p.)</w:t>
            </w:r>
          </w:p>
        </w:tc>
        <w:tc>
          <w:tcPr>
            <w:tcW w:w="2409" w:type="dxa"/>
          </w:tcPr>
          <w:p w14:paraId="3DB7CC21" w14:textId="77777777" w:rsidR="00BF4097" w:rsidRPr="00450BB0" w:rsidRDefault="00BF4097" w:rsidP="00BF4097">
            <w:pPr>
              <w:jc w:val="center"/>
              <w:textAlignment w:val="baseline"/>
              <w:rPr>
                <w:i/>
                <w:iCs/>
                <w:color w:val="FF0000"/>
                <w:lang w:eastAsia="lt-LT"/>
              </w:rPr>
            </w:pPr>
            <w:r w:rsidRPr="00450BB0">
              <w:rPr>
                <w:i/>
                <w:iCs/>
                <w:color w:val="FF0000"/>
                <w:lang w:eastAsia="lt-LT"/>
              </w:rPr>
              <w:t>Taip / Ne (pasirinkti atsakymą)</w:t>
            </w:r>
          </w:p>
          <w:p w14:paraId="4F1EEB6C" w14:textId="77777777" w:rsidR="00BF4097" w:rsidRPr="00450BB0" w:rsidRDefault="00BF4097" w:rsidP="00BF4097">
            <w:pPr>
              <w:jc w:val="center"/>
              <w:textAlignment w:val="baseline"/>
              <w:rPr>
                <w:i/>
                <w:iCs/>
                <w:color w:val="FF0000"/>
                <w:lang w:eastAsia="lt-LT"/>
              </w:rPr>
            </w:pPr>
          </w:p>
          <w:p w14:paraId="703A7B7A" w14:textId="77777777" w:rsidR="00BF4097" w:rsidRPr="00450BB0" w:rsidRDefault="00BF4097" w:rsidP="00BF4097">
            <w:pPr>
              <w:jc w:val="center"/>
              <w:textAlignment w:val="baseline"/>
              <w:rPr>
                <w:i/>
                <w:iCs/>
                <w:color w:val="FF0000"/>
                <w:lang w:eastAsia="lt-LT"/>
              </w:rPr>
            </w:pPr>
            <w:r w:rsidRPr="00450BB0">
              <w:rPr>
                <w:i/>
              </w:rPr>
              <w:t>Pateikiama nuoroda į nurodytą parametrą patvirtinantį gamintojo dokumento (</w:t>
            </w:r>
            <w:r w:rsidRPr="00450BB0">
              <w:rPr>
                <w:i/>
                <w:bdr w:val="nil"/>
              </w:rPr>
              <w:t xml:space="preserve">katalogo / bukleto / </w:t>
            </w:r>
            <w:r w:rsidRPr="00450BB0">
              <w:rPr>
                <w:i/>
                <w:bdr w:val="nil"/>
              </w:rPr>
              <w:lastRenderedPageBreak/>
              <w:t>brošiūros / instrukcijos) puslapį</w:t>
            </w:r>
          </w:p>
        </w:tc>
        <w:tc>
          <w:tcPr>
            <w:tcW w:w="3544" w:type="dxa"/>
          </w:tcPr>
          <w:p w14:paraId="0E9FF115" w14:textId="77777777" w:rsidR="00BF4097" w:rsidRPr="00C828A0" w:rsidRDefault="00BF4097" w:rsidP="00BF4097">
            <w:pPr>
              <w:jc w:val="both"/>
              <w:textAlignment w:val="baseline"/>
              <w:rPr>
                <w:sz w:val="20"/>
                <w:szCs w:val="20"/>
                <w:lang w:eastAsia="lt-LT"/>
              </w:rPr>
            </w:pPr>
            <w:r w:rsidRPr="00C828A0">
              <w:rPr>
                <w:sz w:val="20"/>
                <w:szCs w:val="20"/>
                <w:lang w:eastAsia="lt-LT"/>
              </w:rPr>
              <w:lastRenderedPageBreak/>
              <w:t>Parašome sumažinti Monitoriaus ekrano įstrižainė ≥ 19“ (TS 3.2.2 p.). Ar 20“ ar 19“ nematome didelio skirtumo</w:t>
            </w:r>
          </w:p>
          <w:p w14:paraId="28F06C8D" w14:textId="77777777" w:rsidR="00BF4097" w:rsidRPr="00C828A0" w:rsidRDefault="00BF4097" w:rsidP="00BF4097">
            <w:pPr>
              <w:jc w:val="both"/>
              <w:textAlignment w:val="baseline"/>
              <w:rPr>
                <w:sz w:val="20"/>
                <w:szCs w:val="20"/>
                <w:lang w:eastAsia="lt-LT"/>
              </w:rPr>
            </w:pPr>
          </w:p>
        </w:tc>
        <w:tc>
          <w:tcPr>
            <w:tcW w:w="3686" w:type="dxa"/>
          </w:tcPr>
          <w:p w14:paraId="30DC3210" w14:textId="2C9341A7" w:rsidR="00BF4097" w:rsidRPr="00271F63" w:rsidRDefault="00BF4097" w:rsidP="00457874">
            <w:pPr>
              <w:jc w:val="both"/>
              <w:textAlignment w:val="baseline"/>
              <w:rPr>
                <w:i/>
                <w:iCs/>
                <w:sz w:val="20"/>
                <w:szCs w:val="20"/>
                <w:lang w:eastAsia="lt-LT"/>
              </w:rPr>
            </w:pPr>
            <w:r w:rsidRPr="00271F63">
              <w:rPr>
                <w:i/>
                <w:iCs/>
                <w:sz w:val="20"/>
                <w:szCs w:val="20"/>
                <w:lang w:eastAsia="lt-LT"/>
              </w:rPr>
              <w:t xml:space="preserve">Gamintojas </w:t>
            </w:r>
            <w:r w:rsidR="00271F63" w:rsidRPr="00271F63">
              <w:rPr>
                <w:i/>
                <w:iCs/>
                <w:sz w:val="20"/>
                <w:szCs w:val="20"/>
                <w:lang w:eastAsia="lt-LT"/>
              </w:rPr>
              <w:t>X</w:t>
            </w:r>
            <w:r w:rsidRPr="00271F63">
              <w:rPr>
                <w:i/>
                <w:iCs/>
                <w:sz w:val="20"/>
                <w:szCs w:val="20"/>
                <w:lang w:eastAsia="lt-LT"/>
              </w:rPr>
              <w:t xml:space="preserve"> gali pasiūlyti modulinius monitorius su ekranais nuo 12“ iki 22“ įstrižainės. Tačiau didesni nei 15“ monitoriai nėra komplektuojami su akumuliatoriumi. Techninės specifikacijos sąlyga </w:t>
            </w:r>
            <w:r w:rsidRPr="00271F63">
              <w:rPr>
                <w:b/>
                <w:bCs/>
                <w:i/>
                <w:iCs/>
                <w:sz w:val="20"/>
                <w:szCs w:val="20"/>
                <w:lang w:eastAsia="lt-LT"/>
              </w:rPr>
              <w:t>p.3.1.2.</w:t>
            </w:r>
            <w:r w:rsidRPr="00271F63">
              <w:rPr>
                <w:i/>
                <w:iCs/>
                <w:sz w:val="20"/>
                <w:szCs w:val="20"/>
                <w:lang w:eastAsia="lt-LT"/>
              </w:rPr>
              <w:t xml:space="preserve"> įpareigoja tiekėjus siūlyti mažesnio dydžio monitorius, kurie gali būti komplektuojami su vidinio maitinimo akumuliatoriais. Anestezijos ir monitoriaus sistema dirbs prijungta prie bendro tinklo, </w:t>
            </w:r>
            <w:r w:rsidRPr="00271F63">
              <w:rPr>
                <w:i/>
                <w:iCs/>
                <w:sz w:val="20"/>
                <w:szCs w:val="20"/>
                <w:lang w:eastAsia="lt-LT"/>
              </w:rPr>
              <w:lastRenderedPageBreak/>
              <w:t>todėl monitoriaus akumuliatoriaus reikalavimas neleidžia P.O. įsigyti potencialiai didesnio ir geresnio monitoriaus.</w:t>
            </w:r>
          </w:p>
          <w:p w14:paraId="0A7966DD" w14:textId="77777777" w:rsidR="00BF4097" w:rsidRPr="00271F63" w:rsidRDefault="00BF4097" w:rsidP="00457874">
            <w:pPr>
              <w:jc w:val="both"/>
              <w:textAlignment w:val="baseline"/>
              <w:rPr>
                <w:i/>
                <w:iCs/>
                <w:sz w:val="20"/>
                <w:szCs w:val="20"/>
                <w:lang w:eastAsia="lt-LT"/>
              </w:rPr>
            </w:pPr>
          </w:p>
          <w:p w14:paraId="6E6BEA2C" w14:textId="77777777" w:rsidR="00BF4097" w:rsidRPr="00271F63" w:rsidRDefault="00BF4097" w:rsidP="00457874">
            <w:pPr>
              <w:jc w:val="both"/>
              <w:textAlignment w:val="baseline"/>
              <w:rPr>
                <w:i/>
                <w:iCs/>
                <w:sz w:val="20"/>
                <w:szCs w:val="20"/>
                <w:lang w:eastAsia="lt-LT"/>
              </w:rPr>
            </w:pPr>
            <w:r w:rsidRPr="00271F63">
              <w:rPr>
                <w:i/>
                <w:iCs/>
                <w:sz w:val="20"/>
                <w:szCs w:val="20"/>
                <w:lang w:eastAsia="lt-LT"/>
              </w:rPr>
              <w:t>Jei techninės specifikacijos p. 3.1.2. būtų pašalintas, pirkime galėtume pasiūlyti 19“ arba 22“ įstrižainės monitorius. Juose dar aiškiau ir geriau būtų galima stebėti pacientų gyvybinių funkcijų parametrus operacijų metu.</w:t>
            </w:r>
          </w:p>
          <w:p w14:paraId="3D039B89" w14:textId="77777777" w:rsidR="00BF4097" w:rsidRPr="00271F63" w:rsidRDefault="00BF4097" w:rsidP="00457874">
            <w:pPr>
              <w:jc w:val="both"/>
              <w:textAlignment w:val="baseline"/>
              <w:rPr>
                <w:i/>
                <w:iCs/>
                <w:sz w:val="20"/>
                <w:szCs w:val="20"/>
                <w:lang w:eastAsia="lt-LT"/>
              </w:rPr>
            </w:pPr>
          </w:p>
          <w:p w14:paraId="4E72B2DB" w14:textId="77777777" w:rsidR="00BF4097" w:rsidRPr="00271F63" w:rsidRDefault="00BF4097" w:rsidP="00457874">
            <w:pPr>
              <w:jc w:val="both"/>
              <w:textAlignment w:val="baseline"/>
              <w:rPr>
                <w:i/>
                <w:iCs/>
                <w:sz w:val="20"/>
                <w:szCs w:val="20"/>
                <w:lang w:eastAsia="lt-LT"/>
              </w:rPr>
            </w:pPr>
            <w:r w:rsidRPr="00271F63">
              <w:rPr>
                <w:i/>
                <w:iCs/>
                <w:sz w:val="20"/>
                <w:szCs w:val="20"/>
                <w:lang w:eastAsia="lt-LT"/>
              </w:rPr>
              <w:t xml:space="preserve">Todėl siekiant užtikrinti maksimalią kriterijaus naudą, prašome </w:t>
            </w:r>
            <w:r w:rsidRPr="00271F63">
              <w:rPr>
                <w:b/>
                <w:bCs/>
                <w:i/>
                <w:iCs/>
                <w:sz w:val="20"/>
                <w:szCs w:val="20"/>
                <w:lang w:eastAsia="lt-LT"/>
              </w:rPr>
              <w:t xml:space="preserve">p.3.1.2. šalinti iš techninės specifikacijos, </w:t>
            </w:r>
            <w:r w:rsidRPr="00271F63">
              <w:rPr>
                <w:i/>
                <w:iCs/>
                <w:sz w:val="20"/>
                <w:szCs w:val="20"/>
                <w:lang w:eastAsia="lt-LT"/>
              </w:rPr>
              <w:t xml:space="preserve">o T3 keisti sekančiai: </w:t>
            </w:r>
          </w:p>
          <w:p w14:paraId="4FE0755A" w14:textId="21445E77" w:rsidR="00BF4097" w:rsidRPr="00271F63" w:rsidRDefault="00BF4097" w:rsidP="00457874">
            <w:pPr>
              <w:jc w:val="both"/>
              <w:textAlignment w:val="baseline"/>
              <w:rPr>
                <w:sz w:val="20"/>
                <w:szCs w:val="20"/>
                <w:lang w:eastAsia="lt-LT"/>
              </w:rPr>
            </w:pPr>
            <w:r w:rsidRPr="00271F63">
              <w:rPr>
                <w:i/>
                <w:iCs/>
                <w:sz w:val="20"/>
                <w:szCs w:val="20"/>
                <w:lang w:eastAsia="lt-LT"/>
              </w:rPr>
              <w:t>„</w:t>
            </w:r>
            <w:r w:rsidRPr="00271F63">
              <w:rPr>
                <w:sz w:val="20"/>
                <w:szCs w:val="20"/>
                <w:lang w:eastAsia="lt-LT"/>
              </w:rPr>
              <w:t>Monitoriaus ekrano įstrižainė ≥ 22" (TS 3.2.2 p.)</w:t>
            </w:r>
            <w:r w:rsidRPr="00271F63">
              <w:rPr>
                <w:i/>
                <w:iCs/>
                <w:sz w:val="20"/>
                <w:szCs w:val="20"/>
                <w:lang w:eastAsia="lt-LT"/>
              </w:rPr>
              <w:t>“</w:t>
            </w:r>
          </w:p>
        </w:tc>
        <w:tc>
          <w:tcPr>
            <w:tcW w:w="3119" w:type="dxa"/>
          </w:tcPr>
          <w:p w14:paraId="1D460B4D" w14:textId="3CDEC012" w:rsidR="00181E10" w:rsidRDefault="00D464FA" w:rsidP="00BF4097">
            <w:pPr>
              <w:jc w:val="both"/>
              <w:textAlignment w:val="baseline"/>
              <w:rPr>
                <w:lang w:eastAsia="lt-LT"/>
              </w:rPr>
            </w:pPr>
            <w:r>
              <w:rPr>
                <w:lang w:eastAsia="lt-LT"/>
              </w:rPr>
              <w:lastRenderedPageBreak/>
              <w:t xml:space="preserve">Siekiant sudaryti palankesnes </w:t>
            </w:r>
            <w:r w:rsidR="002474D9">
              <w:rPr>
                <w:lang w:eastAsia="lt-LT"/>
              </w:rPr>
              <w:t xml:space="preserve">konkurencines </w:t>
            </w:r>
            <w:r>
              <w:rPr>
                <w:lang w:eastAsia="lt-LT"/>
              </w:rPr>
              <w:t xml:space="preserve">sąlygas </w:t>
            </w:r>
            <w:r w:rsidR="0012683F">
              <w:rPr>
                <w:lang w:eastAsia="lt-LT"/>
              </w:rPr>
              <w:t xml:space="preserve">kuo daugiau tiekėjų konkuruoti didelės įstrižainės monitoriais </w:t>
            </w:r>
            <w:r w:rsidR="002474D9">
              <w:rPr>
                <w:lang w:eastAsia="lt-LT"/>
              </w:rPr>
              <w:t xml:space="preserve">nustatyta, kad būtent </w:t>
            </w:r>
            <w:r w:rsidR="00757E6D" w:rsidRPr="00450BB0">
              <w:rPr>
                <w:lang w:eastAsia="lt-LT"/>
              </w:rPr>
              <w:t>≥ 20</w:t>
            </w:r>
            <w:r w:rsidR="00757E6D">
              <w:rPr>
                <w:lang w:eastAsia="lt-LT"/>
              </w:rPr>
              <w:t xml:space="preserve">“ </w:t>
            </w:r>
            <w:r>
              <w:rPr>
                <w:lang w:eastAsia="lt-LT"/>
              </w:rPr>
              <w:t xml:space="preserve">monitoriai </w:t>
            </w:r>
            <w:r w:rsidR="00E1796A">
              <w:rPr>
                <w:lang w:eastAsia="lt-LT"/>
              </w:rPr>
              <w:t xml:space="preserve">leis pasiekti šio tikslo. </w:t>
            </w:r>
            <w:r w:rsidR="00743FAA">
              <w:rPr>
                <w:lang w:eastAsia="lt-LT"/>
              </w:rPr>
              <w:t xml:space="preserve">Tiekėjo siūlymas papildomą balą skirti už </w:t>
            </w:r>
            <w:r w:rsidR="00743FAA" w:rsidRPr="00450BB0">
              <w:rPr>
                <w:lang w:eastAsia="lt-LT"/>
              </w:rPr>
              <w:t>≥ 2</w:t>
            </w:r>
            <w:r w:rsidR="00743FAA">
              <w:rPr>
                <w:lang w:eastAsia="lt-LT"/>
              </w:rPr>
              <w:t xml:space="preserve">2“ </w:t>
            </w:r>
            <w:r w:rsidR="00743FAA">
              <w:rPr>
                <w:lang w:eastAsia="lt-LT"/>
              </w:rPr>
              <w:lastRenderedPageBreak/>
              <w:t xml:space="preserve">monitorius sudarytų </w:t>
            </w:r>
            <w:r w:rsidR="00A023F7">
              <w:rPr>
                <w:lang w:eastAsia="lt-LT"/>
              </w:rPr>
              <w:t xml:space="preserve">nepagrįstai palankias sąlygas išskirtinai ribotam tiekėjų ratui. Dėl to, vertinimo </w:t>
            </w:r>
            <w:r w:rsidR="00E9339E">
              <w:rPr>
                <w:lang w:eastAsia="lt-LT"/>
              </w:rPr>
              <w:t>tvarkos T3 techninis pranašumas nėra koreguojamas.</w:t>
            </w:r>
          </w:p>
          <w:p w14:paraId="076A2E82" w14:textId="40DAFD48" w:rsidR="00BF4097" w:rsidRDefault="00E9339E" w:rsidP="00BF4097">
            <w:pPr>
              <w:jc w:val="both"/>
              <w:textAlignment w:val="baseline"/>
              <w:rPr>
                <w:lang w:eastAsia="lt-LT"/>
              </w:rPr>
            </w:pPr>
            <w:r>
              <w:rPr>
                <w:lang w:eastAsia="lt-LT"/>
              </w:rPr>
              <w:t xml:space="preserve">Tiekėjo siūlymas mažinti monitoriaus įstrižainę iki </w:t>
            </w:r>
            <w:r w:rsidRPr="00450BB0">
              <w:rPr>
                <w:lang w:eastAsia="lt-LT"/>
              </w:rPr>
              <w:t xml:space="preserve">≥ </w:t>
            </w:r>
            <w:r>
              <w:rPr>
                <w:lang w:eastAsia="lt-LT"/>
              </w:rPr>
              <w:t xml:space="preserve">19“ ir už </w:t>
            </w:r>
            <w:r w:rsidR="00205334">
              <w:rPr>
                <w:lang w:eastAsia="lt-LT"/>
              </w:rPr>
              <w:t xml:space="preserve">atitiktį skirti papildomą ekonominio naudingumo balą nėra priimtinas, nes </w:t>
            </w:r>
            <w:r w:rsidR="005A5EAF">
              <w:rPr>
                <w:lang w:eastAsia="lt-LT"/>
              </w:rPr>
              <w:t xml:space="preserve">tokios įstrižainės monitorius dar nėra laikomas </w:t>
            </w:r>
            <w:r w:rsidR="0082501A">
              <w:rPr>
                <w:lang w:eastAsia="lt-LT"/>
              </w:rPr>
              <w:t>kuriantis esminę pridėtinę ekonominę ar klinikinę naudą.</w:t>
            </w:r>
            <w:r w:rsidR="00181E10">
              <w:rPr>
                <w:lang w:eastAsia="lt-LT"/>
              </w:rPr>
              <w:t xml:space="preserve"> Dėl to,  vertinimo tvarkos T3 techninis pranašumas nėra koreguojamas.</w:t>
            </w:r>
          </w:p>
        </w:tc>
      </w:tr>
    </w:tbl>
    <w:p w14:paraId="4EC86CEC" w14:textId="77777777" w:rsidR="00BF4097" w:rsidRPr="00596A23" w:rsidRDefault="00BF4097" w:rsidP="00BF4097">
      <w:pPr>
        <w:rPr>
          <w:b/>
          <w:bCs/>
        </w:rPr>
      </w:pPr>
      <w:r w:rsidRPr="00596A23">
        <w:rPr>
          <w:b/>
          <w:bCs/>
        </w:rPr>
        <w:lastRenderedPageBreak/>
        <w:t>Papildomai siūlomi pasiūlymo vertinimo kriterijai</w:t>
      </w:r>
    </w:p>
    <w:tbl>
      <w:tblPr>
        <w:tblW w:w="1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423"/>
        <w:gridCol w:w="5670"/>
        <w:gridCol w:w="4677"/>
      </w:tblGrid>
      <w:tr w:rsidR="006C4E76" w:rsidRPr="00A452A8" w14:paraId="7156B0C9" w14:textId="630B3250" w:rsidTr="003E05F1">
        <w:tc>
          <w:tcPr>
            <w:tcW w:w="675" w:type="dxa"/>
            <w:vAlign w:val="center"/>
          </w:tcPr>
          <w:p w14:paraId="7A077DC3" w14:textId="77777777" w:rsidR="006C4E76" w:rsidRPr="00A452A8" w:rsidRDefault="006C4E76" w:rsidP="002F788E">
            <w:pPr>
              <w:jc w:val="center"/>
              <w:rPr>
                <w:b/>
              </w:rPr>
            </w:pPr>
            <w:r w:rsidRPr="00A452A8">
              <w:rPr>
                <w:b/>
              </w:rPr>
              <w:t>Eil. nr.</w:t>
            </w:r>
          </w:p>
        </w:tc>
        <w:tc>
          <w:tcPr>
            <w:tcW w:w="4423" w:type="dxa"/>
            <w:vAlign w:val="center"/>
          </w:tcPr>
          <w:p w14:paraId="0C708E7D" w14:textId="77777777" w:rsidR="006C4E76" w:rsidRPr="00A452A8" w:rsidRDefault="006C4E76" w:rsidP="002F788E">
            <w:pPr>
              <w:jc w:val="center"/>
              <w:rPr>
                <w:b/>
              </w:rPr>
            </w:pPr>
            <w:r w:rsidRPr="00A452A8">
              <w:rPr>
                <w:b/>
              </w:rPr>
              <w:t>Kiekybės kriterijai</w:t>
            </w:r>
          </w:p>
        </w:tc>
        <w:tc>
          <w:tcPr>
            <w:tcW w:w="5670" w:type="dxa"/>
            <w:vAlign w:val="center"/>
          </w:tcPr>
          <w:p w14:paraId="55171392" w14:textId="77777777" w:rsidR="006C4E76" w:rsidRPr="00A452A8" w:rsidRDefault="006C4E76" w:rsidP="002F788E">
            <w:pPr>
              <w:jc w:val="center"/>
              <w:rPr>
                <w:b/>
              </w:rPr>
            </w:pPr>
            <w:r w:rsidRPr="00A452A8">
              <w:rPr>
                <w:b/>
              </w:rPr>
              <w:t>Siūlomų kriterijų rodiklių reikšmės</w:t>
            </w:r>
          </w:p>
        </w:tc>
        <w:tc>
          <w:tcPr>
            <w:tcW w:w="4677" w:type="dxa"/>
          </w:tcPr>
          <w:p w14:paraId="3F95FFB4" w14:textId="514F955B" w:rsidR="006C4E76" w:rsidRPr="00A452A8" w:rsidRDefault="006C4E76" w:rsidP="002F788E">
            <w:pPr>
              <w:jc w:val="center"/>
              <w:rPr>
                <w:b/>
              </w:rPr>
            </w:pPr>
            <w:r w:rsidRPr="00A452A8">
              <w:rPr>
                <w:b/>
                <w:color w:val="333333"/>
                <w:shd w:val="clear" w:color="auto" w:fill="FFFFFF"/>
              </w:rPr>
              <w:t>Perkančiosios organizacijos atsakymas</w:t>
            </w:r>
          </w:p>
        </w:tc>
      </w:tr>
      <w:tr w:rsidR="0002671F" w:rsidRPr="00A452A8" w14:paraId="7D159277" w14:textId="226FB4F2" w:rsidTr="003E05F1">
        <w:tc>
          <w:tcPr>
            <w:tcW w:w="675" w:type="dxa"/>
            <w:vAlign w:val="center"/>
          </w:tcPr>
          <w:p w14:paraId="25C90CAD" w14:textId="77777777" w:rsidR="0002671F" w:rsidRPr="00A452A8" w:rsidRDefault="0002671F" w:rsidP="002F788E">
            <w:pPr>
              <w:jc w:val="center"/>
              <w:rPr>
                <w:bCs/>
              </w:rPr>
            </w:pPr>
            <w:r w:rsidRPr="00A452A8">
              <w:rPr>
                <w:bCs/>
              </w:rPr>
              <w:t>T6</w:t>
            </w:r>
          </w:p>
        </w:tc>
        <w:tc>
          <w:tcPr>
            <w:tcW w:w="4423" w:type="dxa"/>
          </w:tcPr>
          <w:p w14:paraId="2CF813DA" w14:textId="77777777" w:rsidR="0002671F" w:rsidRPr="00A452A8" w:rsidRDefault="0002671F" w:rsidP="002F788E">
            <w:pPr>
              <w:rPr>
                <w:b/>
              </w:rPr>
            </w:pPr>
            <w:r w:rsidRPr="00A452A8">
              <w:t xml:space="preserve">Aktyvi apsaugos nuo hipoksijos sistema, kuri silpno srauto ventiliacijos metu geba automatiškai aptikti nepakankamą deguonies koncentraciją įkvėpime ( </w:t>
            </w:r>
            <w:r w:rsidRPr="00A452A8">
              <w:rPr>
                <w:u w:val="single"/>
              </w:rPr>
              <w:t>&lt;</w:t>
            </w:r>
            <w:r w:rsidRPr="00A452A8">
              <w:t xml:space="preserve"> 21%), sugeneruoti pavojaus signalą ir automatiškai padidinti šviežių dujų srautą bei deguonies koncentraciją.</w:t>
            </w:r>
          </w:p>
        </w:tc>
        <w:tc>
          <w:tcPr>
            <w:tcW w:w="5670" w:type="dxa"/>
          </w:tcPr>
          <w:p w14:paraId="441E6537" w14:textId="7676C683" w:rsidR="0002671F" w:rsidRPr="00A452A8" w:rsidRDefault="0002671F" w:rsidP="002F788E">
            <w:pPr>
              <w:rPr>
                <w:bCs/>
                <w:i/>
                <w:iCs/>
              </w:rPr>
            </w:pPr>
            <w:r w:rsidRPr="00A452A8">
              <w:rPr>
                <w:bCs/>
                <w:i/>
                <w:iCs/>
              </w:rPr>
              <w:t xml:space="preserve">Aktyvi pacientų apsauga nuo hipoksijos yra unikali gamintojui </w:t>
            </w:r>
            <w:r>
              <w:rPr>
                <w:bCs/>
                <w:i/>
                <w:iCs/>
              </w:rPr>
              <w:t>X</w:t>
            </w:r>
            <w:r w:rsidRPr="00A452A8">
              <w:rPr>
                <w:bCs/>
                <w:i/>
                <w:iCs/>
              </w:rPr>
              <w:t xml:space="preserve"> technologija, kuri maksimaliai sumažina deguonies trūkumo riziką.</w:t>
            </w:r>
          </w:p>
          <w:p w14:paraId="3A76DD53" w14:textId="77777777" w:rsidR="0002671F" w:rsidRPr="00A452A8" w:rsidRDefault="0002671F" w:rsidP="00271F63">
            <w:pPr>
              <w:rPr>
                <w:b/>
              </w:rPr>
            </w:pPr>
          </w:p>
        </w:tc>
        <w:tc>
          <w:tcPr>
            <w:tcW w:w="4677" w:type="dxa"/>
            <w:vMerge w:val="restart"/>
          </w:tcPr>
          <w:p w14:paraId="308EDC9D" w14:textId="77777777" w:rsidR="0002671F" w:rsidRPr="0002671F" w:rsidRDefault="0002671F" w:rsidP="002F788E">
            <w:pPr>
              <w:rPr>
                <w:bCs/>
              </w:rPr>
            </w:pPr>
            <w:r w:rsidRPr="0002671F">
              <w:rPr>
                <w:bCs/>
              </w:rPr>
              <w:t>Papildomi tiekėjo siūlomi EN vertinimo tvarkos techniniai pranašumai nebus pridėdami.</w:t>
            </w:r>
          </w:p>
          <w:p w14:paraId="5A48391D" w14:textId="77777777" w:rsidR="0002671F" w:rsidRPr="0002671F" w:rsidRDefault="0002671F" w:rsidP="002F788E">
            <w:pPr>
              <w:rPr>
                <w:bCs/>
              </w:rPr>
            </w:pPr>
            <w:r w:rsidRPr="0002671F">
              <w:rPr>
                <w:bCs/>
              </w:rPr>
              <w:t xml:space="preserve">PO jau nustatė jai svarbius techninius pranašumus. </w:t>
            </w:r>
          </w:p>
          <w:p w14:paraId="327D6641" w14:textId="2E438D54" w:rsidR="0002671F" w:rsidRPr="00A452A8" w:rsidRDefault="0002671F" w:rsidP="00C828A0">
            <w:pPr>
              <w:rPr>
                <w:bCs/>
                <w:i/>
                <w:iCs/>
              </w:rPr>
            </w:pPr>
            <w:r w:rsidRPr="00A452A8">
              <w:rPr>
                <w:bCs/>
                <w:i/>
                <w:iCs/>
              </w:rPr>
              <w:t xml:space="preserve"> </w:t>
            </w:r>
          </w:p>
        </w:tc>
      </w:tr>
      <w:tr w:rsidR="0002671F" w:rsidRPr="00A452A8" w14:paraId="59625956" w14:textId="23AB91F5" w:rsidTr="003E05F1">
        <w:tc>
          <w:tcPr>
            <w:tcW w:w="675" w:type="dxa"/>
            <w:vAlign w:val="center"/>
          </w:tcPr>
          <w:p w14:paraId="3FA0CCDA" w14:textId="77777777" w:rsidR="0002671F" w:rsidRPr="00A452A8" w:rsidRDefault="0002671F" w:rsidP="00C828A0">
            <w:pPr>
              <w:jc w:val="center"/>
              <w:rPr>
                <w:bCs/>
              </w:rPr>
            </w:pPr>
            <w:r w:rsidRPr="00A452A8">
              <w:rPr>
                <w:bCs/>
              </w:rPr>
              <w:t>T7</w:t>
            </w:r>
          </w:p>
        </w:tc>
        <w:tc>
          <w:tcPr>
            <w:tcW w:w="4423" w:type="dxa"/>
          </w:tcPr>
          <w:p w14:paraId="16DF9726" w14:textId="77777777" w:rsidR="0002671F" w:rsidRPr="00A452A8" w:rsidRDefault="0002671F" w:rsidP="00C828A0">
            <w:r w:rsidRPr="00A452A8">
              <w:t>Integruoti ultragarsiniai srauto davikliai</w:t>
            </w:r>
          </w:p>
        </w:tc>
        <w:tc>
          <w:tcPr>
            <w:tcW w:w="5670" w:type="dxa"/>
          </w:tcPr>
          <w:p w14:paraId="1AB63904" w14:textId="772DB3B7" w:rsidR="0002671F" w:rsidRPr="00A452A8" w:rsidRDefault="0002671F" w:rsidP="00271F63">
            <w:pPr>
              <w:rPr>
                <w:b/>
              </w:rPr>
            </w:pPr>
            <w:r w:rsidRPr="00A452A8">
              <w:rPr>
                <w:bCs/>
                <w:i/>
                <w:iCs/>
              </w:rPr>
              <w:t xml:space="preserve">Gamintojo </w:t>
            </w:r>
            <w:r>
              <w:rPr>
                <w:bCs/>
                <w:i/>
                <w:iCs/>
              </w:rPr>
              <w:t>X</w:t>
            </w:r>
            <w:r w:rsidRPr="00A452A8">
              <w:rPr>
                <w:bCs/>
                <w:i/>
                <w:iCs/>
              </w:rPr>
              <w:t xml:space="preserve"> patentuota technologija, kuri naudoja patikimus ultragarsinius daviklius ir leidžia atlikti itin tikslius srauto matavimus</w:t>
            </w:r>
            <w:r w:rsidRPr="00A452A8">
              <w:rPr>
                <w:b/>
              </w:rPr>
              <w:t xml:space="preserve"> </w:t>
            </w:r>
          </w:p>
          <w:p w14:paraId="716C0E02" w14:textId="3E7E5491" w:rsidR="0002671F" w:rsidRPr="00A452A8" w:rsidRDefault="0002671F" w:rsidP="00271F63">
            <w:pPr>
              <w:rPr>
                <w:b/>
              </w:rPr>
            </w:pPr>
          </w:p>
        </w:tc>
        <w:tc>
          <w:tcPr>
            <w:tcW w:w="4677" w:type="dxa"/>
            <w:vMerge/>
          </w:tcPr>
          <w:p w14:paraId="080B23D9" w14:textId="5E3D6178" w:rsidR="0002671F" w:rsidRPr="00A452A8" w:rsidRDefault="0002671F" w:rsidP="00C828A0">
            <w:pPr>
              <w:rPr>
                <w:bCs/>
                <w:i/>
                <w:iCs/>
              </w:rPr>
            </w:pPr>
          </w:p>
        </w:tc>
      </w:tr>
      <w:tr w:rsidR="0002671F" w:rsidRPr="00A452A8" w14:paraId="05ABBA7B" w14:textId="674D7A75" w:rsidTr="003E05F1">
        <w:tc>
          <w:tcPr>
            <w:tcW w:w="675" w:type="dxa"/>
            <w:vAlign w:val="center"/>
          </w:tcPr>
          <w:p w14:paraId="2D0A26C3" w14:textId="77777777" w:rsidR="0002671F" w:rsidRPr="00A452A8" w:rsidRDefault="0002671F" w:rsidP="00C828A0">
            <w:pPr>
              <w:jc w:val="center"/>
              <w:rPr>
                <w:bCs/>
              </w:rPr>
            </w:pPr>
            <w:r w:rsidRPr="00A452A8">
              <w:rPr>
                <w:bCs/>
              </w:rPr>
              <w:lastRenderedPageBreak/>
              <w:t>T8</w:t>
            </w:r>
          </w:p>
        </w:tc>
        <w:tc>
          <w:tcPr>
            <w:tcW w:w="4423" w:type="dxa"/>
          </w:tcPr>
          <w:p w14:paraId="797DDD9B" w14:textId="77777777" w:rsidR="0002671F" w:rsidRPr="00A452A8" w:rsidRDefault="0002671F" w:rsidP="00C828A0">
            <w:pPr>
              <w:pStyle w:val="Betarp"/>
              <w:rPr>
                <w:color w:val="000000"/>
                <w:shd w:val="clear" w:color="auto" w:fill="FFFFFF"/>
              </w:rPr>
            </w:pPr>
            <w:r w:rsidRPr="00A452A8">
              <w:rPr>
                <w:rStyle w:val="BodytextCalibri"/>
                <w:rFonts w:ascii="Times New Roman" w:eastAsiaTheme="majorEastAsia" w:hAnsi="Times New Roman" w:cs="Times New Roman"/>
                <w:color w:val="000000"/>
                <w:sz w:val="24"/>
                <w:szCs w:val="24"/>
              </w:rPr>
              <w:t xml:space="preserve">Paciento monitoriuje pateikiama ST segmento analizė: </w:t>
            </w:r>
            <w:r w:rsidRPr="00A452A8">
              <w:rPr>
                <w:rStyle w:val="fontstyle01"/>
                <w:rFonts w:ascii="Times New Roman" w:eastAsiaTheme="majorEastAsia" w:hAnsi="Times New Roman"/>
              </w:rPr>
              <w:t>ST segmento grafinis</w:t>
            </w:r>
            <w:r w:rsidRPr="00A452A8">
              <w:rPr>
                <w:color w:val="000000"/>
              </w:rPr>
              <w:t xml:space="preserve"> </w:t>
            </w:r>
            <w:r w:rsidRPr="00A452A8">
              <w:rPr>
                <w:rStyle w:val="fontstyle01"/>
                <w:rFonts w:ascii="Times New Roman" w:eastAsiaTheme="majorEastAsia" w:hAnsi="Times New Roman"/>
              </w:rPr>
              <w:t>vaizdavimas žemėlapio pavidalu priekinėje</w:t>
            </w:r>
            <w:r w:rsidRPr="00A452A8">
              <w:rPr>
                <w:color w:val="000000"/>
              </w:rPr>
              <w:t xml:space="preserve"> </w:t>
            </w:r>
            <w:r w:rsidRPr="00A452A8">
              <w:rPr>
                <w:rStyle w:val="fontstyle01"/>
                <w:rFonts w:ascii="Times New Roman" w:eastAsiaTheme="majorEastAsia" w:hAnsi="Times New Roman"/>
              </w:rPr>
              <w:t>ir horizontalioje plokštumose</w:t>
            </w:r>
          </w:p>
          <w:p w14:paraId="6CAB6A2F" w14:textId="77777777" w:rsidR="0002671F" w:rsidRPr="00A452A8" w:rsidRDefault="0002671F" w:rsidP="00C828A0">
            <w:pPr>
              <w:pStyle w:val="Betarp"/>
              <w:rPr>
                <w:rStyle w:val="BodytextCalibri"/>
                <w:rFonts w:ascii="Times New Roman" w:eastAsiaTheme="majorEastAsia" w:hAnsi="Times New Roman" w:cs="Times New Roman"/>
                <w:color w:val="000000"/>
                <w:sz w:val="24"/>
                <w:szCs w:val="24"/>
              </w:rPr>
            </w:pPr>
          </w:p>
        </w:tc>
        <w:tc>
          <w:tcPr>
            <w:tcW w:w="5670" w:type="dxa"/>
          </w:tcPr>
          <w:p w14:paraId="0715760D" w14:textId="77777777" w:rsidR="0002671F" w:rsidRPr="00A452A8" w:rsidRDefault="0002671F" w:rsidP="00C828A0">
            <w:pPr>
              <w:rPr>
                <w:bCs/>
                <w:i/>
                <w:iCs/>
              </w:rPr>
            </w:pPr>
            <w:r w:rsidRPr="00A452A8">
              <w:rPr>
                <w:bCs/>
                <w:i/>
                <w:iCs/>
              </w:rPr>
              <w:t xml:space="preserve">Vienintelis praktinis metodas, skirtas nuolatiniam neinvaziniam išemijos epizodų stebėjimui. Nepertraukiamas ST segmento stebėjimas yra naudingas daugelyje sričių: nustatant miokardo infarkto tikimybę, vertinant pacientus, sergančius žinoma ar įtariama koronarine liga, vertinant </w:t>
            </w:r>
            <w:proofErr w:type="spellStart"/>
            <w:r w:rsidRPr="00A452A8">
              <w:rPr>
                <w:bCs/>
                <w:i/>
                <w:iCs/>
              </w:rPr>
              <w:t>reperfuziją</w:t>
            </w:r>
            <w:proofErr w:type="spellEnd"/>
            <w:r w:rsidRPr="00A452A8">
              <w:rPr>
                <w:bCs/>
                <w:i/>
                <w:iCs/>
              </w:rPr>
              <w:t xml:space="preserve"> po </w:t>
            </w:r>
            <w:proofErr w:type="spellStart"/>
            <w:r w:rsidRPr="00A452A8">
              <w:rPr>
                <w:bCs/>
                <w:i/>
                <w:iCs/>
              </w:rPr>
              <w:t>trombolitinio</w:t>
            </w:r>
            <w:proofErr w:type="spellEnd"/>
            <w:r w:rsidRPr="00A452A8">
              <w:rPr>
                <w:bCs/>
                <w:i/>
                <w:iCs/>
              </w:rPr>
              <w:t xml:space="preserve"> gydymo, vertinant išemiją po miokardo infarkto, vertinant pakartotinį </w:t>
            </w:r>
            <w:proofErr w:type="spellStart"/>
            <w:r w:rsidRPr="00A452A8">
              <w:rPr>
                <w:bCs/>
                <w:i/>
                <w:iCs/>
              </w:rPr>
              <w:t>reokliuziją</w:t>
            </w:r>
            <w:proofErr w:type="spellEnd"/>
            <w:r w:rsidRPr="00A452A8">
              <w:rPr>
                <w:bCs/>
                <w:i/>
                <w:iCs/>
              </w:rPr>
              <w:t xml:space="preserve"> po angioplastikos ar </w:t>
            </w:r>
            <w:proofErr w:type="spellStart"/>
            <w:r w:rsidRPr="00A452A8">
              <w:rPr>
                <w:bCs/>
                <w:i/>
                <w:iCs/>
              </w:rPr>
              <w:t>aterektomijos</w:t>
            </w:r>
            <w:proofErr w:type="spellEnd"/>
            <w:r w:rsidRPr="00A452A8">
              <w:rPr>
                <w:bCs/>
                <w:i/>
                <w:iCs/>
              </w:rPr>
              <w:t>, vertinant miokardo išemiją kaip kvėpavimo nepakankamumo priežastį, vertinant išemiją širdies ir didelės rizikos chirurginių procedūrų metu ir po jų.</w:t>
            </w:r>
          </w:p>
          <w:p w14:paraId="5D5E96A1" w14:textId="77777777" w:rsidR="0002671F" w:rsidRPr="00A452A8" w:rsidRDefault="0002671F" w:rsidP="00C828A0">
            <w:pPr>
              <w:jc w:val="center"/>
              <w:rPr>
                <w:b/>
                <w:i/>
                <w:iCs/>
              </w:rPr>
            </w:pPr>
          </w:p>
          <w:p w14:paraId="055AC106" w14:textId="77777777" w:rsidR="0002671F" w:rsidRPr="00A452A8" w:rsidRDefault="0002671F" w:rsidP="00271F63">
            <w:pPr>
              <w:rPr>
                <w:b/>
              </w:rPr>
            </w:pPr>
          </w:p>
        </w:tc>
        <w:tc>
          <w:tcPr>
            <w:tcW w:w="4677" w:type="dxa"/>
            <w:vMerge/>
          </w:tcPr>
          <w:p w14:paraId="225FC701" w14:textId="19C33E57" w:rsidR="0002671F" w:rsidRPr="00A452A8" w:rsidRDefault="0002671F" w:rsidP="00C828A0">
            <w:pPr>
              <w:rPr>
                <w:bCs/>
                <w:i/>
                <w:iCs/>
              </w:rPr>
            </w:pPr>
          </w:p>
        </w:tc>
      </w:tr>
      <w:tr w:rsidR="0002671F" w:rsidRPr="00A452A8" w14:paraId="7E837443" w14:textId="40B283CF" w:rsidTr="003E05F1">
        <w:tc>
          <w:tcPr>
            <w:tcW w:w="675" w:type="dxa"/>
            <w:vAlign w:val="center"/>
          </w:tcPr>
          <w:p w14:paraId="281DB61C" w14:textId="77777777" w:rsidR="0002671F" w:rsidRPr="00A452A8" w:rsidRDefault="0002671F" w:rsidP="00C828A0">
            <w:pPr>
              <w:jc w:val="center"/>
              <w:rPr>
                <w:bCs/>
              </w:rPr>
            </w:pPr>
            <w:r w:rsidRPr="00A452A8">
              <w:rPr>
                <w:bCs/>
              </w:rPr>
              <w:t>T9</w:t>
            </w:r>
          </w:p>
        </w:tc>
        <w:tc>
          <w:tcPr>
            <w:tcW w:w="4423" w:type="dxa"/>
          </w:tcPr>
          <w:p w14:paraId="16E01735" w14:textId="77777777" w:rsidR="0002671F" w:rsidRPr="00A452A8" w:rsidRDefault="0002671F" w:rsidP="00C828A0">
            <w:pPr>
              <w:rPr>
                <w:rStyle w:val="BodytextCalibri"/>
                <w:rFonts w:ascii="Times New Roman" w:eastAsiaTheme="majorEastAsia" w:hAnsi="Times New Roman" w:cs="Times New Roman"/>
                <w:sz w:val="24"/>
                <w:szCs w:val="24"/>
              </w:rPr>
            </w:pPr>
            <w:r w:rsidRPr="00A452A8">
              <w:rPr>
                <w:rStyle w:val="fontstyle01"/>
                <w:rFonts w:ascii="Times New Roman" w:eastAsiaTheme="majorEastAsia" w:hAnsi="Times New Roman"/>
              </w:rPr>
              <w:t>Paciento monitoriuje pateikiama piktograma su paciento</w:t>
            </w:r>
            <w:r w:rsidRPr="00A452A8">
              <w:rPr>
                <w:color w:val="000000"/>
              </w:rPr>
              <w:t xml:space="preserve"> </w:t>
            </w:r>
            <w:r w:rsidRPr="00A452A8">
              <w:rPr>
                <w:rStyle w:val="fontstyle01"/>
                <w:rFonts w:ascii="Times New Roman" w:eastAsiaTheme="majorEastAsia" w:hAnsi="Times New Roman"/>
              </w:rPr>
              <w:t>būkle realiuoju laiku. Piktograma</w:t>
            </w:r>
            <w:r w:rsidRPr="00A452A8">
              <w:rPr>
                <w:color w:val="000000"/>
              </w:rPr>
              <w:t xml:space="preserve"> </w:t>
            </w:r>
            <w:r w:rsidRPr="00A452A8">
              <w:rPr>
                <w:rStyle w:val="fontstyle01"/>
                <w:rFonts w:ascii="Times New Roman" w:eastAsiaTheme="majorEastAsia" w:hAnsi="Times New Roman"/>
              </w:rPr>
              <w:t>automatiškai keičiasi priklausomai nuo</w:t>
            </w:r>
            <w:r w:rsidRPr="00A452A8">
              <w:rPr>
                <w:color w:val="000000"/>
              </w:rPr>
              <w:t xml:space="preserve"> </w:t>
            </w:r>
            <w:r w:rsidRPr="00A452A8">
              <w:rPr>
                <w:rStyle w:val="fontstyle01"/>
                <w:rFonts w:ascii="Times New Roman" w:eastAsiaTheme="majorEastAsia" w:hAnsi="Times New Roman"/>
              </w:rPr>
              <w:t>parametrų kitimo realiuoju laiku: etCO2,</w:t>
            </w:r>
            <w:r w:rsidRPr="00A452A8">
              <w:rPr>
                <w:color w:val="000000"/>
              </w:rPr>
              <w:t xml:space="preserve"> </w:t>
            </w:r>
            <w:r w:rsidRPr="00A452A8">
              <w:rPr>
                <w:rStyle w:val="fontstyle01"/>
                <w:rFonts w:ascii="Times New Roman" w:eastAsiaTheme="majorEastAsia" w:hAnsi="Times New Roman"/>
              </w:rPr>
              <w:t>kvėpavimo dažnio, širdies susitraukimų</w:t>
            </w:r>
            <w:r w:rsidRPr="00A452A8">
              <w:rPr>
                <w:color w:val="000000"/>
              </w:rPr>
              <w:t xml:space="preserve"> </w:t>
            </w:r>
            <w:r w:rsidRPr="00A452A8">
              <w:rPr>
                <w:rStyle w:val="fontstyle01"/>
                <w:rFonts w:ascii="Times New Roman" w:eastAsiaTheme="majorEastAsia" w:hAnsi="Times New Roman"/>
              </w:rPr>
              <w:t>dažnio, kraujospūdžio, temperatūros,</w:t>
            </w:r>
            <w:r w:rsidRPr="00A452A8">
              <w:rPr>
                <w:color w:val="000000"/>
              </w:rPr>
              <w:t xml:space="preserve"> </w:t>
            </w:r>
            <w:r w:rsidRPr="00A452A8">
              <w:rPr>
                <w:rStyle w:val="fontstyle01"/>
                <w:rFonts w:ascii="Times New Roman" w:eastAsiaTheme="majorEastAsia" w:hAnsi="Times New Roman"/>
              </w:rPr>
              <w:t>invazinio slėgio, smegenų veiklos, deguonies</w:t>
            </w:r>
            <w:r w:rsidRPr="00A452A8">
              <w:rPr>
                <w:color w:val="000000"/>
              </w:rPr>
              <w:t xml:space="preserve"> </w:t>
            </w:r>
            <w:r w:rsidRPr="00A452A8">
              <w:rPr>
                <w:rStyle w:val="fontstyle01"/>
                <w:rFonts w:ascii="Times New Roman" w:eastAsiaTheme="majorEastAsia" w:hAnsi="Times New Roman"/>
              </w:rPr>
              <w:t>prisotinimo, širdies veiklos, kvėpavimo takų</w:t>
            </w:r>
            <w:r w:rsidRPr="00A452A8">
              <w:rPr>
                <w:color w:val="000000"/>
              </w:rPr>
              <w:t xml:space="preserve"> </w:t>
            </w:r>
            <w:r w:rsidRPr="00A452A8">
              <w:rPr>
                <w:rStyle w:val="fontstyle01"/>
                <w:rFonts w:ascii="Times New Roman" w:eastAsiaTheme="majorEastAsia" w:hAnsi="Times New Roman"/>
              </w:rPr>
              <w:t>slėgio, kvėpavimo tūrio, FiO2, pulso dažnio,</w:t>
            </w:r>
            <w:r w:rsidRPr="00A452A8">
              <w:rPr>
                <w:color w:val="000000"/>
              </w:rPr>
              <w:t xml:space="preserve"> </w:t>
            </w:r>
            <w:r w:rsidRPr="00A452A8">
              <w:rPr>
                <w:rStyle w:val="fontstyle01"/>
                <w:rFonts w:ascii="Times New Roman" w:eastAsiaTheme="majorEastAsia" w:hAnsi="Times New Roman"/>
              </w:rPr>
              <w:t>ST segmento, nervų ir raumenų reakcijos.</w:t>
            </w:r>
          </w:p>
        </w:tc>
        <w:tc>
          <w:tcPr>
            <w:tcW w:w="5670" w:type="dxa"/>
          </w:tcPr>
          <w:p w14:paraId="2DE70739" w14:textId="5C6C684B" w:rsidR="0002671F" w:rsidRPr="00A452A8" w:rsidRDefault="0002671F" w:rsidP="00C828A0">
            <w:pPr>
              <w:rPr>
                <w:bCs/>
                <w:i/>
                <w:iCs/>
              </w:rPr>
            </w:pPr>
            <w:r w:rsidRPr="00A452A8">
              <w:rPr>
                <w:bCs/>
                <w:i/>
                <w:iCs/>
              </w:rPr>
              <w:t xml:space="preserve">Moderniausia ir gamintojui </w:t>
            </w:r>
            <w:r>
              <w:rPr>
                <w:bCs/>
                <w:i/>
                <w:iCs/>
              </w:rPr>
              <w:t>X</w:t>
            </w:r>
            <w:r w:rsidRPr="00A452A8">
              <w:rPr>
                <w:bCs/>
                <w:i/>
                <w:iCs/>
              </w:rPr>
              <w:t xml:space="preserve"> unikali pacientų gyvybinių funkcijų monitoravimo technologija, kuri leidžia akimirksniu atkreipti dėmesį į konkretaus parametro pokyčius realiu laiku.</w:t>
            </w:r>
          </w:p>
          <w:p w14:paraId="130CEDAD" w14:textId="77777777" w:rsidR="0002671F" w:rsidRPr="00A452A8" w:rsidRDefault="0002671F" w:rsidP="00C828A0">
            <w:pPr>
              <w:rPr>
                <w:bCs/>
                <w:i/>
                <w:iCs/>
              </w:rPr>
            </w:pPr>
            <w:r w:rsidRPr="00A452A8">
              <w:rPr>
                <w:bCs/>
                <w:i/>
                <w:iCs/>
              </w:rPr>
              <w:t>Dinaminė ir spalvinė paciento būklės pokyčių vizualizacija yra lengvai pastebima net ir akies kraštu, tiesiogiai nežiūrint į monitorių. Tai leidžia personalui dar greičiau nustatyti pavojų, nei stebint skaitines reikšmes ir parametrų kreives.</w:t>
            </w:r>
          </w:p>
          <w:p w14:paraId="086AA688" w14:textId="77777777" w:rsidR="0002671F" w:rsidRPr="00A452A8" w:rsidRDefault="0002671F" w:rsidP="00455549">
            <w:pPr>
              <w:rPr>
                <w:b/>
              </w:rPr>
            </w:pPr>
          </w:p>
        </w:tc>
        <w:tc>
          <w:tcPr>
            <w:tcW w:w="4677" w:type="dxa"/>
            <w:vMerge/>
          </w:tcPr>
          <w:p w14:paraId="1B776D6D" w14:textId="1CC65F27" w:rsidR="0002671F" w:rsidRPr="00A452A8" w:rsidRDefault="0002671F" w:rsidP="00C828A0">
            <w:pPr>
              <w:rPr>
                <w:bCs/>
                <w:i/>
                <w:iCs/>
              </w:rPr>
            </w:pPr>
          </w:p>
        </w:tc>
      </w:tr>
      <w:tr w:rsidR="0002671F" w:rsidRPr="00A452A8" w14:paraId="347DBAEF" w14:textId="39214EE9" w:rsidTr="003E05F1">
        <w:tc>
          <w:tcPr>
            <w:tcW w:w="675" w:type="dxa"/>
            <w:vAlign w:val="center"/>
          </w:tcPr>
          <w:p w14:paraId="14102BC6" w14:textId="77777777" w:rsidR="0002671F" w:rsidRPr="00A452A8" w:rsidRDefault="0002671F" w:rsidP="00C828A0">
            <w:pPr>
              <w:jc w:val="center"/>
              <w:rPr>
                <w:bCs/>
              </w:rPr>
            </w:pPr>
            <w:r w:rsidRPr="00A452A8">
              <w:rPr>
                <w:bCs/>
              </w:rPr>
              <w:t>T11</w:t>
            </w:r>
          </w:p>
        </w:tc>
        <w:tc>
          <w:tcPr>
            <w:tcW w:w="4423" w:type="dxa"/>
          </w:tcPr>
          <w:p w14:paraId="4B6C011A" w14:textId="77777777" w:rsidR="0002671F" w:rsidRPr="00A452A8" w:rsidRDefault="0002671F" w:rsidP="00C828A0">
            <w:pPr>
              <w:rPr>
                <w:rStyle w:val="fontstyle01"/>
                <w:rFonts w:ascii="Times New Roman" w:eastAsiaTheme="majorEastAsia" w:hAnsi="Times New Roman"/>
              </w:rPr>
            </w:pPr>
            <w:r w:rsidRPr="00A452A8">
              <w:rPr>
                <w:rStyle w:val="fontstyle01"/>
                <w:rFonts w:ascii="Times New Roman" w:eastAsiaTheme="majorEastAsia" w:hAnsi="Times New Roman"/>
              </w:rPr>
              <w:t>Paciento monitorius registruoja 12 EKG derivacijų naudodamas 5 laidų kabelių komplektą</w:t>
            </w:r>
          </w:p>
        </w:tc>
        <w:tc>
          <w:tcPr>
            <w:tcW w:w="5670" w:type="dxa"/>
          </w:tcPr>
          <w:p w14:paraId="097328CD" w14:textId="77777777" w:rsidR="0002671F" w:rsidRPr="00A452A8" w:rsidRDefault="0002671F" w:rsidP="00C828A0">
            <w:pPr>
              <w:rPr>
                <w:bCs/>
                <w:i/>
                <w:iCs/>
              </w:rPr>
            </w:pPr>
            <w:r w:rsidRPr="00A452A8">
              <w:rPr>
                <w:bCs/>
                <w:i/>
                <w:iCs/>
              </w:rPr>
              <w:t>Techninė specifikacija numato komplektuoti 5 laidų EKG komplektus. Todėl galimybė registruoti visas 12 EKG derivacijų suteiks gydytojams papildomos klinikinės informacijos.</w:t>
            </w:r>
          </w:p>
          <w:p w14:paraId="21F0F899" w14:textId="77777777" w:rsidR="0002671F" w:rsidRPr="00A452A8" w:rsidRDefault="0002671F" w:rsidP="00C828A0">
            <w:pPr>
              <w:rPr>
                <w:bCs/>
                <w:i/>
                <w:iCs/>
              </w:rPr>
            </w:pPr>
          </w:p>
        </w:tc>
        <w:tc>
          <w:tcPr>
            <w:tcW w:w="4677" w:type="dxa"/>
            <w:vMerge/>
          </w:tcPr>
          <w:p w14:paraId="4DDD21AD" w14:textId="345EAFFC" w:rsidR="0002671F" w:rsidRPr="00A452A8" w:rsidRDefault="0002671F" w:rsidP="00C828A0">
            <w:pPr>
              <w:rPr>
                <w:bCs/>
                <w:i/>
                <w:iCs/>
              </w:rPr>
            </w:pPr>
          </w:p>
        </w:tc>
      </w:tr>
    </w:tbl>
    <w:p w14:paraId="567922E3" w14:textId="77777777" w:rsidR="00BF4097" w:rsidRDefault="00BF4097" w:rsidP="00BF4097"/>
    <w:p w14:paraId="4A9E4528" w14:textId="77777777" w:rsidR="0070704E" w:rsidRDefault="0070704E"/>
    <w:sectPr w:rsidR="0070704E" w:rsidSect="00BF409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80FF" w14:textId="77777777" w:rsidR="00A25809" w:rsidRDefault="00A25809" w:rsidP="00BF4097">
      <w:r>
        <w:separator/>
      </w:r>
    </w:p>
  </w:endnote>
  <w:endnote w:type="continuationSeparator" w:id="0">
    <w:p w14:paraId="4D499CB0" w14:textId="77777777" w:rsidR="00A25809" w:rsidRDefault="00A25809" w:rsidP="00BF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B6FC" w14:textId="77777777" w:rsidR="00A25809" w:rsidRDefault="00A25809" w:rsidP="00BF4097">
      <w:r>
        <w:separator/>
      </w:r>
    </w:p>
  </w:footnote>
  <w:footnote w:type="continuationSeparator" w:id="0">
    <w:p w14:paraId="08C7E545" w14:textId="77777777" w:rsidR="00A25809" w:rsidRDefault="00A25809" w:rsidP="00BF4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8529A"/>
    <w:multiLevelType w:val="multilevel"/>
    <w:tmpl w:val="5CE0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27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97"/>
    <w:rsid w:val="00001806"/>
    <w:rsid w:val="00022A51"/>
    <w:rsid w:val="0002671F"/>
    <w:rsid w:val="000A7EED"/>
    <w:rsid w:val="000C5E38"/>
    <w:rsid w:val="001242D6"/>
    <w:rsid w:val="00125983"/>
    <w:rsid w:val="0012683F"/>
    <w:rsid w:val="00181E10"/>
    <w:rsid w:val="001D45FA"/>
    <w:rsid w:val="001D7A51"/>
    <w:rsid w:val="001E1DDC"/>
    <w:rsid w:val="00205334"/>
    <w:rsid w:val="002474D9"/>
    <w:rsid w:val="00271F63"/>
    <w:rsid w:val="002962E9"/>
    <w:rsid w:val="002E51FD"/>
    <w:rsid w:val="00323C3D"/>
    <w:rsid w:val="0038616C"/>
    <w:rsid w:val="00395C94"/>
    <w:rsid w:val="003E05F1"/>
    <w:rsid w:val="00440B42"/>
    <w:rsid w:val="00452D9A"/>
    <w:rsid w:val="00455549"/>
    <w:rsid w:val="00457874"/>
    <w:rsid w:val="00522CC3"/>
    <w:rsid w:val="00596A23"/>
    <w:rsid w:val="005A5EAF"/>
    <w:rsid w:val="005F3716"/>
    <w:rsid w:val="00621042"/>
    <w:rsid w:val="006224ED"/>
    <w:rsid w:val="006C4E76"/>
    <w:rsid w:val="006F52AD"/>
    <w:rsid w:val="0070704E"/>
    <w:rsid w:val="00743FAA"/>
    <w:rsid w:val="007465EF"/>
    <w:rsid w:val="00757E6D"/>
    <w:rsid w:val="007818E8"/>
    <w:rsid w:val="007E2277"/>
    <w:rsid w:val="007F2B92"/>
    <w:rsid w:val="0082501A"/>
    <w:rsid w:val="00861FEB"/>
    <w:rsid w:val="008A3BB9"/>
    <w:rsid w:val="008B0D74"/>
    <w:rsid w:val="00903D52"/>
    <w:rsid w:val="00975676"/>
    <w:rsid w:val="00984A41"/>
    <w:rsid w:val="0099332C"/>
    <w:rsid w:val="009C3BF5"/>
    <w:rsid w:val="00A023F7"/>
    <w:rsid w:val="00A25809"/>
    <w:rsid w:val="00A452A8"/>
    <w:rsid w:val="00A6593E"/>
    <w:rsid w:val="00AD526A"/>
    <w:rsid w:val="00B5607C"/>
    <w:rsid w:val="00BB0C57"/>
    <w:rsid w:val="00BF0B9F"/>
    <w:rsid w:val="00BF4097"/>
    <w:rsid w:val="00BF5EEA"/>
    <w:rsid w:val="00C16327"/>
    <w:rsid w:val="00C27F28"/>
    <w:rsid w:val="00C47CFF"/>
    <w:rsid w:val="00C828A0"/>
    <w:rsid w:val="00CA00EF"/>
    <w:rsid w:val="00D2509E"/>
    <w:rsid w:val="00D41A8B"/>
    <w:rsid w:val="00D4281F"/>
    <w:rsid w:val="00D464FA"/>
    <w:rsid w:val="00D56DD2"/>
    <w:rsid w:val="00DA3633"/>
    <w:rsid w:val="00E026C2"/>
    <w:rsid w:val="00E1587F"/>
    <w:rsid w:val="00E1796A"/>
    <w:rsid w:val="00E55C19"/>
    <w:rsid w:val="00E82475"/>
    <w:rsid w:val="00E8459B"/>
    <w:rsid w:val="00E9339E"/>
    <w:rsid w:val="00E94B34"/>
    <w:rsid w:val="00EB453C"/>
    <w:rsid w:val="00F91997"/>
    <w:rsid w:val="00F97C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04071"/>
  <w15:chartTrackingRefBased/>
  <w15:docId w15:val="{578AF198-05F2-4C8F-A439-9A98CC44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097"/>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Antrat1">
    <w:name w:val="heading 1"/>
    <w:basedOn w:val="prastasis"/>
    <w:next w:val="prastasis"/>
    <w:link w:val="Antrat1Diagrama"/>
    <w:uiPriority w:val="9"/>
    <w:qFormat/>
    <w:rsid w:val="00BF4097"/>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BF4097"/>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F4097"/>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F4097"/>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BF4097"/>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BF4097"/>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BF4097"/>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BF4097"/>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BF4097"/>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09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F409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09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09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09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0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0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0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0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097"/>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F40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097"/>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F40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097"/>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BF4097"/>
    <w:rPr>
      <w:i/>
      <w:iCs/>
      <w:color w:val="404040" w:themeColor="text1" w:themeTint="BF"/>
    </w:rPr>
  </w:style>
  <w:style w:type="paragraph" w:styleId="Sraopastraipa">
    <w:name w:val="List Paragraph"/>
    <w:basedOn w:val="prastasis"/>
    <w:uiPriority w:val="34"/>
    <w:qFormat/>
    <w:rsid w:val="00BF4097"/>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BF4097"/>
    <w:rPr>
      <w:i/>
      <w:iCs/>
      <w:color w:val="0F4761" w:themeColor="accent1" w:themeShade="BF"/>
    </w:rPr>
  </w:style>
  <w:style w:type="paragraph" w:styleId="Iskirtacitata">
    <w:name w:val="Intense Quote"/>
    <w:basedOn w:val="prastasis"/>
    <w:next w:val="prastasis"/>
    <w:link w:val="IskirtacitataDiagrama"/>
    <w:uiPriority w:val="30"/>
    <w:qFormat/>
    <w:rsid w:val="00BF4097"/>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BF4097"/>
    <w:rPr>
      <w:i/>
      <w:iCs/>
      <w:color w:val="0F4761" w:themeColor="accent1" w:themeShade="BF"/>
    </w:rPr>
  </w:style>
  <w:style w:type="character" w:styleId="Rykinuoroda">
    <w:name w:val="Intense Reference"/>
    <w:basedOn w:val="Numatytasispastraiposriftas"/>
    <w:uiPriority w:val="32"/>
    <w:qFormat/>
    <w:rsid w:val="00BF4097"/>
    <w:rPr>
      <w:b/>
      <w:bCs/>
      <w:smallCaps/>
      <w:color w:val="0F4761" w:themeColor="accent1" w:themeShade="BF"/>
      <w:spacing w:val="5"/>
    </w:rPr>
  </w:style>
  <w:style w:type="paragraph" w:styleId="Betarp">
    <w:name w:val="No Spacing"/>
    <w:link w:val="BetarpDiagrama"/>
    <w:uiPriority w:val="1"/>
    <w:qFormat/>
    <w:rsid w:val="00BF4097"/>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BetarpDiagrama">
    <w:name w:val="Be tarpų Diagrama"/>
    <w:link w:val="Betarp"/>
    <w:uiPriority w:val="1"/>
    <w:locked/>
    <w:rsid w:val="00BF4097"/>
    <w:rPr>
      <w:rFonts w:ascii="Times New Roman" w:eastAsia="Times New Roman" w:hAnsi="Times New Roman" w:cs="Times New Roman"/>
      <w:kern w:val="0"/>
      <w:sz w:val="24"/>
      <w:szCs w:val="24"/>
      <w:lang w:eastAsia="zh-CN"/>
      <w14:ligatures w14:val="none"/>
    </w:rPr>
  </w:style>
  <w:style w:type="character" w:customStyle="1" w:styleId="BodytextCalibri">
    <w:name w:val="Body text + Calibri"/>
    <w:basedOn w:val="Numatytasispastraiposriftas"/>
    <w:uiPriority w:val="99"/>
    <w:rsid w:val="00BF4097"/>
    <w:rPr>
      <w:rFonts w:ascii="Calibri" w:hAnsi="Calibri" w:cs="Calibri" w:hint="default"/>
      <w:sz w:val="20"/>
      <w:szCs w:val="20"/>
      <w:shd w:val="clear" w:color="auto" w:fill="FFFFFF"/>
    </w:rPr>
  </w:style>
  <w:style w:type="character" w:customStyle="1" w:styleId="fontstyle01">
    <w:name w:val="fontstyle01"/>
    <w:basedOn w:val="Numatytasispastraiposriftas"/>
    <w:rsid w:val="00BF4097"/>
    <w:rPr>
      <w:rFonts w:ascii="TimesNewRomanPSMT" w:hAnsi="TimesNewRomanPSMT" w:hint="default"/>
      <w:b w:val="0"/>
      <w:bCs w:val="0"/>
      <w:i w:val="0"/>
      <w:iCs w:val="0"/>
      <w:color w:val="000000"/>
      <w:sz w:val="24"/>
      <w:szCs w:val="24"/>
    </w:rPr>
  </w:style>
  <w:style w:type="character" w:styleId="Hipersaitas">
    <w:name w:val="Hyperlink"/>
    <w:basedOn w:val="Numatytasispastraiposriftas"/>
    <w:uiPriority w:val="99"/>
    <w:unhideWhenUsed/>
    <w:rsid w:val="00BF4097"/>
    <w:rPr>
      <w:color w:val="467886" w:themeColor="hyperlink"/>
      <w:u w:val="single"/>
    </w:rPr>
  </w:style>
  <w:style w:type="character" w:styleId="Grietas">
    <w:name w:val="Strong"/>
    <w:basedOn w:val="Numatytasispastraiposriftas"/>
    <w:uiPriority w:val="22"/>
    <w:qFormat/>
    <w:rsid w:val="008B0D74"/>
    <w:rPr>
      <w:b/>
      <w:bCs/>
    </w:rPr>
  </w:style>
  <w:style w:type="character" w:styleId="Neapdorotaspaminjimas">
    <w:name w:val="Unresolved Mention"/>
    <w:basedOn w:val="Numatytasispastraiposriftas"/>
    <w:uiPriority w:val="99"/>
    <w:semiHidden/>
    <w:unhideWhenUsed/>
    <w:rsid w:val="00271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07480">
      <w:bodyDiv w:val="1"/>
      <w:marLeft w:val="0"/>
      <w:marRight w:val="0"/>
      <w:marTop w:val="0"/>
      <w:marBottom w:val="0"/>
      <w:divBdr>
        <w:top w:val="none" w:sz="0" w:space="0" w:color="auto"/>
        <w:left w:val="none" w:sz="0" w:space="0" w:color="auto"/>
        <w:bottom w:val="none" w:sz="0" w:space="0" w:color="auto"/>
        <w:right w:val="none" w:sz="0" w:space="0" w:color="auto"/>
      </w:divBdr>
    </w:div>
    <w:div w:id="1194149620">
      <w:bodyDiv w:val="1"/>
      <w:marLeft w:val="0"/>
      <w:marRight w:val="0"/>
      <w:marTop w:val="0"/>
      <w:marBottom w:val="0"/>
      <w:divBdr>
        <w:top w:val="none" w:sz="0" w:space="0" w:color="auto"/>
        <w:left w:val="none" w:sz="0" w:space="0" w:color="auto"/>
        <w:bottom w:val="none" w:sz="0" w:space="0" w:color="auto"/>
        <w:right w:val="none" w:sz="0" w:space="0" w:color="auto"/>
      </w:divBdr>
    </w:div>
    <w:div w:id="21305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CB639-3596-44BA-BA3D-165E22BF5F0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BD16924-0E57-48C3-8F8C-DC9ACBBEDC8B}">
  <ds:schemaRefs>
    <ds:schemaRef ds:uri="http://schemas.microsoft.com/sharepoint/v3/contenttype/forms"/>
  </ds:schemaRefs>
</ds:datastoreItem>
</file>

<file path=customXml/itemProps3.xml><?xml version="1.0" encoding="utf-8"?>
<ds:datastoreItem xmlns:ds="http://schemas.openxmlformats.org/officeDocument/2006/customXml" ds:itemID="{971A39D7-3DF9-4FBB-BF34-18FABEF0C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9636</Words>
  <Characters>5494</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15100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Nika Armonė</cp:lastModifiedBy>
  <cp:revision>70</cp:revision>
  <dcterms:created xsi:type="dcterms:W3CDTF">2025-03-24T09:18:00Z</dcterms:created>
  <dcterms:modified xsi:type="dcterms:W3CDTF">2025-04-01T08:07:00Z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