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3944234A"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F8585B">
        <w:t>mažos vertės pirkimo skelbiamos apklausos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084FBB30"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A0B74" w:rsidRPr="00DB065E">
        <w:rPr>
          <w:b/>
          <w:sz w:val="24"/>
          <w:szCs w:val="24"/>
        </w:rPr>
        <w:t>Šilutės rajono savivaldybės, Vainuto seniūnijos, Vainuto mstl. Antano Baranausko gatvės pėsčiųjų tako paprastojo remonto darbus</w:t>
      </w:r>
      <w:r w:rsidR="0011307D" w:rsidRPr="00F8585B">
        <w:rPr>
          <w:sz w:val="24"/>
          <w:szCs w:val="24"/>
          <w:lang w:val="lt-LT"/>
        </w:rPr>
        <w:t xml:space="preserve">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kaip numatyta Sutartyje</w:t>
      </w:r>
      <w:r w:rsidR="00A83029" w:rsidRPr="00F8585B">
        <w:rPr>
          <w:sz w:val="24"/>
          <w:szCs w:val="24"/>
          <w:lang w:val="lt-LT"/>
        </w:rPr>
        <w:t xml:space="preserve">, </w:t>
      </w:r>
      <w:r w:rsidR="007C30DE" w:rsidRPr="00F8585B">
        <w:rPr>
          <w:sz w:val="24"/>
          <w:szCs w:val="24"/>
          <w:lang w:val="lt-LT"/>
        </w:rPr>
        <w:t>t</w:t>
      </w:r>
      <w:r w:rsidR="00A83029" w:rsidRPr="00F8585B">
        <w:rPr>
          <w:sz w:val="24"/>
          <w:szCs w:val="24"/>
          <w:lang w:val="lt-LT"/>
        </w:rPr>
        <w:t xml:space="preserve">echninėje specifikacijoje (Sutarties 1 priedas), </w:t>
      </w:r>
      <w:r w:rsidR="00FA0B74">
        <w:rPr>
          <w:sz w:val="24"/>
          <w:szCs w:val="24"/>
          <w:lang w:val="lt-LT"/>
        </w:rPr>
        <w:t>užpildytuose darbų kiekių žiniaraščiuose</w:t>
      </w:r>
      <w:r w:rsidR="0011307D" w:rsidRPr="00F8585B">
        <w:rPr>
          <w:sz w:val="24"/>
          <w:szCs w:val="24"/>
          <w:lang w:val="lt-LT"/>
        </w:rPr>
        <w:t xml:space="preserve"> </w:t>
      </w:r>
      <w:r w:rsidR="00DE1A66" w:rsidRPr="00F8585B">
        <w:rPr>
          <w:sz w:val="24"/>
          <w:szCs w:val="24"/>
          <w:lang w:val="lt-LT"/>
        </w:rPr>
        <w:t xml:space="preserve">(Sutarties </w:t>
      </w:r>
      <w:r w:rsidR="00F94574" w:rsidRPr="00F8585B">
        <w:rPr>
          <w:sz w:val="24"/>
          <w:szCs w:val="24"/>
          <w:lang w:val="lt-LT"/>
        </w:rPr>
        <w:t>2</w:t>
      </w:r>
      <w:r w:rsidR="00DE1A66" w:rsidRPr="00F8585B">
        <w:rPr>
          <w:sz w:val="24"/>
          <w:szCs w:val="24"/>
          <w:lang w:val="lt-LT"/>
        </w:rPr>
        <w:t xml:space="preserve"> priedas)</w:t>
      </w:r>
      <w:r w:rsidR="00F8585B" w:rsidRPr="00F8585B">
        <w:rPr>
          <w:sz w:val="24"/>
          <w:szCs w:val="24"/>
          <w:lang w:val="lt-LT"/>
        </w:rPr>
        <w:t xml:space="preserve"> ir </w:t>
      </w:r>
      <w:r w:rsidR="007C30DE" w:rsidRPr="00F8585B">
        <w:rPr>
          <w:sz w:val="24"/>
          <w:szCs w:val="24"/>
          <w:lang w:val="lt-LT"/>
        </w:rPr>
        <w:t>p</w:t>
      </w:r>
      <w:r w:rsidR="00B03D45" w:rsidRPr="00F8585B">
        <w:rPr>
          <w:sz w:val="24"/>
          <w:szCs w:val="24"/>
          <w:lang w:val="lt-LT"/>
        </w:rPr>
        <w:t xml:space="preserve">arengtame </w:t>
      </w:r>
      <w:r w:rsidR="00FA0B74">
        <w:rPr>
          <w:sz w:val="24"/>
          <w:szCs w:val="24"/>
          <w:lang w:val="lt-LT"/>
        </w:rPr>
        <w:t>paprastojo remonto apraše</w:t>
      </w:r>
      <w:r w:rsidR="00B03D45" w:rsidRPr="00F8585B">
        <w:rPr>
          <w:sz w:val="24"/>
          <w:szCs w:val="24"/>
          <w:lang w:val="lt-LT"/>
        </w:rPr>
        <w:t xml:space="preserve"> (</w:t>
      </w:r>
      <w:r w:rsidR="00F8585B" w:rsidRPr="00F8585B">
        <w:rPr>
          <w:sz w:val="24"/>
          <w:szCs w:val="24"/>
          <w:lang w:val="lt-LT"/>
        </w:rPr>
        <w:t>S</w:t>
      </w:r>
      <w:r w:rsidR="00B03D45" w:rsidRPr="00F8585B">
        <w:rPr>
          <w:sz w:val="24"/>
          <w:szCs w:val="24"/>
          <w:lang w:val="lt-LT"/>
        </w:rPr>
        <w:t>utarties 3 priedas)</w:t>
      </w:r>
      <w:r w:rsidR="0018460B" w:rsidRPr="00F8585B">
        <w:rPr>
          <w:sz w:val="24"/>
          <w:szCs w:val="24"/>
          <w:lang w:val="lt-LT"/>
        </w:rPr>
        <w:t>,</w:t>
      </w:r>
      <w:r w:rsidR="00DE1A66" w:rsidRPr="00F8585B">
        <w:rPr>
          <w:sz w:val="24"/>
          <w:szCs w:val="24"/>
          <w:lang w:val="lt-LT"/>
        </w:rPr>
        <w:t xml:space="preserve"> </w:t>
      </w:r>
      <w:r w:rsidR="0018460B" w:rsidRPr="00F8585B">
        <w:rPr>
          <w:sz w:val="24"/>
          <w:szCs w:val="24"/>
          <w:lang w:val="lt-LT"/>
        </w:rPr>
        <w:t>ir</w:t>
      </w:r>
      <w:r w:rsidRPr="00F8585B">
        <w:rPr>
          <w:sz w:val="24"/>
          <w:szCs w:val="24"/>
          <w:lang w:val="lt-LT"/>
        </w:rPr>
        <w:t xml:space="preserve"> ištaisyti po </w:t>
      </w:r>
      <w:r w:rsidR="007C30DE" w:rsidRPr="00F8585B">
        <w:rPr>
          <w:sz w:val="24"/>
          <w:szCs w:val="24"/>
          <w:lang w:val="lt-LT"/>
        </w:rPr>
        <w:t>d</w:t>
      </w:r>
      <w:r w:rsidRPr="00F8585B">
        <w:rPr>
          <w:sz w:val="24"/>
          <w:szCs w:val="24"/>
          <w:lang w:val="lt-LT"/>
        </w:rPr>
        <w:t xml:space="preserve">arbų atlikimo termino nustatytus defektus, o Užsakovas įsipareigoja sudaryti Rangovui būtinas sąlygas darbams atlikti, Sutartyje nustatyta tvarka priimti tinkamai atliktų </w:t>
      </w:r>
      <w:r w:rsidR="007C30DE" w:rsidRPr="00F8585B">
        <w:rPr>
          <w:sz w:val="24"/>
          <w:szCs w:val="24"/>
          <w:lang w:val="lt-LT"/>
        </w:rPr>
        <w:t>d</w:t>
      </w:r>
      <w:r w:rsidRPr="00F8585B">
        <w:rPr>
          <w:sz w:val="24"/>
          <w:szCs w:val="24"/>
          <w:lang w:val="lt-LT"/>
        </w:rPr>
        <w:t xml:space="preserve">arbų rezultatą ir sumokėti Rangovui sutarties kainą sutartyje nustatytomis sąlygomis ir tvarka. </w:t>
      </w:r>
    </w:p>
    <w:p w14:paraId="4D2F351D" w14:textId="6F188176" w:rsidR="00F41B57" w:rsidRPr="00F8585B" w:rsidRDefault="00F41B57"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Darbai</w:t>
      </w:r>
      <w:r w:rsidR="000F40C1" w:rsidRPr="00F8585B">
        <w:rPr>
          <w:sz w:val="24"/>
          <w:szCs w:val="24"/>
          <w:lang w:val="lt-LT"/>
        </w:rPr>
        <w:t xml:space="preserve"> turi būti</w:t>
      </w:r>
      <w:r w:rsidRPr="00F8585B">
        <w:rPr>
          <w:sz w:val="24"/>
          <w:szCs w:val="24"/>
          <w:lang w:val="lt-LT"/>
        </w:rPr>
        <w:t xml:space="preserve"> vykdomi pagal </w:t>
      </w:r>
      <w:r w:rsidR="00FA0B74" w:rsidRPr="00DB065E">
        <w:rPr>
          <w:sz w:val="24"/>
          <w:szCs w:val="24"/>
        </w:rPr>
        <w:t xml:space="preserve">UAB „Vakarų inžinerija“ parengtą </w:t>
      </w:r>
      <w:r w:rsidR="00FA0B74" w:rsidRPr="00DB065E">
        <w:rPr>
          <w:rFonts w:eastAsia="TimesNewRomanPSMT"/>
          <w:sz w:val="24"/>
          <w:szCs w:val="24"/>
        </w:rPr>
        <w:t>Šilutės r. sav., Vainuto sen., Vainuto mstl., Antano Baranausko gatvės</w:t>
      </w:r>
      <w:r w:rsidR="00FA0B74" w:rsidRPr="00DB065E">
        <w:rPr>
          <w:color w:val="000000" w:themeColor="text1"/>
          <w:sz w:val="24"/>
          <w:szCs w:val="24"/>
        </w:rPr>
        <w:t xml:space="preserve"> </w:t>
      </w:r>
      <w:r w:rsidR="00FA0B74" w:rsidRPr="00DB065E">
        <w:rPr>
          <w:rFonts w:eastAsia="TimesNewRomanPSMT"/>
          <w:sz w:val="24"/>
          <w:szCs w:val="24"/>
        </w:rPr>
        <w:t>pėsčiųjų tako paprastojo remonto apraš</w:t>
      </w:r>
      <w:r w:rsidR="00FA0B74">
        <w:rPr>
          <w:rFonts w:eastAsia="TimesNewRomanPSMT"/>
          <w:sz w:val="24"/>
          <w:szCs w:val="24"/>
        </w:rPr>
        <w:t>ą</w:t>
      </w:r>
      <w:r w:rsidR="00FA0B74" w:rsidRPr="00DB065E">
        <w:rPr>
          <w:sz w:val="24"/>
          <w:szCs w:val="24"/>
        </w:rPr>
        <w:t xml:space="preserve">, Nr. </w:t>
      </w:r>
      <w:r w:rsidR="00FA0B74">
        <w:rPr>
          <w:sz w:val="24"/>
          <w:szCs w:val="24"/>
        </w:rPr>
        <w:t>VINZ-23-297-PRA</w:t>
      </w:r>
      <w:r w:rsidR="00FA0B74" w:rsidRPr="00F8585B">
        <w:rPr>
          <w:sz w:val="24"/>
          <w:szCs w:val="24"/>
        </w:rPr>
        <w:t xml:space="preserve"> </w:t>
      </w:r>
      <w:r w:rsidR="0011307D" w:rsidRPr="00F8585B">
        <w:rPr>
          <w:sz w:val="24"/>
          <w:szCs w:val="24"/>
        </w:rPr>
        <w:t>(</w:t>
      </w:r>
      <w:r w:rsidR="00F8585B" w:rsidRPr="00F8585B">
        <w:rPr>
          <w:sz w:val="24"/>
          <w:szCs w:val="24"/>
        </w:rPr>
        <w:t>S</w:t>
      </w:r>
      <w:r w:rsidR="0011307D" w:rsidRPr="00F8585B">
        <w:rPr>
          <w:sz w:val="24"/>
          <w:szCs w:val="24"/>
        </w:rPr>
        <w:t xml:space="preserve">utarties </w:t>
      </w:r>
      <w:r w:rsidR="00B03D45" w:rsidRPr="00F8585B">
        <w:rPr>
          <w:sz w:val="24"/>
          <w:szCs w:val="24"/>
        </w:rPr>
        <w:t>3</w:t>
      </w:r>
      <w:r w:rsidR="0011307D" w:rsidRPr="00F8585B">
        <w:rPr>
          <w:sz w:val="24"/>
          <w:szCs w:val="24"/>
        </w:rPr>
        <w:t xml:space="preserve"> priedas)</w:t>
      </w:r>
      <w:r w:rsidRPr="00F8585B">
        <w:rPr>
          <w:sz w:val="24"/>
          <w:szCs w:val="24"/>
        </w:rPr>
        <w:t xml:space="preserve">. </w:t>
      </w:r>
    </w:p>
    <w:p w14:paraId="47E45A51" w14:textId="35008327" w:rsidR="00A57818" w:rsidRPr="00F8585B" w:rsidRDefault="00F41B57" w:rsidP="00A57818">
      <w:pPr>
        <w:ind w:firstLine="720"/>
        <w:jc w:val="both"/>
      </w:pPr>
      <w:r w:rsidRPr="00F8585B">
        <w:t xml:space="preserve">1.3. </w:t>
      </w:r>
      <w:r w:rsidR="003172A1" w:rsidRPr="00F8585B">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F8585B">
        <w:t>.</w:t>
      </w:r>
    </w:p>
    <w:p w14:paraId="72C79C74" w14:textId="6E2E93C4" w:rsidR="00A57818" w:rsidRPr="009148E5" w:rsidRDefault="003172A1" w:rsidP="004679FB">
      <w:pPr>
        <w:tabs>
          <w:tab w:val="left" w:pos="1134"/>
          <w:tab w:val="left" w:pos="1276"/>
        </w:tabs>
        <w:ind w:firstLine="720"/>
        <w:jc w:val="both"/>
      </w:pPr>
      <w:r w:rsidRPr="00F8585B">
        <w:t>1.</w:t>
      </w:r>
      <w:r w:rsidR="00F41B57" w:rsidRPr="00F8585B">
        <w:t>4</w:t>
      </w:r>
      <w:r w:rsidRPr="00F8585B">
        <w:t>. Šiame punkte pateikiami Sutartį sudarantys</w:t>
      </w:r>
      <w:r w:rsidRPr="009148E5">
        <w:t xml:space="preserve"> dokumentai, kurie turi būti suprantami kaip paaiškinantys vienas kitą. Tuo tikslu nustatomas toks dokumentų pirmumas:</w:t>
      </w:r>
    </w:p>
    <w:p w14:paraId="36B17393" w14:textId="50E50CE1" w:rsidR="002C181E" w:rsidRPr="009148E5" w:rsidRDefault="00333BA3" w:rsidP="00A57818">
      <w:pPr>
        <w:ind w:firstLine="720"/>
        <w:jc w:val="both"/>
      </w:pPr>
      <w:r w:rsidRPr="009148E5">
        <w:t>1.</w:t>
      </w:r>
      <w:r w:rsidR="00F41B57" w:rsidRPr="009148E5">
        <w:t>4</w:t>
      </w:r>
      <w:r w:rsidRPr="009148E5">
        <w:t>.1. šios Sutarties sąlygos;</w:t>
      </w:r>
    </w:p>
    <w:p w14:paraId="7D6AB11B" w14:textId="1B0799AB" w:rsidR="00562967" w:rsidRPr="00FA0B74" w:rsidRDefault="00B03EDC" w:rsidP="00FA0B74">
      <w:pPr>
        <w:ind w:firstLine="709"/>
        <w:jc w:val="both"/>
      </w:pPr>
      <w:r w:rsidRPr="009148E5">
        <w:t>1.</w:t>
      </w:r>
      <w:r w:rsidR="00F41B57" w:rsidRPr="009148E5">
        <w:t>4</w:t>
      </w:r>
      <w:r w:rsidRPr="00FA0B74">
        <w:t>.2</w:t>
      </w:r>
      <w:r w:rsidR="002C181E" w:rsidRPr="00FA0B74">
        <w:t>.</w:t>
      </w:r>
      <w:r w:rsidR="0004209E" w:rsidRPr="00FA0B74">
        <w:t xml:space="preserve"> </w:t>
      </w:r>
      <w:bookmarkStart w:id="0" w:name="_Hlk161652787"/>
      <w:r w:rsidR="007C30DE" w:rsidRPr="00FA0B74">
        <w:t>t</w:t>
      </w:r>
      <w:r w:rsidR="00562967" w:rsidRPr="00FA0B74">
        <w:t>echninė specifikacija;</w:t>
      </w:r>
    </w:p>
    <w:p w14:paraId="229B7CA7" w14:textId="7A658B35" w:rsidR="00951FE5" w:rsidRPr="00FA0B74" w:rsidRDefault="00562967" w:rsidP="00FA0B74">
      <w:pPr>
        <w:ind w:firstLine="709"/>
        <w:jc w:val="both"/>
      </w:pPr>
      <w:r w:rsidRPr="00FA0B74">
        <w:t>1.</w:t>
      </w:r>
      <w:r w:rsidR="00F41B57" w:rsidRPr="00FA0B74">
        <w:t>4</w:t>
      </w:r>
      <w:r w:rsidRPr="00FA0B74">
        <w:t xml:space="preserve">.3. </w:t>
      </w:r>
      <w:bookmarkEnd w:id="0"/>
      <w:r w:rsidR="00F8585B" w:rsidRPr="00FA0B74">
        <w:t>įkainot</w:t>
      </w:r>
      <w:r w:rsidR="00FA0B74" w:rsidRPr="00FA0B74">
        <w:t>i darbų kiekių žiniaraščiai</w:t>
      </w:r>
      <w:r w:rsidR="00951FE5" w:rsidRPr="00FA0B74">
        <w:t>;</w:t>
      </w:r>
    </w:p>
    <w:p w14:paraId="5515258F" w14:textId="67A5FE68" w:rsidR="002C181E" w:rsidRPr="00FA0B74" w:rsidRDefault="00951FE5" w:rsidP="00FA0B74">
      <w:pPr>
        <w:ind w:firstLine="709"/>
        <w:jc w:val="both"/>
      </w:pPr>
      <w:r w:rsidRPr="00FA0B74">
        <w:t xml:space="preserve">1.4.4. </w:t>
      </w:r>
      <w:r w:rsidR="00FA0B74" w:rsidRPr="00FA0B74">
        <w:t>paprastojo remonto aprašas</w:t>
      </w:r>
      <w:r w:rsidR="002C181E" w:rsidRPr="00FA0B74">
        <w:t>;</w:t>
      </w:r>
    </w:p>
    <w:p w14:paraId="24419F93" w14:textId="4FAF5402" w:rsidR="003172A1" w:rsidRPr="00FA0B74" w:rsidRDefault="002F3517" w:rsidP="00FA0B74">
      <w:pPr>
        <w:ind w:firstLine="709"/>
        <w:jc w:val="both"/>
      </w:pPr>
      <w:r w:rsidRPr="00FA0B74">
        <w:t>1.</w:t>
      </w:r>
      <w:r w:rsidR="00F41B57" w:rsidRPr="00FA0B74">
        <w:t>4</w:t>
      </w:r>
      <w:r w:rsidRPr="00FA0B74">
        <w:t>.</w:t>
      </w:r>
      <w:r w:rsidR="00951FE5" w:rsidRPr="00FA0B74">
        <w:t>5</w:t>
      </w:r>
      <w:r w:rsidRPr="00FA0B74">
        <w:t>.</w:t>
      </w:r>
      <w:r w:rsidR="003172A1" w:rsidRPr="00FA0B74">
        <w:t xml:space="preserve"> </w:t>
      </w:r>
      <w:r w:rsidR="00E20F56" w:rsidRPr="00FA0B74">
        <w:t>Rangovo pasiūlymas</w:t>
      </w:r>
      <w:r w:rsidR="00951FE5" w:rsidRPr="00FA0B74">
        <w:t>.</w:t>
      </w:r>
    </w:p>
    <w:p w14:paraId="04939DA7" w14:textId="030E4B74" w:rsidR="003172A1" w:rsidRPr="00FA0B74" w:rsidRDefault="003172A1" w:rsidP="00FA0B74">
      <w:pPr>
        <w:pStyle w:val="Betarp"/>
        <w:tabs>
          <w:tab w:val="left" w:pos="1134"/>
        </w:tabs>
        <w:ind w:left="709" w:firstLine="0"/>
        <w:contextualSpacing/>
        <w:rPr>
          <w:rFonts w:ascii="Times New Roman" w:hAnsi="Times New Roman" w:cs="Times New Roman"/>
          <w:color w:val="000000" w:themeColor="text1"/>
          <w:sz w:val="24"/>
          <w:szCs w:val="24"/>
        </w:rPr>
      </w:pPr>
      <w:r w:rsidRPr="00FA0B74">
        <w:rPr>
          <w:rFonts w:ascii="Times New Roman" w:hAnsi="Times New Roman" w:cs="Times New Roman"/>
          <w:sz w:val="24"/>
          <w:szCs w:val="24"/>
        </w:rPr>
        <w:t>1.</w:t>
      </w:r>
      <w:r w:rsidR="00F41B57" w:rsidRPr="00FA0B74">
        <w:rPr>
          <w:rFonts w:ascii="Times New Roman" w:hAnsi="Times New Roman" w:cs="Times New Roman"/>
          <w:sz w:val="24"/>
          <w:szCs w:val="24"/>
        </w:rPr>
        <w:t>5</w:t>
      </w:r>
      <w:r w:rsidRPr="00FA0B74">
        <w:rPr>
          <w:rFonts w:ascii="Times New Roman" w:hAnsi="Times New Roman" w:cs="Times New Roman"/>
          <w:sz w:val="24"/>
          <w:szCs w:val="24"/>
        </w:rPr>
        <w:t>.</w:t>
      </w:r>
      <w:r w:rsidR="004679FB" w:rsidRPr="00FA0B74">
        <w:rPr>
          <w:rFonts w:ascii="Times New Roman" w:hAnsi="Times New Roman" w:cs="Times New Roman"/>
          <w:bCs/>
          <w:iCs/>
          <w:sz w:val="24"/>
          <w:szCs w:val="24"/>
        </w:rPr>
        <w:t xml:space="preserve"> </w:t>
      </w:r>
      <w:r w:rsidR="00D93746" w:rsidRPr="00FA0B74">
        <w:rPr>
          <w:rFonts w:ascii="Times New Roman" w:hAnsi="Times New Roman" w:cs="Times New Roman"/>
          <w:sz w:val="24"/>
          <w:szCs w:val="24"/>
        </w:rPr>
        <w:t xml:space="preserve">Darbų atlikimo vieta – </w:t>
      </w:r>
      <w:r w:rsidR="00FA0B74" w:rsidRPr="00FA0B74">
        <w:rPr>
          <w:rFonts w:ascii="Times New Roman" w:eastAsia="TimesNewRomanPSMT" w:hAnsi="Times New Roman" w:cs="Times New Roman"/>
          <w:sz w:val="24"/>
          <w:szCs w:val="24"/>
        </w:rPr>
        <w:t>Antano Baranausko g., Vainuto mstl., Vainuto sen., Šilutės r. sav.</w:t>
      </w:r>
    </w:p>
    <w:p w14:paraId="3F9A8B70" w14:textId="55D6CBE2" w:rsidR="00AF5C1F" w:rsidRPr="009148E5" w:rsidRDefault="003172A1" w:rsidP="00FA0B74">
      <w:pPr>
        <w:keepNext/>
        <w:keepLines/>
        <w:tabs>
          <w:tab w:val="left" w:pos="1418"/>
        </w:tabs>
        <w:ind w:firstLine="720"/>
        <w:jc w:val="both"/>
        <w:rPr>
          <w:iCs/>
        </w:rPr>
      </w:pPr>
      <w:r w:rsidRPr="00FA0B74">
        <w:rPr>
          <w:rFonts w:eastAsia="Calibri"/>
          <w:lang w:eastAsia="en-US"/>
        </w:rPr>
        <w:t>1.</w:t>
      </w:r>
      <w:r w:rsidR="00F41B57" w:rsidRPr="00FA0B74">
        <w:rPr>
          <w:rFonts w:eastAsia="Calibri"/>
          <w:lang w:eastAsia="en-US"/>
        </w:rPr>
        <w:t>6</w:t>
      </w:r>
      <w:r w:rsidRPr="00FA0B74">
        <w:rPr>
          <w:rFonts w:eastAsia="Calibri"/>
          <w:lang w:eastAsia="en-US"/>
        </w:rPr>
        <w:t>. Finansavimo šaltinis –</w:t>
      </w:r>
      <w:r w:rsidR="00A83029" w:rsidRPr="00FA0B74">
        <w:rPr>
          <w:rFonts w:eastAsia="Calibri"/>
          <w:lang w:eastAsia="en-US"/>
        </w:rPr>
        <w:t xml:space="preserve"> </w:t>
      </w:r>
      <w:r w:rsidR="00F8585B" w:rsidRPr="00FA0B74">
        <w:rPr>
          <w:iCs/>
        </w:rPr>
        <w:t xml:space="preserve">Šilutės rajono savivaldybės biudžeto </w:t>
      </w:r>
      <w:r w:rsidR="003B2520">
        <w:rPr>
          <w:iCs/>
        </w:rPr>
        <w:t xml:space="preserve">ir Kelių priežiūros ir plėtros programos </w:t>
      </w:r>
      <w:r w:rsidR="00F8585B" w:rsidRPr="00FA0B74">
        <w:rPr>
          <w:iCs/>
        </w:rPr>
        <w:t>lėšos</w:t>
      </w:r>
      <w:r w:rsidR="00F8585B" w:rsidRPr="00132EED">
        <w:t>.</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79D12946"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w:t>
      </w:r>
      <w:r w:rsidRPr="009148E5">
        <w:lastRenderedPageBreak/>
        <w:t>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45D79634" w:rsidR="00655355" w:rsidRPr="009148E5" w:rsidRDefault="00655355" w:rsidP="00655355">
      <w:pPr>
        <w:tabs>
          <w:tab w:val="left" w:pos="1418"/>
        </w:tabs>
        <w:ind w:firstLine="709"/>
        <w:jc w:val="both"/>
      </w:pPr>
      <w:r w:rsidRPr="009148E5">
        <w:t>2.1.4.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procentų, skaičiuojant nuo pradinės 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0ACBFA46"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F8585B">
        <w:rPr>
          <w:rFonts w:cs="Times New Roman"/>
          <w:b/>
          <w:bCs/>
          <w:sz w:val="24"/>
          <w:szCs w:val="24"/>
          <w:lang w:val="lt-LT"/>
        </w:rPr>
        <w:t>3</w:t>
      </w:r>
      <w:r w:rsidRPr="009148E5">
        <w:rPr>
          <w:rFonts w:cs="Times New Roman"/>
          <w:b/>
          <w:bCs/>
          <w:sz w:val="24"/>
          <w:szCs w:val="24"/>
          <w:lang w:val="lt-LT"/>
        </w:rPr>
        <w:t xml:space="preserve"> </w:t>
      </w:r>
      <w:r w:rsidR="00A45FF2" w:rsidRPr="009148E5">
        <w:rPr>
          <w:rFonts w:cs="Times New Roman"/>
          <w:b/>
          <w:bCs/>
          <w:sz w:val="24"/>
          <w:szCs w:val="24"/>
          <w:lang w:val="lt-LT"/>
        </w:rPr>
        <w:t>(</w:t>
      </w:r>
      <w:r w:rsidR="00F8585B">
        <w:rPr>
          <w:rFonts w:cs="Times New Roman"/>
          <w:b/>
          <w:bCs/>
          <w:sz w:val="24"/>
          <w:szCs w:val="24"/>
          <w:lang w:val="lt-LT"/>
        </w:rPr>
        <w:t>trys</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w:t>
      </w:r>
      <w:r w:rsidR="00FA0B74">
        <w:rPr>
          <w:rFonts w:cs="Times New Roman"/>
          <w:sz w:val="24"/>
          <w:szCs w:val="24"/>
          <w:lang w:val="lt-LT"/>
        </w:rPr>
        <w:t>pasirašymo</w:t>
      </w:r>
      <w:r w:rsidRPr="009148E5">
        <w:rPr>
          <w:rFonts w:cs="Times New Roman"/>
          <w:sz w:val="24"/>
          <w:szCs w:val="24"/>
          <w:lang w:val="lt-LT"/>
        </w:rPr>
        <w:t xml:space="preserve">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lastRenderedPageBreak/>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lastRenderedPageBreak/>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Pr="009148E5"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lastRenderedPageBreak/>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2E148F52"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FA0B74">
        <w:t>3</w:t>
      </w:r>
      <w:r w:rsidR="003172A1" w:rsidRPr="009148E5">
        <w:t>0 (</w:t>
      </w:r>
      <w:r w:rsidR="00FA0B74">
        <w:t>tris</w:t>
      </w:r>
      <w:r w:rsidR="003172A1" w:rsidRPr="009148E5">
        <w:t xml:space="preserve">dešimt)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3AC594F2"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FA0B74">
        <w:rPr>
          <w:sz w:val="24"/>
          <w:szCs w:val="24"/>
          <w:lang w:val="lt-LT"/>
        </w:rPr>
        <w:t>5</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357DDD3E"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FA0B74">
        <w:rPr>
          <w:sz w:val="24"/>
          <w:szCs w:val="24"/>
          <w:lang w:val="lt-LT"/>
        </w:rPr>
        <w:t>5</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647726C6"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FA0B74">
        <w:t>1 (vieną) mėnesį</w:t>
      </w:r>
      <w:r w:rsidR="001A0D95" w:rsidRPr="009148E5">
        <w:t>,</w:t>
      </w:r>
      <w:r w:rsidR="00A57818" w:rsidRPr="009148E5">
        <w:t xml:space="preserve"> </w:t>
      </w:r>
      <w:r w:rsidR="00FA0B74">
        <w:t>bus</w:t>
      </w:r>
      <w:r w:rsidR="00A57818" w:rsidRPr="009148E5">
        <w:t xml:space="preserve"> taikoma </w:t>
      </w:r>
      <w:r w:rsidR="00FA0B74">
        <w:t>5</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lastRenderedPageBreak/>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3C78519D" w:rsidR="00212478" w:rsidRPr="009148E5" w:rsidRDefault="00FA0B74" w:rsidP="006741B9">
            <w:pPr>
              <w:jc w:val="both"/>
              <w:rPr>
                <w:lang w:eastAsia="en-US"/>
              </w:rPr>
            </w:pPr>
            <w:r>
              <w:rPr>
                <w:lang w:eastAsia="en-US"/>
              </w:rPr>
              <w:t>Mindaugas Oželis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9148E5" w:rsidRDefault="00212478" w:rsidP="00212478">
            <w:pPr>
              <w:spacing w:line="256" w:lineRule="auto"/>
              <w:jc w:val="both"/>
              <w:rPr>
                <w:lang w:eastAsia="en-US"/>
              </w:rPr>
            </w:pPr>
            <w:r w:rsidRPr="009148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7DD8F38A" w:rsidR="00212478" w:rsidRPr="009148E5" w:rsidRDefault="006741B9" w:rsidP="00212478">
            <w:pPr>
              <w:spacing w:line="256" w:lineRule="auto"/>
              <w:jc w:val="both"/>
              <w:rPr>
                <w:lang w:eastAsia="en-US"/>
              </w:rPr>
            </w:pPr>
            <w:r w:rsidRPr="009148E5">
              <w:rPr>
                <w:lang w:eastAsia="en-US"/>
              </w:rPr>
              <w:t>+370</w:t>
            </w:r>
            <w:r w:rsidR="00F8585B">
              <w:rPr>
                <w:lang w:eastAsia="en-US"/>
              </w:rPr>
              <w:t> 441  79 234</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30D5BA9A" w:rsidR="00212478" w:rsidRPr="009148E5" w:rsidRDefault="00FA0B74" w:rsidP="00212478">
            <w:pPr>
              <w:spacing w:line="256" w:lineRule="auto"/>
              <w:jc w:val="both"/>
              <w:rPr>
                <w:u w:val="single"/>
                <w:lang w:eastAsia="en-US"/>
              </w:rPr>
            </w:pPr>
            <w:hyperlink r:id="rId9" w:history="1">
              <w:r w:rsidRPr="00332C91">
                <w:rPr>
                  <w:rStyle w:val="Hipersaitas"/>
                </w:rPr>
                <w:t>mindaugas.ozelis</w:t>
              </w:r>
              <w:r w:rsidRPr="00332C91">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 xml:space="preserve">kai Užsakovas nevykdo ar netinkamai vykdo savo sutartinius įsipareigojimus ir toks nevykdymas ar netinkamas </w:t>
      </w:r>
      <w:r w:rsidR="003172A1" w:rsidRPr="009148E5">
        <w:lastRenderedPageBreak/>
        <w:t>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lastRenderedPageBreak/>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297D74DD"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w:t>
      </w:r>
      <w:r w:rsidR="00FA0B74">
        <w:t>i darbų kiekių žiniaraščiai;</w:t>
      </w:r>
    </w:p>
    <w:p w14:paraId="2C804F14" w14:textId="679F6D2E" w:rsidR="00951FE5" w:rsidRPr="009148E5" w:rsidRDefault="00951FE5" w:rsidP="005C22F4">
      <w:pPr>
        <w:suppressAutoHyphens/>
        <w:ind w:firstLine="709"/>
        <w:jc w:val="both"/>
      </w:pPr>
      <w:r w:rsidRPr="009148E5">
        <w:t xml:space="preserve">12.4.3. 3 priedas – </w:t>
      </w:r>
      <w:r w:rsidR="00FA0B74">
        <w:t>Paprastojo remonto aprašas</w:t>
      </w:r>
      <w:r w:rsidRPr="009148E5">
        <w:t>;</w:t>
      </w:r>
    </w:p>
    <w:p w14:paraId="7B5F680E" w14:textId="418DE048" w:rsidR="006741B9" w:rsidRPr="009148E5" w:rsidRDefault="00B93901" w:rsidP="005C22F4">
      <w:pPr>
        <w:suppressAutoHyphens/>
        <w:ind w:firstLine="709"/>
        <w:jc w:val="both"/>
      </w:pPr>
      <w:r w:rsidRPr="009148E5">
        <w:t>12.4.</w:t>
      </w:r>
      <w:r w:rsidR="00951FE5" w:rsidRPr="009148E5">
        <w:t>4</w:t>
      </w:r>
      <w:r w:rsidRPr="009148E5">
        <w:t>.</w:t>
      </w:r>
      <w:r w:rsidR="00562967" w:rsidRPr="009148E5">
        <w:t xml:space="preserve"> </w:t>
      </w:r>
      <w:r w:rsidR="00951FE5" w:rsidRPr="009148E5">
        <w:t>4</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37F0FB8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w:t>
      </w:r>
      <w:r w:rsidR="00FA0B74">
        <w:rPr>
          <w:rFonts w:eastAsia="Arial Unicode MS"/>
          <w:b/>
          <w:color w:val="000000"/>
          <w:bdr w:val="nil"/>
          <w:lang w:eastAsia="en-GB"/>
        </w:rPr>
        <w:t>I DARBŲ KIEKIŲ ŽINIARAŠČIAI</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28AEFFC4" w14:textId="540C2AAF" w:rsidR="00F8585B" w:rsidRPr="009148E5" w:rsidRDefault="00FA0B74" w:rsidP="00F8585B">
      <w:pPr>
        <w:autoSpaceDE w:val="0"/>
        <w:autoSpaceDN w:val="0"/>
        <w:adjustRightInd w:val="0"/>
        <w:jc w:val="center"/>
        <w:rPr>
          <w:b/>
          <w:bCs/>
        </w:rPr>
      </w:pPr>
      <w:r>
        <w:rPr>
          <w:b/>
          <w:bCs/>
        </w:rPr>
        <w:t>PAPRASTOJO REMONTO APRAŠAS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84DF" w14:textId="77777777" w:rsidR="005F2892" w:rsidRDefault="005F2892">
      <w:r>
        <w:separator/>
      </w:r>
    </w:p>
  </w:endnote>
  <w:endnote w:type="continuationSeparator" w:id="0">
    <w:p w14:paraId="3C5C5FEB" w14:textId="77777777" w:rsidR="005F2892" w:rsidRDefault="005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17D0" w14:textId="77777777" w:rsidR="005F2892" w:rsidRDefault="005F2892">
      <w:r>
        <w:separator/>
      </w:r>
    </w:p>
  </w:footnote>
  <w:footnote w:type="continuationSeparator" w:id="0">
    <w:p w14:paraId="4E36817A" w14:textId="77777777" w:rsidR="005F2892" w:rsidRDefault="005F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E3D96"/>
    <w:rsid w:val="00212478"/>
    <w:rsid w:val="00221C9B"/>
    <w:rsid w:val="0025598B"/>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A2863"/>
    <w:rsid w:val="003A62A3"/>
    <w:rsid w:val="003A62C5"/>
    <w:rsid w:val="003B2520"/>
    <w:rsid w:val="003C391F"/>
    <w:rsid w:val="003C418D"/>
    <w:rsid w:val="003E2363"/>
    <w:rsid w:val="003F74F9"/>
    <w:rsid w:val="00401BDE"/>
    <w:rsid w:val="0040471A"/>
    <w:rsid w:val="00406DF1"/>
    <w:rsid w:val="00422583"/>
    <w:rsid w:val="00422FF7"/>
    <w:rsid w:val="00446B2F"/>
    <w:rsid w:val="004636BC"/>
    <w:rsid w:val="004679FB"/>
    <w:rsid w:val="0048008B"/>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A4046"/>
    <w:rsid w:val="005B0C7B"/>
    <w:rsid w:val="005C12D7"/>
    <w:rsid w:val="005C22F4"/>
    <w:rsid w:val="005C7818"/>
    <w:rsid w:val="005D2BCC"/>
    <w:rsid w:val="005F2892"/>
    <w:rsid w:val="00604B44"/>
    <w:rsid w:val="00625879"/>
    <w:rsid w:val="00644A44"/>
    <w:rsid w:val="00644B9A"/>
    <w:rsid w:val="00655355"/>
    <w:rsid w:val="006602C0"/>
    <w:rsid w:val="0066095F"/>
    <w:rsid w:val="00673188"/>
    <w:rsid w:val="006741B9"/>
    <w:rsid w:val="006B2CE3"/>
    <w:rsid w:val="006E1682"/>
    <w:rsid w:val="006E7352"/>
    <w:rsid w:val="006F0B36"/>
    <w:rsid w:val="006F15DE"/>
    <w:rsid w:val="00701B12"/>
    <w:rsid w:val="007356D5"/>
    <w:rsid w:val="00743C20"/>
    <w:rsid w:val="007542BF"/>
    <w:rsid w:val="00757715"/>
    <w:rsid w:val="00757D4E"/>
    <w:rsid w:val="0076154F"/>
    <w:rsid w:val="00762A74"/>
    <w:rsid w:val="0077093F"/>
    <w:rsid w:val="00796C8C"/>
    <w:rsid w:val="007B5CD4"/>
    <w:rsid w:val="007C30DE"/>
    <w:rsid w:val="0082233E"/>
    <w:rsid w:val="00822FDE"/>
    <w:rsid w:val="00830E27"/>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5CDC"/>
    <w:rsid w:val="00906D5B"/>
    <w:rsid w:val="00910831"/>
    <w:rsid w:val="009148E5"/>
    <w:rsid w:val="00951FE5"/>
    <w:rsid w:val="009B1FCD"/>
    <w:rsid w:val="009D7012"/>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53E12"/>
    <w:rsid w:val="00C6572A"/>
    <w:rsid w:val="00C84690"/>
    <w:rsid w:val="00CA3F57"/>
    <w:rsid w:val="00CB1F3D"/>
    <w:rsid w:val="00CB296D"/>
    <w:rsid w:val="00D01F2E"/>
    <w:rsid w:val="00D02840"/>
    <w:rsid w:val="00D11878"/>
    <w:rsid w:val="00D12B30"/>
    <w:rsid w:val="00D30D62"/>
    <w:rsid w:val="00D3209E"/>
    <w:rsid w:val="00D4129A"/>
    <w:rsid w:val="00D41480"/>
    <w:rsid w:val="00D87426"/>
    <w:rsid w:val="00D93746"/>
    <w:rsid w:val="00DD1A58"/>
    <w:rsid w:val="00DE1A66"/>
    <w:rsid w:val="00E029B0"/>
    <w:rsid w:val="00E05023"/>
    <w:rsid w:val="00E10292"/>
    <w:rsid w:val="00E15B25"/>
    <w:rsid w:val="00E16C6E"/>
    <w:rsid w:val="00E20F56"/>
    <w:rsid w:val="00E33EE8"/>
    <w:rsid w:val="00E5314B"/>
    <w:rsid w:val="00E71FB0"/>
    <w:rsid w:val="00E803C8"/>
    <w:rsid w:val="00EA20C0"/>
    <w:rsid w:val="00EE667A"/>
    <w:rsid w:val="00EF55C1"/>
    <w:rsid w:val="00F14BFA"/>
    <w:rsid w:val="00F20DEC"/>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0B74"/>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mindaugas.ozel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17012</Words>
  <Characters>9697</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Limbienė</cp:lastModifiedBy>
  <cp:revision>3</cp:revision>
  <dcterms:created xsi:type="dcterms:W3CDTF">2025-04-01T07:35:00Z</dcterms:created>
  <dcterms:modified xsi:type="dcterms:W3CDTF">2025-04-01T08:34:00Z</dcterms:modified>
</cp:coreProperties>
</file>