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55AE0" w14:textId="77777777" w:rsidR="00346584" w:rsidRPr="004349BC" w:rsidRDefault="00346584" w:rsidP="00346584">
      <w:pPr>
        <w:spacing w:after="0" w:line="240" w:lineRule="auto"/>
        <w:ind w:right="-178" w:firstLine="7513"/>
        <w:rPr>
          <w:rFonts w:asciiTheme="majorBidi" w:hAnsiTheme="majorBidi" w:cstheme="majorBidi"/>
          <w:noProof/>
          <w:sz w:val="24"/>
          <w:szCs w:val="24"/>
          <w:lang w:val="en-GB"/>
        </w:rPr>
      </w:pPr>
      <w:bookmarkStart w:id="0" w:name="_gjdgxs"/>
      <w:bookmarkEnd w:id="0"/>
      <w:r w:rsidRPr="004349BC">
        <w:rPr>
          <w:rFonts w:asciiTheme="majorBidi" w:hAnsiTheme="majorBidi" w:cstheme="majorBidi"/>
          <w:noProof/>
          <w:sz w:val="24"/>
          <w:szCs w:val="24"/>
        </w:rPr>
        <w:t>Konkurso sąlygų</w:t>
      </w:r>
    </w:p>
    <w:p w14:paraId="2D0C236F" w14:textId="77777777" w:rsidR="00346584" w:rsidRPr="004349BC" w:rsidRDefault="00346584" w:rsidP="00346584">
      <w:pPr>
        <w:spacing w:after="0" w:line="240" w:lineRule="auto"/>
        <w:ind w:left="7513" w:right="-178"/>
        <w:rPr>
          <w:rFonts w:asciiTheme="majorBidi" w:hAnsiTheme="majorBidi" w:cstheme="majorBidi"/>
          <w:noProof/>
          <w:sz w:val="24"/>
          <w:szCs w:val="24"/>
        </w:rPr>
      </w:pPr>
      <w:r w:rsidRPr="004349BC">
        <w:rPr>
          <w:rFonts w:asciiTheme="majorBidi" w:hAnsiTheme="majorBidi" w:cstheme="majorBidi"/>
          <w:noProof/>
          <w:sz w:val="24"/>
          <w:szCs w:val="24"/>
        </w:rPr>
        <w:t>1 priedas</w:t>
      </w:r>
    </w:p>
    <w:p w14:paraId="308E8E9B" w14:textId="77777777" w:rsidR="00346584" w:rsidRPr="004349BC" w:rsidRDefault="00346584" w:rsidP="00346584">
      <w:pPr>
        <w:pStyle w:val="Header"/>
        <w:jc w:val="center"/>
        <w:rPr>
          <w:rFonts w:asciiTheme="majorBidi" w:hAnsiTheme="majorBidi" w:cstheme="majorBidi"/>
          <w:sz w:val="24"/>
          <w:szCs w:val="24"/>
        </w:rPr>
      </w:pPr>
    </w:p>
    <w:p w14:paraId="6C0D4E07" w14:textId="6801A5F3" w:rsidR="00381C70" w:rsidRPr="004349BC" w:rsidRDefault="00381C70" w:rsidP="00381C70">
      <w:pPr>
        <w:pStyle w:val="Header"/>
        <w:jc w:val="center"/>
        <w:rPr>
          <w:rFonts w:asciiTheme="majorBidi" w:hAnsiTheme="majorBidi" w:cstheme="majorBidi"/>
          <w:b/>
          <w:bCs/>
          <w:sz w:val="24"/>
          <w:szCs w:val="24"/>
        </w:rPr>
      </w:pPr>
      <w:r w:rsidRPr="004349BC">
        <w:rPr>
          <w:rFonts w:asciiTheme="majorBidi" w:hAnsiTheme="majorBidi" w:cstheme="majorBidi"/>
          <w:b/>
          <w:bCs/>
          <w:sz w:val="24"/>
          <w:szCs w:val="24"/>
        </w:rPr>
        <w:t xml:space="preserve">RADIACINĖS SAUGOS CENTRO GEOINFORMACINĖS PLATFORMOS (RSC GIP) VEIKLOS TĘSTINUMO UŽTIKRINIMO PRIEMONIŲ </w:t>
      </w:r>
    </w:p>
    <w:p w14:paraId="699A7C08" w14:textId="11DD2627" w:rsidR="0007662E" w:rsidRPr="004349BC" w:rsidRDefault="00381C70" w:rsidP="00381C70">
      <w:pPr>
        <w:pStyle w:val="Header"/>
        <w:jc w:val="center"/>
        <w:rPr>
          <w:rFonts w:asciiTheme="majorBidi" w:hAnsiTheme="majorBidi" w:cstheme="majorBidi"/>
          <w:b/>
          <w:bCs/>
          <w:sz w:val="24"/>
          <w:szCs w:val="24"/>
        </w:rPr>
      </w:pPr>
      <w:r w:rsidRPr="004349BC">
        <w:rPr>
          <w:rFonts w:asciiTheme="majorBidi" w:hAnsiTheme="majorBidi" w:cstheme="majorBidi"/>
          <w:b/>
          <w:bCs/>
          <w:sz w:val="24"/>
          <w:szCs w:val="24"/>
        </w:rPr>
        <w:t>TECHNINĖ SPECIFIKACIJA</w:t>
      </w:r>
    </w:p>
    <w:p w14:paraId="3FB3DDCB" w14:textId="77777777" w:rsidR="00381C70" w:rsidRPr="004349BC" w:rsidRDefault="00381C70" w:rsidP="00346584">
      <w:pPr>
        <w:spacing w:after="0" w:line="240" w:lineRule="auto"/>
        <w:jc w:val="center"/>
        <w:rPr>
          <w:rFonts w:asciiTheme="majorBidi" w:hAnsiTheme="majorBidi" w:cstheme="majorBidi"/>
          <w:sz w:val="24"/>
          <w:szCs w:val="24"/>
        </w:rPr>
      </w:pPr>
    </w:p>
    <w:p w14:paraId="0358FCAE" w14:textId="471C2C0A" w:rsidR="0007662E" w:rsidRPr="004349BC" w:rsidRDefault="0007662E" w:rsidP="0007662E">
      <w:pPr>
        <w:pStyle w:val="ListParagraph"/>
        <w:numPr>
          <w:ilvl w:val="0"/>
          <w:numId w:val="57"/>
        </w:numPr>
        <w:spacing w:after="0" w:line="240" w:lineRule="auto"/>
        <w:jc w:val="both"/>
        <w:rPr>
          <w:rFonts w:asciiTheme="majorBidi" w:hAnsiTheme="majorBidi" w:cstheme="majorBidi"/>
          <w:b/>
          <w:bCs/>
          <w:sz w:val="24"/>
          <w:szCs w:val="24"/>
        </w:rPr>
      </w:pPr>
      <w:r w:rsidRPr="004349BC">
        <w:rPr>
          <w:rFonts w:asciiTheme="majorBidi" w:hAnsiTheme="majorBidi" w:cstheme="majorBidi"/>
          <w:b/>
          <w:bCs/>
          <w:sz w:val="24"/>
          <w:szCs w:val="24"/>
        </w:rPr>
        <w:t>PIRKIMO OBJEKTAS IR BENDROSIOS NUOSTATOS</w:t>
      </w:r>
    </w:p>
    <w:p w14:paraId="2ACB74C7" w14:textId="77777777" w:rsidR="0007662E" w:rsidRPr="004349BC" w:rsidRDefault="0007662E" w:rsidP="0007662E">
      <w:pPr>
        <w:pStyle w:val="ListParagraph"/>
        <w:spacing w:after="0" w:line="240" w:lineRule="auto"/>
        <w:jc w:val="both"/>
        <w:rPr>
          <w:rFonts w:asciiTheme="majorBidi" w:hAnsiTheme="majorBidi" w:cstheme="majorBidi"/>
          <w:sz w:val="24"/>
          <w:szCs w:val="24"/>
        </w:rPr>
      </w:pPr>
    </w:p>
    <w:p w14:paraId="2C7DCF78" w14:textId="3CA6086E" w:rsidR="007072A5" w:rsidRPr="004349BC" w:rsidRDefault="00DC72DC" w:rsidP="00BA40D8">
      <w:pPr>
        <w:spacing w:after="0" w:line="240" w:lineRule="auto"/>
        <w:ind w:firstLine="851"/>
        <w:jc w:val="both"/>
        <w:rPr>
          <w:rFonts w:asciiTheme="majorBidi" w:hAnsiTheme="majorBidi" w:cstheme="majorBidi"/>
          <w:sz w:val="24"/>
          <w:szCs w:val="24"/>
        </w:rPr>
      </w:pPr>
      <w:r w:rsidRPr="004349BC">
        <w:rPr>
          <w:rFonts w:asciiTheme="majorBidi" w:hAnsiTheme="majorBidi" w:cstheme="majorBidi"/>
          <w:sz w:val="24"/>
          <w:szCs w:val="24"/>
        </w:rPr>
        <w:t xml:space="preserve">Radiacinės saugos centras (toliau – RSC) vykdydamas 2022–2030 metų Lietuvos Respublikos sveikatos apsaugos ministerijos sveikatos išsaugojimo ir stiprinimo plėtros programos pažangos priemonę Nr. 11-001-02-10-01 „Gerinti grėsmių bei rizikos sveikatai veiksnių valdymą“ </w:t>
      </w:r>
      <w:r w:rsidR="00CB2363" w:rsidRPr="004349BC">
        <w:rPr>
          <w:rFonts w:asciiTheme="majorBidi" w:hAnsiTheme="majorBidi" w:cstheme="majorBidi"/>
          <w:sz w:val="24"/>
          <w:szCs w:val="24"/>
        </w:rPr>
        <w:t xml:space="preserve">(toliau </w:t>
      </w:r>
      <w:r w:rsidR="00E5544A" w:rsidRPr="004349BC">
        <w:rPr>
          <w:rFonts w:asciiTheme="majorBidi" w:hAnsiTheme="majorBidi" w:cstheme="majorBidi"/>
          <w:sz w:val="24"/>
          <w:szCs w:val="24"/>
        </w:rPr>
        <w:t xml:space="preserve">– </w:t>
      </w:r>
      <w:r w:rsidR="00CB2363" w:rsidRPr="004349BC">
        <w:rPr>
          <w:rFonts w:asciiTheme="majorBidi" w:hAnsiTheme="majorBidi" w:cstheme="majorBidi"/>
          <w:sz w:val="24"/>
          <w:szCs w:val="24"/>
        </w:rPr>
        <w:t xml:space="preserve">LR SAM PP) </w:t>
      </w:r>
      <w:r w:rsidRPr="004349BC">
        <w:rPr>
          <w:rFonts w:asciiTheme="majorBidi" w:hAnsiTheme="majorBidi" w:cstheme="majorBidi"/>
          <w:sz w:val="24"/>
          <w:szCs w:val="24"/>
        </w:rPr>
        <w:t xml:space="preserve">įgyvendina projektus, kuriais išplėtė RSC naudojamus geoinformacinius įrankius į visapusišką geoerdvinių duomenų valdymo platformą (toliau </w:t>
      </w:r>
      <w:bookmarkStart w:id="1" w:name="_Hlk193796199"/>
      <w:r w:rsidRPr="004349BC">
        <w:rPr>
          <w:rFonts w:asciiTheme="majorBidi" w:hAnsiTheme="majorBidi" w:cstheme="majorBidi"/>
          <w:sz w:val="24"/>
          <w:szCs w:val="24"/>
        </w:rPr>
        <w:t>–</w:t>
      </w:r>
      <w:bookmarkEnd w:id="1"/>
      <w:r w:rsidRPr="004349BC">
        <w:rPr>
          <w:rFonts w:asciiTheme="majorBidi" w:hAnsiTheme="majorBidi" w:cstheme="majorBidi"/>
          <w:sz w:val="24"/>
          <w:szCs w:val="24"/>
        </w:rPr>
        <w:t xml:space="preserve"> RSC GIP), skirtą užtikrinti efektyvų informacijos struktūrizavimą, analizę ir panaudojimą radiologinių ar branduolinės avarijų valdymo, radiologinės būklės stebėjimo ir radiacinės saugos priežiūros vykdymo srityse, modernizavo Valstybės jonizuojančiosios spinduliuotės šaltinių ir darbuotojų apšvitos registrą užtikrindamas ilgalaikį veiklos procesų skaitmeninės transformacijos tęstinumą, didino visuomenės, valstybinių institucijų ir komunikacijos atstovų informuotumą radiacinės saugos srityje taikant pažangias komunikacijos priemones. Vykdydamas</w:t>
      </w:r>
      <w:r w:rsidR="00CB2363" w:rsidRPr="004349BC">
        <w:rPr>
          <w:rFonts w:asciiTheme="majorBidi" w:hAnsiTheme="majorBidi" w:cstheme="majorBidi"/>
          <w:sz w:val="24"/>
          <w:szCs w:val="24"/>
        </w:rPr>
        <w:t xml:space="preserve"> LR SAM PP 2025</w:t>
      </w:r>
      <w:r w:rsidR="00E5544A" w:rsidRPr="004349BC">
        <w:rPr>
          <w:rFonts w:asciiTheme="majorBidi" w:hAnsiTheme="majorBidi" w:cstheme="majorBidi"/>
          <w:sz w:val="24"/>
          <w:szCs w:val="24"/>
        </w:rPr>
        <w:t>–</w:t>
      </w:r>
      <w:r w:rsidR="00CB2363" w:rsidRPr="004349BC">
        <w:rPr>
          <w:rFonts w:asciiTheme="majorBidi" w:hAnsiTheme="majorBidi" w:cstheme="majorBidi"/>
          <w:sz w:val="24"/>
          <w:szCs w:val="24"/>
        </w:rPr>
        <w:t>2026 m</w:t>
      </w:r>
      <w:r w:rsidR="00FB53D1" w:rsidRPr="004349BC">
        <w:rPr>
          <w:rFonts w:asciiTheme="majorBidi" w:hAnsiTheme="majorBidi" w:cstheme="majorBidi"/>
          <w:sz w:val="24"/>
          <w:szCs w:val="24"/>
        </w:rPr>
        <w:t>.</w:t>
      </w:r>
      <w:r w:rsidR="00CB2363" w:rsidRPr="004349BC">
        <w:rPr>
          <w:rFonts w:asciiTheme="majorBidi" w:hAnsiTheme="majorBidi" w:cstheme="majorBidi"/>
          <w:sz w:val="24"/>
          <w:szCs w:val="24"/>
        </w:rPr>
        <w:t xml:space="preserve"> įgyvendinimo projektą</w:t>
      </w:r>
      <w:r w:rsidRPr="004349BC">
        <w:rPr>
          <w:rFonts w:asciiTheme="majorBidi" w:hAnsiTheme="majorBidi" w:cstheme="majorBidi"/>
          <w:sz w:val="24"/>
          <w:szCs w:val="24"/>
        </w:rPr>
        <w:t xml:space="preserve"> </w:t>
      </w:r>
      <w:r w:rsidR="00CB2363" w:rsidRPr="004349BC">
        <w:rPr>
          <w:rFonts w:asciiTheme="majorBidi" w:hAnsiTheme="majorBidi" w:cstheme="majorBidi"/>
          <w:sz w:val="24"/>
          <w:szCs w:val="24"/>
        </w:rPr>
        <w:t>„</w:t>
      </w:r>
      <w:r w:rsidRPr="004349BC">
        <w:rPr>
          <w:rFonts w:asciiTheme="majorBidi" w:hAnsiTheme="majorBidi" w:cstheme="majorBidi"/>
          <w:sz w:val="24"/>
          <w:szCs w:val="24"/>
        </w:rPr>
        <w:t>Pasirengimo branduolinėms ir radiologinėms avarijoms skaitmeninių sprendimų išplėtimas ir Radiacinio pavojaus perspėjimo sistemos plėtra ir modernizavimas</w:t>
      </w:r>
      <w:r w:rsidR="00CB2363" w:rsidRPr="004349BC">
        <w:rPr>
          <w:rFonts w:asciiTheme="majorBidi" w:hAnsiTheme="majorBidi" w:cstheme="majorBidi"/>
          <w:sz w:val="24"/>
          <w:szCs w:val="24"/>
        </w:rPr>
        <w:t>“ bei atsižvelgiant į egzistuojančią geopolitinę situaciją, hibridinių grėsmių atsiradimo tikimybę, RSC planuoja diegti pažangius, dirbtiniu intelektu grįstus, šiuolaikinius saugumo iššūkius atliepiančius sprendimus, kurie turi būti integruoti į RSC GIP siekiant užtikrinti jų sinergiją, efektyvumą ir pridėtinę vertę, optimizuoti išteklių panaudojimą, sumažinti veiklų dubliavimąsi ir skatinti inovatyvių sprendimų kūrimą bei pritaikymą. Kadangi RSC GIP apjungia daug įvairios informacijos, ir sparčiai diegiant naujas technologijas turi būti nuolat atnaujinama, būtina turėti aplinką, skirtą naujų sprendimų diegimui ir išbandymui</w:t>
      </w:r>
      <w:r w:rsidR="00FB53D1" w:rsidRPr="004349BC">
        <w:rPr>
          <w:rFonts w:asciiTheme="majorBidi" w:hAnsiTheme="majorBidi" w:cstheme="majorBidi"/>
          <w:sz w:val="24"/>
          <w:szCs w:val="24"/>
        </w:rPr>
        <w:t>,</w:t>
      </w:r>
      <w:r w:rsidR="00CB2363" w:rsidRPr="004349BC">
        <w:rPr>
          <w:rFonts w:asciiTheme="majorBidi" w:hAnsiTheme="majorBidi" w:cstheme="majorBidi"/>
          <w:sz w:val="24"/>
          <w:szCs w:val="24"/>
        </w:rPr>
        <w:t xml:space="preserve"> siekiant užtikrinti nepertraukiamą RSC GIP elementų ir integracijų veikimą, neprarasti veikiančių funkcionalumų ar archyvinių duomenų ir pan.</w:t>
      </w:r>
      <w:r w:rsidR="007072A5" w:rsidRPr="004349BC">
        <w:rPr>
          <w:rFonts w:asciiTheme="majorBidi" w:hAnsiTheme="majorBidi" w:cstheme="majorBidi"/>
          <w:sz w:val="24"/>
          <w:szCs w:val="24"/>
        </w:rPr>
        <w:t xml:space="preserve"> Taip pat, siekiant užtikrinti RSC GIP nepertraukiama ir efektyvų veikimą, būtina palaikyti visų joje įdiegtų licencijų naujausia</w:t>
      </w:r>
      <w:r w:rsidR="00FB53D1" w:rsidRPr="004349BC">
        <w:rPr>
          <w:rFonts w:asciiTheme="majorBidi" w:hAnsiTheme="majorBidi" w:cstheme="majorBidi"/>
          <w:sz w:val="24"/>
          <w:szCs w:val="24"/>
        </w:rPr>
        <w:t>s</w:t>
      </w:r>
      <w:r w:rsidR="007072A5" w:rsidRPr="004349BC">
        <w:rPr>
          <w:rFonts w:asciiTheme="majorBidi" w:hAnsiTheme="majorBidi" w:cstheme="majorBidi"/>
          <w:sz w:val="24"/>
          <w:szCs w:val="24"/>
        </w:rPr>
        <w:t xml:space="preserve"> versij</w:t>
      </w:r>
      <w:r w:rsidR="00FB53D1" w:rsidRPr="004349BC">
        <w:rPr>
          <w:rFonts w:asciiTheme="majorBidi" w:hAnsiTheme="majorBidi" w:cstheme="majorBidi"/>
          <w:sz w:val="24"/>
          <w:szCs w:val="24"/>
        </w:rPr>
        <w:t>as.</w:t>
      </w:r>
      <w:r w:rsidR="007072A5" w:rsidRPr="004349BC">
        <w:rPr>
          <w:rFonts w:asciiTheme="majorBidi" w:hAnsiTheme="majorBidi" w:cstheme="majorBidi"/>
          <w:sz w:val="24"/>
          <w:szCs w:val="24"/>
        </w:rPr>
        <w:t xml:space="preserve"> Licencijų atnaujinimas į naujausią versiją užtikrina naujausių saugumo standartų palaikymą programinėje įrangoje, kibernetinio saugumo spragų ar funkcionalumo neatitikimų taisymą, leidžia suteikti aplikacijoms naujo funkcionalumo. Stabilių ir pereinamųjų versijų palaikymas leidžia pritaikyti naujas funkcijas patogesniam duomenų apdirbimui, atvaizdavimui, valdymui. Techninis aptarnavimas reikalingas </w:t>
      </w:r>
      <w:r w:rsidR="00FB53D1" w:rsidRPr="004349BC">
        <w:rPr>
          <w:rFonts w:asciiTheme="majorBidi" w:hAnsiTheme="majorBidi" w:cstheme="majorBidi"/>
          <w:sz w:val="24"/>
          <w:szCs w:val="24"/>
        </w:rPr>
        <w:t xml:space="preserve">programinės įrangos gamintojo techniniam palaikymui (angl. </w:t>
      </w:r>
      <w:r w:rsidR="00FB53D1" w:rsidRPr="004349BC">
        <w:rPr>
          <w:rFonts w:asciiTheme="majorBidi" w:hAnsiTheme="majorBidi" w:cstheme="majorBidi"/>
          <w:i/>
          <w:iCs/>
          <w:sz w:val="24"/>
          <w:szCs w:val="24"/>
        </w:rPr>
        <w:t>tech. support</w:t>
      </w:r>
      <w:r w:rsidR="00FB53D1" w:rsidRPr="004349BC">
        <w:rPr>
          <w:rFonts w:asciiTheme="majorBidi" w:hAnsiTheme="majorBidi" w:cstheme="majorBidi"/>
          <w:sz w:val="24"/>
          <w:szCs w:val="24"/>
        </w:rPr>
        <w:t xml:space="preserve">) užtikrinti, </w:t>
      </w:r>
      <w:r w:rsidR="007072A5" w:rsidRPr="004349BC">
        <w:rPr>
          <w:rFonts w:asciiTheme="majorBidi" w:hAnsiTheme="majorBidi" w:cstheme="majorBidi"/>
          <w:sz w:val="24"/>
          <w:szCs w:val="24"/>
        </w:rPr>
        <w:t xml:space="preserve">licencijų generavimui, integracijų ar kitų sukurtų produktų pritaikymui atnaujintai programinės įrangos versijai, suteikiant vaizdavimo ar duomenų surinkimo aplikacijoms daugiau lankstumo ar pritaikant esamą duomenų struktūrą atnaujintai programinės įrangos versijai. Papildomos </w:t>
      </w:r>
      <w:r w:rsidR="00FB53D1" w:rsidRPr="004349BC">
        <w:rPr>
          <w:rFonts w:asciiTheme="majorBidi" w:hAnsiTheme="majorBidi" w:cstheme="majorBidi"/>
          <w:sz w:val="24"/>
          <w:szCs w:val="24"/>
        </w:rPr>
        <w:t xml:space="preserve">naudotojo buvimo </w:t>
      </w:r>
      <w:r w:rsidR="007072A5" w:rsidRPr="004349BC">
        <w:rPr>
          <w:rFonts w:asciiTheme="majorBidi" w:hAnsiTheme="majorBidi" w:cstheme="majorBidi"/>
          <w:sz w:val="24"/>
          <w:szCs w:val="24"/>
        </w:rPr>
        <w:t>viet</w:t>
      </w:r>
      <w:r w:rsidR="00FB53D1" w:rsidRPr="004349BC">
        <w:rPr>
          <w:rFonts w:asciiTheme="majorBidi" w:hAnsiTheme="majorBidi" w:cstheme="majorBidi"/>
          <w:sz w:val="24"/>
          <w:szCs w:val="24"/>
        </w:rPr>
        <w:t>o</w:t>
      </w:r>
      <w:r w:rsidR="007072A5" w:rsidRPr="004349BC">
        <w:rPr>
          <w:rFonts w:asciiTheme="majorBidi" w:hAnsiTheme="majorBidi" w:cstheme="majorBidi"/>
          <w:sz w:val="24"/>
          <w:szCs w:val="24"/>
        </w:rPr>
        <w:t xml:space="preserve">s </w:t>
      </w:r>
      <w:r w:rsidR="00FB53D1" w:rsidRPr="004349BC">
        <w:rPr>
          <w:rFonts w:asciiTheme="majorBidi" w:hAnsiTheme="majorBidi" w:cstheme="majorBidi"/>
          <w:sz w:val="24"/>
          <w:szCs w:val="24"/>
        </w:rPr>
        <w:t xml:space="preserve">dalinimosi funkcionalumo </w:t>
      </w:r>
      <w:r w:rsidR="007072A5" w:rsidRPr="004349BC">
        <w:rPr>
          <w:rFonts w:asciiTheme="majorBidi" w:hAnsiTheme="majorBidi" w:cstheme="majorBidi"/>
          <w:sz w:val="24"/>
          <w:szCs w:val="24"/>
        </w:rPr>
        <w:t>licencijos leidžia fiksuoti duomenų rinkimo metu esančio darbuotojo lokaciją, tai leidžia vizualiai stebėti darbo organizuotumą realiu laiku, reikalui esant, susisiekti su darbuotoju ir patikslinti užduotį ar teikti įžvalgų, esant papildomiems duomenims – leisti apsaugoti darbuotojus nuo išvengiamų įvykių ar neefektyvaus darbo atlikimo.</w:t>
      </w:r>
    </w:p>
    <w:p w14:paraId="50E5A452" w14:textId="239807AB" w:rsidR="00DC72DC" w:rsidRPr="004349BC" w:rsidRDefault="007072A5" w:rsidP="007072A5">
      <w:pPr>
        <w:spacing w:after="0" w:line="240" w:lineRule="auto"/>
        <w:jc w:val="both"/>
        <w:rPr>
          <w:rFonts w:asciiTheme="majorBidi" w:hAnsiTheme="majorBidi" w:cstheme="majorBidi"/>
          <w:sz w:val="24"/>
          <w:szCs w:val="24"/>
        </w:rPr>
      </w:pPr>
      <w:r w:rsidRPr="004349BC">
        <w:rPr>
          <w:rFonts w:asciiTheme="majorBidi" w:hAnsiTheme="majorBidi" w:cstheme="majorBidi"/>
          <w:sz w:val="24"/>
          <w:szCs w:val="24"/>
        </w:rPr>
        <w:t>Ši</w:t>
      </w:r>
      <w:r w:rsidR="0007662E" w:rsidRPr="004349BC">
        <w:rPr>
          <w:rFonts w:asciiTheme="majorBidi" w:hAnsiTheme="majorBidi" w:cstheme="majorBidi"/>
          <w:sz w:val="24"/>
          <w:szCs w:val="24"/>
        </w:rPr>
        <w:t>u</w:t>
      </w:r>
      <w:r w:rsidRPr="004349BC">
        <w:rPr>
          <w:rFonts w:asciiTheme="majorBidi" w:hAnsiTheme="majorBidi" w:cstheme="majorBidi"/>
          <w:sz w:val="24"/>
          <w:szCs w:val="24"/>
        </w:rPr>
        <w:t>o pirkimų planuojama įsigyti</w:t>
      </w:r>
      <w:r w:rsidR="0007662E" w:rsidRPr="004349BC">
        <w:rPr>
          <w:rFonts w:asciiTheme="majorBidi" w:hAnsiTheme="majorBidi" w:cstheme="majorBidi"/>
          <w:sz w:val="24"/>
          <w:szCs w:val="24"/>
        </w:rPr>
        <w:t xml:space="preserve"> šias RSC GIP veiklos tęstinumo užtikrinimo priemones</w:t>
      </w:r>
      <w:r w:rsidRPr="004349BC">
        <w:rPr>
          <w:rFonts w:asciiTheme="majorBidi" w:hAnsiTheme="majorBidi" w:cstheme="majorBidi"/>
          <w:sz w:val="24"/>
          <w:szCs w:val="24"/>
        </w:rPr>
        <w:t>:</w:t>
      </w:r>
    </w:p>
    <w:p w14:paraId="1FB9AF44" w14:textId="7CC34951" w:rsidR="007072A5" w:rsidRPr="004349BC" w:rsidRDefault="007072A5" w:rsidP="00442A97">
      <w:pPr>
        <w:pStyle w:val="ListParagraph"/>
        <w:numPr>
          <w:ilvl w:val="0"/>
          <w:numId w:val="56"/>
        </w:numPr>
        <w:spacing w:after="0" w:line="240" w:lineRule="auto"/>
        <w:ind w:left="0" w:firstLine="360"/>
        <w:jc w:val="both"/>
        <w:rPr>
          <w:rFonts w:asciiTheme="majorBidi" w:hAnsiTheme="majorBidi" w:cstheme="majorBidi"/>
          <w:sz w:val="24"/>
          <w:szCs w:val="24"/>
        </w:rPr>
      </w:pPr>
      <w:r w:rsidRPr="004349BC">
        <w:rPr>
          <w:rFonts w:asciiTheme="majorBidi" w:hAnsiTheme="majorBidi" w:cstheme="majorBidi"/>
          <w:sz w:val="24"/>
          <w:szCs w:val="24"/>
        </w:rPr>
        <w:t>RSC turimos ArcGIS Enterprise sistemos plėtimo licenciją, skirtą RSC GIP testinės aplinkos (ang</w:t>
      </w:r>
      <w:r w:rsidR="002F41D9" w:rsidRPr="004349BC">
        <w:rPr>
          <w:rFonts w:asciiTheme="majorBidi" w:hAnsiTheme="majorBidi" w:cstheme="majorBidi"/>
          <w:sz w:val="24"/>
          <w:szCs w:val="24"/>
        </w:rPr>
        <w:t>l</w:t>
      </w:r>
      <w:r w:rsidRPr="004349BC">
        <w:rPr>
          <w:rFonts w:asciiTheme="majorBidi" w:hAnsiTheme="majorBidi" w:cstheme="majorBidi"/>
          <w:sz w:val="24"/>
          <w:szCs w:val="24"/>
        </w:rPr>
        <w:t>.</w:t>
      </w:r>
      <w:r w:rsidR="002F41D9" w:rsidRPr="004349BC">
        <w:rPr>
          <w:rFonts w:asciiTheme="majorBidi" w:hAnsiTheme="majorBidi" w:cstheme="majorBidi"/>
          <w:sz w:val="24"/>
          <w:szCs w:val="24"/>
        </w:rPr>
        <w:t> </w:t>
      </w:r>
      <w:r w:rsidRPr="004349BC">
        <w:rPr>
          <w:rFonts w:asciiTheme="majorBidi" w:hAnsiTheme="majorBidi" w:cstheme="majorBidi"/>
          <w:i/>
          <w:iCs/>
          <w:sz w:val="24"/>
          <w:szCs w:val="24"/>
        </w:rPr>
        <w:t>Staging</w:t>
      </w:r>
      <w:r w:rsidRPr="004349BC">
        <w:rPr>
          <w:rFonts w:asciiTheme="majorBidi" w:hAnsiTheme="majorBidi" w:cstheme="majorBidi"/>
          <w:sz w:val="24"/>
          <w:szCs w:val="24"/>
        </w:rPr>
        <w:t>) sukūrimui su jos įdiegimo, sukonfigūravimo ir adaptavimo RSC GIP paslauga – 1</w:t>
      </w:r>
      <w:r w:rsidR="006D4DCB" w:rsidRPr="004349BC">
        <w:rPr>
          <w:rFonts w:asciiTheme="majorBidi" w:hAnsiTheme="majorBidi" w:cstheme="majorBidi"/>
          <w:sz w:val="24"/>
          <w:szCs w:val="24"/>
        </w:rPr>
        <w:t xml:space="preserve"> </w:t>
      </w:r>
      <w:r w:rsidRPr="004349BC">
        <w:rPr>
          <w:rFonts w:asciiTheme="majorBidi" w:hAnsiTheme="majorBidi" w:cstheme="majorBidi"/>
          <w:sz w:val="24"/>
          <w:szCs w:val="24"/>
        </w:rPr>
        <w:t>vnt.</w:t>
      </w:r>
    </w:p>
    <w:p w14:paraId="00B5F56B" w14:textId="5F4C141B" w:rsidR="007072A5" w:rsidRPr="004349BC" w:rsidRDefault="00B8169B" w:rsidP="00442A97">
      <w:pPr>
        <w:pStyle w:val="ListParagraph"/>
        <w:numPr>
          <w:ilvl w:val="0"/>
          <w:numId w:val="56"/>
        </w:numPr>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Dviejų</w:t>
      </w:r>
      <w:r w:rsidR="007072A5" w:rsidRPr="004349BC">
        <w:rPr>
          <w:rFonts w:asciiTheme="majorBidi" w:hAnsiTheme="majorBidi" w:cstheme="majorBidi"/>
          <w:sz w:val="24"/>
          <w:szCs w:val="24"/>
        </w:rPr>
        <w:t xml:space="preserve"> RSC GIP naudojamų programin</w:t>
      </w:r>
      <w:r w:rsidR="00EE55F8" w:rsidRPr="004349BC">
        <w:rPr>
          <w:rFonts w:asciiTheme="majorBidi" w:hAnsiTheme="majorBidi" w:cstheme="majorBidi"/>
          <w:sz w:val="24"/>
          <w:szCs w:val="24"/>
        </w:rPr>
        <w:t>ių</w:t>
      </w:r>
      <w:r w:rsidR="007072A5" w:rsidRPr="004349BC">
        <w:rPr>
          <w:rFonts w:asciiTheme="majorBidi" w:hAnsiTheme="majorBidi" w:cstheme="majorBidi"/>
          <w:sz w:val="24"/>
          <w:szCs w:val="24"/>
        </w:rPr>
        <w:t xml:space="preserve"> įrangų (ArcGIS GeoEvent Server Up to Four Cores Perpetual License, Location Sharing User Type Extension for ArcGIS Enterprise</w:t>
      </w:r>
      <w:r w:rsidR="00FB53D1" w:rsidRPr="004349BC">
        <w:rPr>
          <w:rFonts w:asciiTheme="majorBidi" w:hAnsiTheme="majorBidi" w:cstheme="majorBidi"/>
          <w:sz w:val="24"/>
          <w:szCs w:val="24"/>
        </w:rPr>
        <w:t xml:space="preserve"> Annual Subscription (15 vnt.)</w:t>
      </w:r>
      <w:r w:rsidR="007072A5" w:rsidRPr="004349BC">
        <w:rPr>
          <w:rFonts w:asciiTheme="majorBidi" w:hAnsiTheme="majorBidi" w:cstheme="majorBidi"/>
          <w:sz w:val="24"/>
          <w:szCs w:val="24"/>
        </w:rPr>
        <w:t xml:space="preserve">) </w:t>
      </w:r>
      <w:r w:rsidR="00EE6C0B" w:rsidRPr="004349BC">
        <w:rPr>
          <w:rFonts w:asciiTheme="majorBidi" w:hAnsiTheme="majorBidi" w:cstheme="majorBidi"/>
          <w:sz w:val="24"/>
          <w:szCs w:val="24"/>
        </w:rPr>
        <w:t xml:space="preserve">komplekto </w:t>
      </w:r>
      <w:r w:rsidR="007072A5" w:rsidRPr="004349BC">
        <w:rPr>
          <w:rFonts w:asciiTheme="majorBidi" w:hAnsiTheme="majorBidi" w:cstheme="majorBidi"/>
          <w:sz w:val="24"/>
          <w:szCs w:val="24"/>
        </w:rPr>
        <w:t>atnaujinim</w:t>
      </w:r>
      <w:r w:rsidR="00C151B2" w:rsidRPr="004349BC">
        <w:rPr>
          <w:rFonts w:asciiTheme="majorBidi" w:hAnsiTheme="majorBidi" w:cstheme="majorBidi"/>
          <w:sz w:val="24"/>
          <w:szCs w:val="24"/>
        </w:rPr>
        <w:t>ą</w:t>
      </w:r>
      <w:r w:rsidR="007072A5" w:rsidRPr="004349BC">
        <w:rPr>
          <w:rFonts w:asciiTheme="majorBidi" w:hAnsiTheme="majorBidi" w:cstheme="majorBidi"/>
          <w:sz w:val="24"/>
          <w:szCs w:val="24"/>
        </w:rPr>
        <w:t xml:space="preserve"> su 12 mėn. naujumo garantija ir techniniu aptarnavimu – </w:t>
      </w:r>
      <w:r w:rsidR="00EE6C0B" w:rsidRPr="00B8169B">
        <w:rPr>
          <w:rFonts w:asciiTheme="majorBidi" w:hAnsiTheme="majorBidi" w:cstheme="majorBidi"/>
          <w:sz w:val="24"/>
          <w:szCs w:val="24"/>
        </w:rPr>
        <w:t>1</w:t>
      </w:r>
      <w:r w:rsidR="007072A5" w:rsidRPr="004349BC">
        <w:rPr>
          <w:rFonts w:asciiTheme="majorBidi" w:hAnsiTheme="majorBidi" w:cstheme="majorBidi"/>
          <w:sz w:val="24"/>
          <w:szCs w:val="24"/>
        </w:rPr>
        <w:t xml:space="preserve"> vnt.</w:t>
      </w:r>
    </w:p>
    <w:p w14:paraId="704E4F89" w14:textId="77777777" w:rsidR="00442A97" w:rsidRPr="004349BC" w:rsidRDefault="00442A97" w:rsidP="007072A5">
      <w:pPr>
        <w:spacing w:after="0" w:line="240" w:lineRule="auto"/>
        <w:jc w:val="both"/>
        <w:rPr>
          <w:rFonts w:asciiTheme="majorBidi" w:hAnsiTheme="majorBidi" w:cstheme="majorBidi"/>
          <w:sz w:val="24"/>
          <w:szCs w:val="24"/>
        </w:rPr>
      </w:pPr>
    </w:p>
    <w:p w14:paraId="25A84620" w14:textId="6E056D38" w:rsidR="0007662E" w:rsidRPr="004349BC" w:rsidRDefault="0007662E" w:rsidP="0007662E">
      <w:pPr>
        <w:pStyle w:val="Heading1"/>
        <w:numPr>
          <w:ilvl w:val="0"/>
          <w:numId w:val="57"/>
        </w:numPr>
      </w:pPr>
      <w:r w:rsidRPr="004349BC">
        <w:t>BENDRIEJI REIKALAVIMAI</w:t>
      </w:r>
    </w:p>
    <w:p w14:paraId="0CFEAA0C" w14:textId="77777777" w:rsidR="00D541FE" w:rsidRPr="004349BC" w:rsidRDefault="00D541FE" w:rsidP="007072A5">
      <w:pPr>
        <w:spacing w:after="0" w:line="240" w:lineRule="auto"/>
        <w:jc w:val="both"/>
        <w:rPr>
          <w:rFonts w:asciiTheme="majorBidi" w:hAnsiTheme="majorBidi" w:cstheme="majorBidi"/>
          <w:sz w:val="24"/>
          <w:szCs w:val="24"/>
        </w:rPr>
      </w:pPr>
    </w:p>
    <w:tbl>
      <w:tblPr>
        <w:tblStyle w:val="TableGrid"/>
        <w:tblW w:w="9351" w:type="dxa"/>
        <w:tblLook w:val="04A0" w:firstRow="1" w:lastRow="0" w:firstColumn="1" w:lastColumn="0" w:noHBand="0" w:noVBand="1"/>
      </w:tblPr>
      <w:tblGrid>
        <w:gridCol w:w="766"/>
        <w:gridCol w:w="6317"/>
        <w:gridCol w:w="2268"/>
      </w:tblGrid>
      <w:tr w:rsidR="00DB0430" w:rsidRPr="004349BC" w14:paraId="30920AB8" w14:textId="77777777" w:rsidTr="002F41D9">
        <w:tc>
          <w:tcPr>
            <w:tcW w:w="766" w:type="dxa"/>
          </w:tcPr>
          <w:p w14:paraId="343895D7" w14:textId="14906D89" w:rsidR="00DB0430" w:rsidRPr="004349BC" w:rsidRDefault="00DB0430" w:rsidP="007072A5">
            <w:pPr>
              <w:jc w:val="both"/>
              <w:rPr>
                <w:rFonts w:asciiTheme="majorBidi" w:hAnsiTheme="majorBidi" w:cstheme="majorBidi"/>
                <w:sz w:val="24"/>
                <w:szCs w:val="24"/>
              </w:rPr>
            </w:pPr>
            <w:r w:rsidRPr="004349BC">
              <w:rPr>
                <w:rFonts w:asciiTheme="majorBidi" w:hAnsiTheme="majorBidi" w:cstheme="majorBidi"/>
                <w:sz w:val="24"/>
                <w:szCs w:val="24"/>
              </w:rPr>
              <w:t>Eil. Nr.</w:t>
            </w:r>
          </w:p>
        </w:tc>
        <w:tc>
          <w:tcPr>
            <w:tcW w:w="6317" w:type="dxa"/>
          </w:tcPr>
          <w:p w14:paraId="79D9229B" w14:textId="749E215C" w:rsidR="00DB0430" w:rsidRPr="004349BC" w:rsidRDefault="0007662E" w:rsidP="002F41D9">
            <w:pPr>
              <w:jc w:val="center"/>
              <w:rPr>
                <w:rFonts w:asciiTheme="majorBidi" w:hAnsiTheme="majorBidi" w:cstheme="majorBidi"/>
                <w:sz w:val="24"/>
                <w:szCs w:val="24"/>
              </w:rPr>
            </w:pPr>
            <w:r w:rsidRPr="004349BC">
              <w:rPr>
                <w:rFonts w:asciiTheme="majorBidi" w:hAnsiTheme="majorBidi" w:cstheme="majorBidi"/>
                <w:sz w:val="24"/>
                <w:szCs w:val="24"/>
              </w:rPr>
              <w:t>Aprašymas,</w:t>
            </w:r>
            <w:r w:rsidR="00DB0430" w:rsidRPr="004349BC">
              <w:rPr>
                <w:rFonts w:asciiTheme="majorBidi" w:hAnsiTheme="majorBidi" w:cstheme="majorBidi"/>
                <w:sz w:val="24"/>
                <w:szCs w:val="24"/>
              </w:rPr>
              <w:t xml:space="preserve"> techniniai reikalavimai</w:t>
            </w:r>
          </w:p>
        </w:tc>
        <w:tc>
          <w:tcPr>
            <w:tcW w:w="2268" w:type="dxa"/>
          </w:tcPr>
          <w:p w14:paraId="1A119BC8" w14:textId="5422D842" w:rsidR="00DB0430" w:rsidRPr="004349BC" w:rsidRDefault="00DB0430" w:rsidP="002F41D9">
            <w:pPr>
              <w:jc w:val="center"/>
              <w:rPr>
                <w:rFonts w:asciiTheme="majorBidi" w:hAnsiTheme="majorBidi" w:cstheme="majorBidi"/>
                <w:sz w:val="24"/>
                <w:szCs w:val="24"/>
              </w:rPr>
            </w:pPr>
            <w:r w:rsidRPr="004349BC">
              <w:rPr>
                <w:rFonts w:asciiTheme="majorBidi" w:hAnsiTheme="majorBidi" w:cstheme="majorBidi"/>
                <w:sz w:val="24"/>
                <w:szCs w:val="24"/>
              </w:rPr>
              <w:t>Atitikimas techniniams reikalavimams (įrašyti taip arba ne)</w:t>
            </w:r>
          </w:p>
        </w:tc>
      </w:tr>
      <w:tr w:rsidR="00E435C1" w:rsidRPr="004349BC" w14:paraId="54C3B8BD" w14:textId="77777777" w:rsidTr="002F41D9">
        <w:tc>
          <w:tcPr>
            <w:tcW w:w="766" w:type="dxa"/>
          </w:tcPr>
          <w:p w14:paraId="664856B8" w14:textId="4231DD58" w:rsidR="00E435C1" w:rsidRPr="004349BC" w:rsidRDefault="0007662E" w:rsidP="007072A5">
            <w:pPr>
              <w:jc w:val="both"/>
              <w:rPr>
                <w:rFonts w:asciiTheme="majorBidi" w:hAnsiTheme="majorBidi" w:cstheme="majorBidi"/>
                <w:sz w:val="24"/>
                <w:szCs w:val="24"/>
              </w:rPr>
            </w:pPr>
            <w:r w:rsidRPr="004349BC">
              <w:rPr>
                <w:rFonts w:asciiTheme="majorBidi" w:hAnsiTheme="majorBidi" w:cstheme="majorBidi"/>
                <w:sz w:val="24"/>
                <w:szCs w:val="24"/>
              </w:rPr>
              <w:t>2.1.</w:t>
            </w:r>
          </w:p>
        </w:tc>
        <w:tc>
          <w:tcPr>
            <w:tcW w:w="6317" w:type="dxa"/>
          </w:tcPr>
          <w:p w14:paraId="0033BE3E" w14:textId="159A279E" w:rsidR="00E435C1" w:rsidRPr="004349BC" w:rsidRDefault="00E435C1" w:rsidP="007072A5">
            <w:pPr>
              <w:pStyle w:val="NormalWeb"/>
              <w:jc w:val="both"/>
              <w:rPr>
                <w:rFonts w:asciiTheme="majorBidi" w:hAnsiTheme="majorBidi" w:cstheme="majorBidi"/>
                <w:color w:val="000000"/>
                <w:lang w:val="lt-LT"/>
              </w:rPr>
            </w:pPr>
            <w:r w:rsidRPr="004349BC">
              <w:rPr>
                <w:rFonts w:asciiTheme="majorBidi" w:hAnsiTheme="majorBidi" w:cstheme="majorBidi"/>
                <w:lang w:val="lt-LT"/>
              </w:rPr>
              <w:t>RSC turimos ArcGIS Enterprise sistemos plėtimo licencija, skirta testinės aplinkos (ang. Staging)</w:t>
            </w:r>
            <w:r w:rsidR="00CB2363" w:rsidRPr="004349BC">
              <w:rPr>
                <w:rFonts w:asciiTheme="majorBidi" w:hAnsiTheme="majorBidi" w:cstheme="majorBidi"/>
                <w:lang w:val="lt-LT"/>
              </w:rPr>
              <w:t xml:space="preserve"> sukūrimui, jos įdiegimas ir adaptavimas RSC GIP </w:t>
            </w:r>
          </w:p>
        </w:tc>
        <w:tc>
          <w:tcPr>
            <w:tcW w:w="2268" w:type="dxa"/>
          </w:tcPr>
          <w:p w14:paraId="5C160B7E" w14:textId="77777777" w:rsidR="00E435C1" w:rsidRPr="004349BC" w:rsidRDefault="00E435C1" w:rsidP="007072A5">
            <w:pPr>
              <w:jc w:val="both"/>
              <w:rPr>
                <w:rFonts w:asciiTheme="majorBidi" w:hAnsiTheme="majorBidi" w:cstheme="majorBidi"/>
                <w:sz w:val="24"/>
                <w:szCs w:val="24"/>
              </w:rPr>
            </w:pPr>
          </w:p>
        </w:tc>
      </w:tr>
      <w:tr w:rsidR="00153DAE" w:rsidRPr="004349BC" w14:paraId="78304B25" w14:textId="77777777" w:rsidTr="002F41D9">
        <w:tc>
          <w:tcPr>
            <w:tcW w:w="766" w:type="dxa"/>
          </w:tcPr>
          <w:p w14:paraId="7488E910" w14:textId="607CBCD6" w:rsidR="00153DAE" w:rsidRPr="004349BC" w:rsidRDefault="00153DAE" w:rsidP="007072A5">
            <w:pPr>
              <w:jc w:val="both"/>
              <w:rPr>
                <w:rFonts w:asciiTheme="majorBidi" w:hAnsiTheme="majorBidi" w:cstheme="majorBidi"/>
                <w:sz w:val="24"/>
                <w:szCs w:val="24"/>
              </w:rPr>
            </w:pPr>
            <w:r w:rsidRPr="004349BC">
              <w:rPr>
                <w:rFonts w:asciiTheme="majorBidi" w:hAnsiTheme="majorBidi" w:cstheme="majorBidi"/>
                <w:sz w:val="24"/>
                <w:szCs w:val="24"/>
              </w:rPr>
              <w:t>2</w:t>
            </w:r>
            <w:r w:rsidR="0007662E" w:rsidRPr="004349BC">
              <w:rPr>
                <w:rFonts w:asciiTheme="majorBidi" w:hAnsiTheme="majorBidi" w:cstheme="majorBidi"/>
                <w:sz w:val="24"/>
                <w:szCs w:val="24"/>
              </w:rPr>
              <w:t>.2.</w:t>
            </w:r>
          </w:p>
        </w:tc>
        <w:tc>
          <w:tcPr>
            <w:tcW w:w="6317" w:type="dxa"/>
          </w:tcPr>
          <w:p w14:paraId="4361F91B" w14:textId="3658BAF3" w:rsidR="00153DAE" w:rsidRPr="004349BC" w:rsidRDefault="00153DAE" w:rsidP="007072A5">
            <w:pPr>
              <w:pStyle w:val="NormalWeb"/>
              <w:spacing w:before="0" w:beforeAutospacing="0" w:after="0" w:afterAutospacing="0"/>
              <w:jc w:val="both"/>
              <w:rPr>
                <w:rFonts w:asciiTheme="majorBidi" w:hAnsiTheme="majorBidi" w:cstheme="majorBidi"/>
                <w:lang w:val="lt-LT"/>
              </w:rPr>
            </w:pPr>
            <w:r w:rsidRPr="004349BC">
              <w:rPr>
                <w:rFonts w:asciiTheme="majorBidi" w:hAnsiTheme="majorBidi" w:cstheme="majorBidi"/>
                <w:lang w:val="lt-LT"/>
              </w:rPr>
              <w:t xml:space="preserve">Licencijų atnaujinimas į naujausią versiją, įskaitant </w:t>
            </w:r>
            <w:r w:rsidR="0007662E" w:rsidRPr="004349BC">
              <w:rPr>
                <w:rFonts w:asciiTheme="majorBidi" w:hAnsiTheme="majorBidi" w:cstheme="majorBidi"/>
                <w:lang w:val="lt-LT"/>
              </w:rPr>
              <w:t>12 mėn.</w:t>
            </w:r>
            <w:r w:rsidRPr="004349BC">
              <w:rPr>
                <w:rFonts w:asciiTheme="majorBidi" w:hAnsiTheme="majorBidi" w:cstheme="majorBidi"/>
                <w:lang w:val="lt-LT"/>
              </w:rPr>
              <w:t xml:space="preserve"> naujumo garantiją ir techninį aptarnavimą:</w:t>
            </w:r>
          </w:p>
        </w:tc>
        <w:tc>
          <w:tcPr>
            <w:tcW w:w="2268" w:type="dxa"/>
          </w:tcPr>
          <w:p w14:paraId="209E6909" w14:textId="77777777" w:rsidR="00153DAE" w:rsidRPr="004349BC" w:rsidRDefault="00153DAE" w:rsidP="007072A5">
            <w:pPr>
              <w:jc w:val="both"/>
              <w:rPr>
                <w:rFonts w:asciiTheme="majorBidi" w:hAnsiTheme="majorBidi" w:cstheme="majorBidi"/>
                <w:sz w:val="24"/>
                <w:szCs w:val="24"/>
              </w:rPr>
            </w:pPr>
          </w:p>
        </w:tc>
      </w:tr>
      <w:tr w:rsidR="00153DAE" w:rsidRPr="004349BC" w14:paraId="327AD588" w14:textId="77777777" w:rsidTr="002F41D9">
        <w:tc>
          <w:tcPr>
            <w:tcW w:w="766" w:type="dxa"/>
          </w:tcPr>
          <w:p w14:paraId="64AD37B9" w14:textId="29823DE7" w:rsidR="00153DAE" w:rsidRPr="004349BC" w:rsidRDefault="00153DAE" w:rsidP="007072A5">
            <w:pPr>
              <w:jc w:val="both"/>
              <w:rPr>
                <w:rFonts w:asciiTheme="majorBidi" w:hAnsiTheme="majorBidi" w:cstheme="majorBidi"/>
                <w:sz w:val="24"/>
                <w:szCs w:val="24"/>
              </w:rPr>
            </w:pPr>
            <w:r w:rsidRPr="004349BC">
              <w:rPr>
                <w:rFonts w:asciiTheme="majorBidi" w:hAnsiTheme="majorBidi" w:cstheme="majorBidi"/>
                <w:sz w:val="24"/>
                <w:szCs w:val="24"/>
              </w:rPr>
              <w:t>2.2</w:t>
            </w:r>
            <w:r w:rsidR="0007662E" w:rsidRPr="004349BC">
              <w:rPr>
                <w:rFonts w:asciiTheme="majorBidi" w:hAnsiTheme="majorBidi" w:cstheme="majorBidi"/>
                <w:sz w:val="24"/>
                <w:szCs w:val="24"/>
              </w:rPr>
              <w:t>.</w:t>
            </w:r>
            <w:r w:rsidR="00B8169B">
              <w:rPr>
                <w:rFonts w:asciiTheme="majorBidi" w:hAnsiTheme="majorBidi" w:cstheme="majorBidi"/>
                <w:sz w:val="24"/>
                <w:szCs w:val="24"/>
              </w:rPr>
              <w:t>1.</w:t>
            </w:r>
          </w:p>
        </w:tc>
        <w:tc>
          <w:tcPr>
            <w:tcW w:w="6317" w:type="dxa"/>
          </w:tcPr>
          <w:p w14:paraId="643F8E92" w14:textId="14C385DC" w:rsidR="00153DAE" w:rsidRPr="004349BC" w:rsidRDefault="00153DAE" w:rsidP="007072A5">
            <w:pPr>
              <w:pStyle w:val="NormalWeb"/>
              <w:spacing w:before="0" w:beforeAutospacing="0" w:after="0" w:afterAutospacing="0"/>
              <w:jc w:val="both"/>
              <w:rPr>
                <w:rFonts w:asciiTheme="majorBidi" w:hAnsiTheme="majorBidi" w:cstheme="majorBidi"/>
                <w:lang w:val="lt-LT"/>
              </w:rPr>
            </w:pPr>
            <w:r w:rsidRPr="004349BC">
              <w:rPr>
                <w:rFonts w:asciiTheme="majorBidi" w:hAnsiTheme="majorBidi" w:cstheme="majorBidi"/>
                <w:lang w:val="lt-LT"/>
              </w:rPr>
              <w:t>ArcGIS GeoEvent Server Up to Four Cores Perpetual License laikotarpiui nuo 2025-09-06 iki 2026-09-05</w:t>
            </w:r>
          </w:p>
        </w:tc>
        <w:tc>
          <w:tcPr>
            <w:tcW w:w="2268" w:type="dxa"/>
          </w:tcPr>
          <w:p w14:paraId="754D531F" w14:textId="77777777" w:rsidR="00153DAE" w:rsidRPr="004349BC" w:rsidRDefault="00153DAE" w:rsidP="007072A5">
            <w:pPr>
              <w:jc w:val="both"/>
              <w:rPr>
                <w:rFonts w:asciiTheme="majorBidi" w:hAnsiTheme="majorBidi" w:cstheme="majorBidi"/>
                <w:sz w:val="24"/>
                <w:szCs w:val="24"/>
              </w:rPr>
            </w:pPr>
          </w:p>
        </w:tc>
      </w:tr>
      <w:tr w:rsidR="00153DAE" w:rsidRPr="004349BC" w14:paraId="5EFE94FC" w14:textId="77777777" w:rsidTr="002F41D9">
        <w:tc>
          <w:tcPr>
            <w:tcW w:w="766" w:type="dxa"/>
          </w:tcPr>
          <w:p w14:paraId="1389FB88" w14:textId="0E91282F" w:rsidR="00153DAE" w:rsidRPr="004349BC" w:rsidRDefault="00153DAE" w:rsidP="007072A5">
            <w:pPr>
              <w:jc w:val="both"/>
              <w:rPr>
                <w:rFonts w:asciiTheme="majorBidi" w:hAnsiTheme="majorBidi" w:cstheme="majorBidi"/>
                <w:sz w:val="24"/>
                <w:szCs w:val="24"/>
              </w:rPr>
            </w:pPr>
            <w:r w:rsidRPr="004349BC">
              <w:rPr>
                <w:rFonts w:asciiTheme="majorBidi" w:hAnsiTheme="majorBidi" w:cstheme="majorBidi"/>
                <w:sz w:val="24"/>
                <w:szCs w:val="24"/>
              </w:rPr>
              <w:t>2.</w:t>
            </w:r>
            <w:r w:rsidR="00B8169B">
              <w:rPr>
                <w:rFonts w:asciiTheme="majorBidi" w:hAnsiTheme="majorBidi" w:cstheme="majorBidi"/>
                <w:sz w:val="24"/>
                <w:szCs w:val="24"/>
              </w:rPr>
              <w:t>2</w:t>
            </w:r>
            <w:r w:rsidR="0007662E" w:rsidRPr="004349BC">
              <w:rPr>
                <w:rFonts w:asciiTheme="majorBidi" w:hAnsiTheme="majorBidi" w:cstheme="majorBidi"/>
                <w:sz w:val="24"/>
                <w:szCs w:val="24"/>
              </w:rPr>
              <w:t>.</w:t>
            </w:r>
            <w:r w:rsidR="00B8169B">
              <w:rPr>
                <w:rFonts w:asciiTheme="majorBidi" w:hAnsiTheme="majorBidi" w:cstheme="majorBidi"/>
                <w:sz w:val="24"/>
                <w:szCs w:val="24"/>
              </w:rPr>
              <w:t>2.</w:t>
            </w:r>
          </w:p>
        </w:tc>
        <w:tc>
          <w:tcPr>
            <w:tcW w:w="6317" w:type="dxa"/>
          </w:tcPr>
          <w:p w14:paraId="2F835B69" w14:textId="0D28B056" w:rsidR="00153DAE" w:rsidRPr="004349BC" w:rsidRDefault="00153DAE" w:rsidP="007072A5">
            <w:pPr>
              <w:pStyle w:val="NormalWeb"/>
              <w:spacing w:before="0" w:beforeAutospacing="0" w:after="0" w:afterAutospacing="0"/>
              <w:jc w:val="both"/>
              <w:rPr>
                <w:rFonts w:asciiTheme="majorBidi" w:hAnsiTheme="majorBidi" w:cstheme="majorBidi"/>
                <w:lang w:val="lt-LT"/>
              </w:rPr>
            </w:pPr>
            <w:r w:rsidRPr="004349BC">
              <w:rPr>
                <w:rFonts w:asciiTheme="majorBidi" w:hAnsiTheme="majorBidi" w:cstheme="majorBidi"/>
                <w:lang w:val="lt-LT"/>
              </w:rPr>
              <w:t>Location Sharing User Type Extension for ArcGIS Enterprise prenumerata metams</w:t>
            </w:r>
            <w:r w:rsidR="00FB53D1" w:rsidRPr="004349BC">
              <w:rPr>
                <w:rFonts w:asciiTheme="majorBidi" w:hAnsiTheme="majorBidi" w:cstheme="majorBidi"/>
                <w:lang w:val="lt-LT"/>
              </w:rPr>
              <w:t xml:space="preserve"> (15 vnt.)</w:t>
            </w:r>
            <w:r w:rsidRPr="004349BC">
              <w:rPr>
                <w:rFonts w:asciiTheme="majorBidi" w:hAnsiTheme="majorBidi" w:cstheme="majorBidi"/>
                <w:lang w:val="lt-LT"/>
              </w:rPr>
              <w:t>, nuo 2025-12-01 iki 2026-11-30</w:t>
            </w:r>
          </w:p>
        </w:tc>
        <w:tc>
          <w:tcPr>
            <w:tcW w:w="2268" w:type="dxa"/>
          </w:tcPr>
          <w:p w14:paraId="5D569E2A" w14:textId="77777777" w:rsidR="00153DAE" w:rsidRPr="004349BC" w:rsidRDefault="00153DAE" w:rsidP="007072A5">
            <w:pPr>
              <w:jc w:val="both"/>
              <w:rPr>
                <w:rFonts w:asciiTheme="majorBidi" w:hAnsiTheme="majorBidi" w:cstheme="majorBidi"/>
                <w:sz w:val="24"/>
                <w:szCs w:val="24"/>
              </w:rPr>
            </w:pPr>
          </w:p>
        </w:tc>
      </w:tr>
    </w:tbl>
    <w:p w14:paraId="1B37660D" w14:textId="3E67E6A7" w:rsidR="002433DF" w:rsidRPr="004349BC" w:rsidRDefault="002433DF" w:rsidP="00BD091A">
      <w:pPr>
        <w:pStyle w:val="ListParagraph"/>
        <w:pBdr>
          <w:top w:val="nil"/>
          <w:left w:val="nil"/>
          <w:bottom w:val="nil"/>
          <w:right w:val="nil"/>
          <w:between w:val="nil"/>
        </w:pBdr>
        <w:spacing w:after="0" w:line="240" w:lineRule="auto"/>
        <w:ind w:left="0" w:firstLine="851"/>
        <w:jc w:val="both"/>
        <w:rPr>
          <w:rFonts w:asciiTheme="majorBidi" w:hAnsiTheme="majorBidi" w:cstheme="majorBidi"/>
          <w:sz w:val="24"/>
          <w:szCs w:val="24"/>
        </w:rPr>
      </w:pPr>
    </w:p>
    <w:p w14:paraId="792951DC" w14:textId="5F8A380C" w:rsidR="00255A98" w:rsidRPr="004349BC" w:rsidRDefault="00255A98" w:rsidP="00B8169B">
      <w:pPr>
        <w:pStyle w:val="ListParagraph"/>
        <w:numPr>
          <w:ilvl w:val="1"/>
          <w:numId w:val="57"/>
        </w:numPr>
        <w:tabs>
          <w:tab w:val="left" w:pos="1276"/>
        </w:tabs>
        <w:ind w:left="0" w:firstLine="851"/>
        <w:jc w:val="both"/>
        <w:rPr>
          <w:rFonts w:asciiTheme="majorBidi" w:hAnsiTheme="majorBidi" w:cstheme="majorBidi"/>
          <w:sz w:val="24"/>
          <w:szCs w:val="24"/>
        </w:rPr>
      </w:pPr>
      <w:r w:rsidRPr="004349BC">
        <w:rPr>
          <w:rFonts w:asciiTheme="majorBidi" w:hAnsiTheme="majorBidi" w:cstheme="majorBidi"/>
          <w:sz w:val="24"/>
          <w:szCs w:val="24"/>
        </w:rPr>
        <w:t>P</w:t>
      </w:r>
      <w:r w:rsidR="006E0B13">
        <w:rPr>
          <w:rFonts w:asciiTheme="majorBidi" w:hAnsiTheme="majorBidi" w:cstheme="majorBidi"/>
          <w:sz w:val="24"/>
          <w:szCs w:val="24"/>
        </w:rPr>
        <w:t>rekių</w:t>
      </w:r>
      <w:r w:rsidRPr="004349BC">
        <w:rPr>
          <w:rFonts w:asciiTheme="majorBidi" w:hAnsiTheme="majorBidi" w:cstheme="majorBidi"/>
          <w:sz w:val="24"/>
          <w:szCs w:val="24"/>
        </w:rPr>
        <w:t xml:space="preserve"> </w:t>
      </w:r>
      <w:r w:rsidR="006E0B13">
        <w:rPr>
          <w:rFonts w:asciiTheme="majorBidi" w:hAnsiTheme="majorBidi" w:cstheme="majorBidi"/>
          <w:sz w:val="24"/>
          <w:szCs w:val="24"/>
        </w:rPr>
        <w:t>pristatymo</w:t>
      </w:r>
      <w:r w:rsidRPr="004349BC">
        <w:rPr>
          <w:rFonts w:asciiTheme="majorBidi" w:hAnsiTheme="majorBidi" w:cstheme="majorBidi"/>
          <w:sz w:val="24"/>
          <w:szCs w:val="24"/>
        </w:rPr>
        <w:t xml:space="preserve"> vieta: Radiacinės saugos centras, Kalvarijų g. 153, LT-08352 Vilnius. </w:t>
      </w:r>
    </w:p>
    <w:p w14:paraId="3DCDF24E" w14:textId="1D2D4414" w:rsidR="00255A98" w:rsidRPr="004349BC" w:rsidRDefault="00255A98" w:rsidP="00B8169B">
      <w:pPr>
        <w:pStyle w:val="ListParagraph"/>
        <w:numPr>
          <w:ilvl w:val="1"/>
          <w:numId w:val="57"/>
        </w:numPr>
        <w:tabs>
          <w:tab w:val="left" w:pos="1276"/>
        </w:tabs>
        <w:ind w:left="0" w:firstLine="851"/>
        <w:jc w:val="both"/>
        <w:rPr>
          <w:rFonts w:asciiTheme="majorBidi" w:hAnsiTheme="majorBidi" w:cstheme="majorBidi"/>
          <w:sz w:val="24"/>
          <w:szCs w:val="24"/>
        </w:rPr>
      </w:pPr>
      <w:r w:rsidRPr="004349BC">
        <w:rPr>
          <w:rFonts w:asciiTheme="majorBidi" w:hAnsiTheme="majorBidi" w:cstheme="majorBidi"/>
          <w:sz w:val="24"/>
          <w:szCs w:val="24"/>
        </w:rPr>
        <w:t>Prekių t</w:t>
      </w:r>
      <w:r w:rsidR="006E0B13">
        <w:rPr>
          <w:rFonts w:asciiTheme="majorBidi" w:hAnsiTheme="majorBidi" w:cstheme="majorBidi"/>
          <w:sz w:val="24"/>
          <w:szCs w:val="24"/>
        </w:rPr>
        <w:t>iekimo</w:t>
      </w:r>
      <w:r w:rsidRPr="004349BC">
        <w:rPr>
          <w:rFonts w:asciiTheme="majorBidi" w:hAnsiTheme="majorBidi" w:cstheme="majorBidi"/>
          <w:sz w:val="24"/>
          <w:szCs w:val="24"/>
        </w:rPr>
        <w:t xml:space="preserve"> terminai: licencijų pristatymas įdiegimas ir</w:t>
      </w:r>
      <w:r w:rsidR="008161BE" w:rsidRPr="004349BC">
        <w:rPr>
          <w:rFonts w:asciiTheme="majorBidi" w:hAnsiTheme="majorBidi" w:cstheme="majorBidi"/>
          <w:sz w:val="24"/>
          <w:szCs w:val="24"/>
        </w:rPr>
        <w:t xml:space="preserve"> </w:t>
      </w:r>
      <w:r w:rsidRPr="004349BC">
        <w:rPr>
          <w:rFonts w:asciiTheme="majorBidi" w:hAnsiTheme="majorBidi" w:cstheme="majorBidi"/>
          <w:sz w:val="24"/>
          <w:szCs w:val="24"/>
        </w:rPr>
        <w:t>sukonfigūravimas turės būti atliktas ne ilgiau kaip per 4 (keturis) mėnesius nuo Sutarties pasirašymo</w:t>
      </w:r>
      <w:r w:rsidR="00082FE3">
        <w:rPr>
          <w:rFonts w:asciiTheme="majorBidi" w:hAnsiTheme="majorBidi" w:cstheme="majorBidi"/>
          <w:sz w:val="24"/>
          <w:szCs w:val="24"/>
        </w:rPr>
        <w:t xml:space="preserve"> dienos</w:t>
      </w:r>
      <w:r w:rsidRPr="004349BC">
        <w:rPr>
          <w:rFonts w:asciiTheme="majorBidi" w:hAnsiTheme="majorBidi" w:cstheme="majorBidi"/>
          <w:sz w:val="24"/>
          <w:szCs w:val="24"/>
        </w:rPr>
        <w:t>.</w:t>
      </w:r>
    </w:p>
    <w:p w14:paraId="1C29B1B7" w14:textId="77F99B76" w:rsidR="002433DF" w:rsidRPr="004349BC" w:rsidRDefault="002433DF" w:rsidP="00B8169B">
      <w:pPr>
        <w:pStyle w:val="ListParagraph"/>
        <w:numPr>
          <w:ilvl w:val="1"/>
          <w:numId w:val="57"/>
        </w:numPr>
        <w:pBdr>
          <w:top w:val="nil"/>
          <w:left w:val="nil"/>
          <w:bottom w:val="nil"/>
          <w:right w:val="nil"/>
          <w:between w:val="nil"/>
        </w:pBdr>
        <w:tabs>
          <w:tab w:val="left" w:pos="1276"/>
        </w:tabs>
        <w:spacing w:after="0" w:line="240" w:lineRule="auto"/>
        <w:ind w:left="0" w:firstLine="851"/>
        <w:jc w:val="both"/>
        <w:rPr>
          <w:rFonts w:asciiTheme="majorBidi" w:hAnsiTheme="majorBidi" w:cstheme="majorBidi"/>
          <w:sz w:val="24"/>
          <w:szCs w:val="24"/>
        </w:rPr>
      </w:pPr>
      <w:r w:rsidRPr="004349BC">
        <w:rPr>
          <w:rFonts w:asciiTheme="majorBidi" w:hAnsiTheme="majorBidi" w:cstheme="majorBidi"/>
          <w:sz w:val="24"/>
          <w:szCs w:val="24"/>
        </w:rPr>
        <w:t>Jei siūloma lygiavertė programinė įranga, Tiekėjas privalo savo lėšomis:</w:t>
      </w:r>
    </w:p>
    <w:p w14:paraId="6C0DA7BB" w14:textId="3620A1F3" w:rsidR="002433DF" w:rsidRPr="004349BC" w:rsidRDefault="002433DF" w:rsidP="00A532D8">
      <w:pPr>
        <w:pStyle w:val="ListParagraph"/>
        <w:numPr>
          <w:ilvl w:val="2"/>
          <w:numId w:val="57"/>
        </w:numPr>
        <w:pBdr>
          <w:top w:val="nil"/>
          <w:left w:val="nil"/>
          <w:bottom w:val="nil"/>
          <w:right w:val="nil"/>
          <w:between w:val="nil"/>
        </w:pBdr>
        <w:spacing w:after="0" w:line="240" w:lineRule="auto"/>
        <w:ind w:left="0" w:firstLine="851"/>
        <w:jc w:val="both"/>
        <w:rPr>
          <w:rFonts w:asciiTheme="majorBidi" w:hAnsiTheme="majorBidi" w:cstheme="majorBidi"/>
          <w:sz w:val="24"/>
          <w:szCs w:val="24"/>
        </w:rPr>
      </w:pPr>
      <w:r w:rsidRPr="004349BC">
        <w:rPr>
          <w:rFonts w:asciiTheme="majorBidi" w:hAnsiTheme="majorBidi" w:cstheme="majorBidi"/>
          <w:sz w:val="24"/>
          <w:szCs w:val="24"/>
        </w:rPr>
        <w:t xml:space="preserve"> ne daugiau kaip per 2 mėnesius privalo atlikti Pirkėjo turimų sistemų (inžinerinių, topografinių erdvinių miesto duomenų apsikeitimo logiką, objektų simbolizavimą ir planų spausdinimą ir kt.) migravimą iš dabartiniu metu naudojamos </w:t>
      </w:r>
      <w:r w:rsidR="00241113" w:rsidRPr="004349BC">
        <w:rPr>
          <w:rFonts w:asciiTheme="majorBidi" w:hAnsiTheme="majorBidi" w:cstheme="majorBidi"/>
          <w:sz w:val="24"/>
          <w:szCs w:val="24"/>
        </w:rPr>
        <w:t xml:space="preserve">Esri ArcGIS </w:t>
      </w:r>
      <w:r w:rsidRPr="004349BC">
        <w:rPr>
          <w:rFonts w:asciiTheme="majorBidi" w:hAnsiTheme="majorBidi" w:cstheme="majorBidi"/>
          <w:sz w:val="24"/>
          <w:szCs w:val="24"/>
        </w:rPr>
        <w:t>aplinkos į lygiavertę, užtikrinant nepertraukiamą Pirkėjo turimų sistemų darbą, atlikti internetinių paslaugų portalų perprogramavimą, kurie susiję su ArcGIS Enterprise ir ArcGIS Online paslaugomis arba juos pritaikyti veikti naudojant lygiaverčius sprendimus</w:t>
      </w:r>
      <w:r w:rsidR="00350591">
        <w:rPr>
          <w:rFonts w:asciiTheme="majorBidi" w:hAnsiTheme="majorBidi" w:cstheme="majorBidi"/>
          <w:sz w:val="24"/>
          <w:szCs w:val="24"/>
        </w:rPr>
        <w:t>;</w:t>
      </w:r>
    </w:p>
    <w:p w14:paraId="5BB501C3" w14:textId="00A1980D" w:rsidR="002433DF" w:rsidRPr="004349BC" w:rsidRDefault="002433DF" w:rsidP="00A532D8">
      <w:pPr>
        <w:pStyle w:val="ListParagraph"/>
        <w:numPr>
          <w:ilvl w:val="2"/>
          <w:numId w:val="57"/>
        </w:numPr>
        <w:pBdr>
          <w:top w:val="nil"/>
          <w:left w:val="nil"/>
          <w:bottom w:val="nil"/>
          <w:right w:val="nil"/>
          <w:between w:val="nil"/>
        </w:pBdr>
        <w:spacing w:after="0" w:line="240" w:lineRule="auto"/>
        <w:ind w:left="0" w:firstLine="851"/>
        <w:jc w:val="both"/>
        <w:rPr>
          <w:rFonts w:asciiTheme="majorBidi" w:hAnsiTheme="majorBidi" w:cstheme="majorBidi"/>
          <w:sz w:val="24"/>
          <w:szCs w:val="24"/>
        </w:rPr>
      </w:pPr>
      <w:r w:rsidRPr="004349BC">
        <w:rPr>
          <w:rFonts w:asciiTheme="majorBidi" w:hAnsiTheme="majorBidi" w:cstheme="majorBidi"/>
          <w:sz w:val="24"/>
          <w:szCs w:val="24"/>
        </w:rPr>
        <w:t>užtikrinti Pirkėjo specialistų apmokymus darbui su siūloma programine įranga</w:t>
      </w:r>
      <w:r w:rsidR="00350591">
        <w:rPr>
          <w:rFonts w:asciiTheme="majorBidi" w:hAnsiTheme="majorBidi" w:cstheme="majorBidi"/>
          <w:sz w:val="24"/>
          <w:szCs w:val="24"/>
        </w:rPr>
        <w:t>;</w:t>
      </w:r>
    </w:p>
    <w:p w14:paraId="0BB0EAC5" w14:textId="4E5A10C3" w:rsidR="002433DF" w:rsidRPr="004349BC" w:rsidRDefault="002433DF" w:rsidP="00A532D8">
      <w:pPr>
        <w:pStyle w:val="ListParagraph"/>
        <w:numPr>
          <w:ilvl w:val="2"/>
          <w:numId w:val="57"/>
        </w:numPr>
        <w:pBdr>
          <w:top w:val="nil"/>
          <w:left w:val="nil"/>
          <w:bottom w:val="nil"/>
          <w:right w:val="nil"/>
          <w:between w:val="nil"/>
        </w:pBdr>
        <w:spacing w:after="0" w:line="240" w:lineRule="auto"/>
        <w:ind w:left="0" w:firstLine="851"/>
        <w:jc w:val="both"/>
        <w:rPr>
          <w:rFonts w:asciiTheme="majorBidi" w:hAnsiTheme="majorBidi" w:cstheme="majorBidi"/>
          <w:sz w:val="24"/>
          <w:szCs w:val="24"/>
        </w:rPr>
      </w:pPr>
      <w:r w:rsidRPr="004349BC">
        <w:rPr>
          <w:rFonts w:asciiTheme="majorBidi" w:hAnsiTheme="majorBidi" w:cstheme="majorBidi"/>
          <w:sz w:val="24"/>
          <w:szCs w:val="24"/>
        </w:rPr>
        <w:t>užtikrinti kad, lygiavertė programinė įranga atitiktų turimos ir naudojamos programinės įrangos bazinį funkcionalumą, duomenų suderinamumą tarp visų naudojamų sistemų, bei visų veikiančių veiklos procesų veikimą, kurie orientuoti į vidinius ir išorinius vartotojus</w:t>
      </w:r>
      <w:r w:rsidR="00350591">
        <w:rPr>
          <w:rFonts w:asciiTheme="majorBidi" w:hAnsiTheme="majorBidi" w:cstheme="majorBidi"/>
          <w:sz w:val="24"/>
          <w:szCs w:val="24"/>
        </w:rPr>
        <w:t>;</w:t>
      </w:r>
    </w:p>
    <w:p w14:paraId="51A75EB3" w14:textId="2ED67A8B" w:rsidR="007432D0" w:rsidRPr="004349BC" w:rsidRDefault="007432D0" w:rsidP="00A532D8">
      <w:pPr>
        <w:pStyle w:val="ListParagraph"/>
        <w:numPr>
          <w:ilvl w:val="1"/>
          <w:numId w:val="57"/>
        </w:numPr>
        <w:ind w:left="0" w:firstLine="851"/>
        <w:jc w:val="both"/>
        <w:rPr>
          <w:rFonts w:asciiTheme="majorBidi" w:hAnsiTheme="majorBidi" w:cstheme="majorBidi"/>
          <w:sz w:val="24"/>
          <w:szCs w:val="24"/>
        </w:rPr>
      </w:pPr>
      <w:r w:rsidRPr="004349BC">
        <w:rPr>
          <w:rFonts w:asciiTheme="majorBidi" w:hAnsiTheme="majorBidi" w:cstheme="majorBidi"/>
          <w:sz w:val="24"/>
          <w:szCs w:val="24"/>
        </w:rPr>
        <w:t xml:space="preserve">Turi būti numatytas ne trumpesnis nei 12 mėn. garantinio aptarnavimo laikotarpis, per kurį Tiekėjas privalo nemokamai pašalinti atsiradusius sukurtų </w:t>
      </w:r>
      <w:r w:rsidR="00255A98" w:rsidRPr="004349BC">
        <w:rPr>
          <w:rFonts w:asciiTheme="majorBidi" w:hAnsiTheme="majorBidi" w:cstheme="majorBidi"/>
          <w:sz w:val="24"/>
          <w:szCs w:val="24"/>
        </w:rPr>
        <w:t>testinės aplinkos</w:t>
      </w:r>
      <w:r w:rsidRPr="004349BC">
        <w:rPr>
          <w:rFonts w:asciiTheme="majorBidi" w:hAnsiTheme="majorBidi" w:cstheme="majorBidi"/>
          <w:sz w:val="24"/>
          <w:szCs w:val="24"/>
        </w:rPr>
        <w:t xml:space="preserve"> veikimo trukdžius ir klaidas, jei jie atsirado ne dėl </w:t>
      </w:r>
      <w:r w:rsidR="00255A98" w:rsidRPr="004349BC">
        <w:rPr>
          <w:rFonts w:asciiTheme="majorBidi" w:hAnsiTheme="majorBidi" w:cstheme="majorBidi"/>
          <w:sz w:val="24"/>
          <w:szCs w:val="24"/>
        </w:rPr>
        <w:t>RSC</w:t>
      </w:r>
      <w:r w:rsidRPr="004349BC">
        <w:rPr>
          <w:rFonts w:asciiTheme="majorBidi" w:hAnsiTheme="majorBidi" w:cstheme="majorBidi"/>
          <w:sz w:val="24"/>
          <w:szCs w:val="24"/>
        </w:rPr>
        <w:t xml:space="preserve"> kaltės.</w:t>
      </w:r>
    </w:p>
    <w:p w14:paraId="69F75E20" w14:textId="5828B73E" w:rsidR="007F550B" w:rsidRPr="004349BC" w:rsidRDefault="00381C70" w:rsidP="00FD3CBD">
      <w:pPr>
        <w:pStyle w:val="ListParagraph"/>
        <w:spacing w:after="0" w:line="240" w:lineRule="auto"/>
        <w:ind w:left="0"/>
        <w:jc w:val="center"/>
        <w:rPr>
          <w:rFonts w:asciiTheme="majorBidi" w:hAnsiTheme="majorBidi" w:cstheme="majorBidi"/>
          <w:sz w:val="24"/>
          <w:szCs w:val="24"/>
        </w:rPr>
      </w:pPr>
      <w:r w:rsidRPr="004349BC">
        <w:rPr>
          <w:rFonts w:asciiTheme="majorBidi" w:hAnsiTheme="majorBidi" w:cstheme="majorBidi"/>
          <w:sz w:val="24"/>
          <w:szCs w:val="24"/>
        </w:rPr>
        <w:t>____________________</w:t>
      </w:r>
    </w:p>
    <w:sectPr w:rsidR="007F550B" w:rsidRPr="004349BC" w:rsidSect="0094641A">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FC67" w14:textId="77777777" w:rsidR="00C878FF" w:rsidRDefault="00C878FF" w:rsidP="007072A5">
      <w:pPr>
        <w:spacing w:after="0" w:line="240" w:lineRule="auto"/>
      </w:pPr>
      <w:r>
        <w:separator/>
      </w:r>
    </w:p>
  </w:endnote>
  <w:endnote w:type="continuationSeparator" w:id="0">
    <w:p w14:paraId="345D53B1" w14:textId="77777777" w:rsidR="00C878FF" w:rsidRDefault="00C878FF" w:rsidP="0070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D771" w14:textId="77777777" w:rsidR="00C878FF" w:rsidRDefault="00C878FF" w:rsidP="007072A5">
      <w:pPr>
        <w:spacing w:after="0" w:line="240" w:lineRule="auto"/>
      </w:pPr>
      <w:r>
        <w:separator/>
      </w:r>
    </w:p>
  </w:footnote>
  <w:footnote w:type="continuationSeparator" w:id="0">
    <w:p w14:paraId="2ED5FF66" w14:textId="77777777" w:rsidR="00C878FF" w:rsidRDefault="00C878FF" w:rsidP="0070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721377"/>
      <w:docPartObj>
        <w:docPartGallery w:val="Page Numbers (Top of Page)"/>
        <w:docPartUnique/>
      </w:docPartObj>
    </w:sdtPr>
    <w:sdtEndPr>
      <w:rPr>
        <w:rFonts w:asciiTheme="majorBidi" w:hAnsiTheme="majorBidi" w:cstheme="majorBidi"/>
        <w:noProof/>
        <w:sz w:val="24"/>
        <w:szCs w:val="24"/>
      </w:rPr>
    </w:sdtEndPr>
    <w:sdtContent>
      <w:p w14:paraId="6B844569" w14:textId="2383F74C" w:rsidR="00381C70" w:rsidRPr="00381C70" w:rsidRDefault="00381C70">
        <w:pPr>
          <w:pStyle w:val="Header"/>
          <w:jc w:val="center"/>
          <w:rPr>
            <w:rFonts w:asciiTheme="majorBidi" w:hAnsiTheme="majorBidi" w:cstheme="majorBidi"/>
            <w:sz w:val="24"/>
            <w:szCs w:val="24"/>
          </w:rPr>
        </w:pPr>
        <w:r w:rsidRPr="00381C70">
          <w:rPr>
            <w:rFonts w:asciiTheme="majorBidi" w:hAnsiTheme="majorBidi" w:cstheme="majorBidi"/>
            <w:sz w:val="24"/>
            <w:szCs w:val="24"/>
          </w:rPr>
          <w:fldChar w:fldCharType="begin"/>
        </w:r>
        <w:r w:rsidRPr="00381C70">
          <w:rPr>
            <w:rFonts w:asciiTheme="majorBidi" w:hAnsiTheme="majorBidi" w:cstheme="majorBidi"/>
            <w:sz w:val="24"/>
            <w:szCs w:val="24"/>
          </w:rPr>
          <w:instrText xml:space="preserve"> PAGE   \* MERGEFORMAT </w:instrText>
        </w:r>
        <w:r w:rsidRPr="00381C70">
          <w:rPr>
            <w:rFonts w:asciiTheme="majorBidi" w:hAnsiTheme="majorBidi" w:cstheme="majorBidi"/>
            <w:sz w:val="24"/>
            <w:szCs w:val="24"/>
          </w:rPr>
          <w:fldChar w:fldCharType="separate"/>
        </w:r>
        <w:r w:rsidRPr="00381C70">
          <w:rPr>
            <w:rFonts w:asciiTheme="majorBidi" w:hAnsiTheme="majorBidi" w:cstheme="majorBidi"/>
            <w:noProof/>
            <w:sz w:val="24"/>
            <w:szCs w:val="24"/>
          </w:rPr>
          <w:t>2</w:t>
        </w:r>
        <w:r w:rsidRPr="00381C70">
          <w:rPr>
            <w:rFonts w:asciiTheme="majorBidi" w:hAnsiTheme="majorBidi" w:cstheme="majorBidi"/>
            <w:noProof/>
            <w:sz w:val="24"/>
            <w:szCs w:val="24"/>
          </w:rPr>
          <w:fldChar w:fldCharType="end"/>
        </w:r>
      </w:p>
    </w:sdtContent>
  </w:sdt>
  <w:p w14:paraId="10618535" w14:textId="77777777" w:rsidR="00381C70" w:rsidRDefault="00381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D9"/>
    <w:multiLevelType w:val="hybridMultilevel"/>
    <w:tmpl w:val="9A92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639B5"/>
    <w:multiLevelType w:val="hybridMultilevel"/>
    <w:tmpl w:val="13FA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158D8"/>
    <w:multiLevelType w:val="hybridMultilevel"/>
    <w:tmpl w:val="42EE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57583"/>
    <w:multiLevelType w:val="multilevel"/>
    <w:tmpl w:val="2496F4A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7C4D01"/>
    <w:multiLevelType w:val="hybridMultilevel"/>
    <w:tmpl w:val="B372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3313D"/>
    <w:multiLevelType w:val="hybridMultilevel"/>
    <w:tmpl w:val="3F76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A53BF"/>
    <w:multiLevelType w:val="multilevel"/>
    <w:tmpl w:val="FEE6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75284"/>
    <w:multiLevelType w:val="hybridMultilevel"/>
    <w:tmpl w:val="97E0F9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CA4FA9"/>
    <w:multiLevelType w:val="hybridMultilevel"/>
    <w:tmpl w:val="426A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B13E3"/>
    <w:multiLevelType w:val="hybridMultilevel"/>
    <w:tmpl w:val="29F0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15C84"/>
    <w:multiLevelType w:val="hybridMultilevel"/>
    <w:tmpl w:val="D76CF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F10A9"/>
    <w:multiLevelType w:val="multilevel"/>
    <w:tmpl w:val="B8B0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0174D"/>
    <w:multiLevelType w:val="multilevel"/>
    <w:tmpl w:val="474E0566"/>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234" w:hanging="720"/>
      </w:pPr>
      <w:rPr>
        <w:rFonts w:hint="default"/>
        <w:color w:val="000000"/>
      </w:rPr>
    </w:lvl>
    <w:lvl w:ilvl="3">
      <w:start w:val="1"/>
      <w:numFmt w:val="decimal"/>
      <w:lvlText w:val="%1.%2.%3.%4."/>
      <w:lvlJc w:val="left"/>
      <w:pPr>
        <w:ind w:left="2564"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BBB7F7A"/>
    <w:multiLevelType w:val="hybridMultilevel"/>
    <w:tmpl w:val="886C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856BB"/>
    <w:multiLevelType w:val="multilevel"/>
    <w:tmpl w:val="87FC4A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416521"/>
    <w:multiLevelType w:val="hybridMultilevel"/>
    <w:tmpl w:val="CA661F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74733C"/>
    <w:multiLevelType w:val="hybridMultilevel"/>
    <w:tmpl w:val="3A94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96BF4"/>
    <w:multiLevelType w:val="hybridMultilevel"/>
    <w:tmpl w:val="5EA6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82605"/>
    <w:multiLevelType w:val="hybridMultilevel"/>
    <w:tmpl w:val="87DC8D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B279DF"/>
    <w:multiLevelType w:val="hybridMultilevel"/>
    <w:tmpl w:val="49EC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A259C"/>
    <w:multiLevelType w:val="hybridMultilevel"/>
    <w:tmpl w:val="F252D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A69E0"/>
    <w:multiLevelType w:val="hybridMultilevel"/>
    <w:tmpl w:val="05AA9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746194"/>
    <w:multiLevelType w:val="multilevel"/>
    <w:tmpl w:val="687A9D86"/>
    <w:lvl w:ilvl="0">
      <w:start w:val="4"/>
      <w:numFmt w:val="decimal"/>
      <w:pStyle w:val="Heading1"/>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3EBF76C9"/>
    <w:multiLevelType w:val="hybridMultilevel"/>
    <w:tmpl w:val="7A82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406F8"/>
    <w:multiLevelType w:val="hybridMultilevel"/>
    <w:tmpl w:val="2AC2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8347C"/>
    <w:multiLevelType w:val="hybridMultilevel"/>
    <w:tmpl w:val="E4BA41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8D5B25"/>
    <w:multiLevelType w:val="hybridMultilevel"/>
    <w:tmpl w:val="E02A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B0434"/>
    <w:multiLevelType w:val="hybridMultilevel"/>
    <w:tmpl w:val="F61AC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830F8"/>
    <w:multiLevelType w:val="hybridMultilevel"/>
    <w:tmpl w:val="E2E04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ED2EA8"/>
    <w:multiLevelType w:val="hybridMultilevel"/>
    <w:tmpl w:val="1F84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0B25F5"/>
    <w:multiLevelType w:val="hybridMultilevel"/>
    <w:tmpl w:val="D65C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F53B7"/>
    <w:multiLevelType w:val="hybridMultilevel"/>
    <w:tmpl w:val="A768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013A41"/>
    <w:multiLevelType w:val="hybridMultilevel"/>
    <w:tmpl w:val="6642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F2D39"/>
    <w:multiLevelType w:val="hybridMultilevel"/>
    <w:tmpl w:val="49E6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A54908"/>
    <w:multiLevelType w:val="hybridMultilevel"/>
    <w:tmpl w:val="F61E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84BDB"/>
    <w:multiLevelType w:val="hybridMultilevel"/>
    <w:tmpl w:val="986CF8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A63575"/>
    <w:multiLevelType w:val="multilevel"/>
    <w:tmpl w:val="214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AB05CF"/>
    <w:multiLevelType w:val="multilevel"/>
    <w:tmpl w:val="22F6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A214D0"/>
    <w:multiLevelType w:val="multilevel"/>
    <w:tmpl w:val="43C6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B44A3"/>
    <w:multiLevelType w:val="hybridMultilevel"/>
    <w:tmpl w:val="617AFF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967E65"/>
    <w:multiLevelType w:val="hybridMultilevel"/>
    <w:tmpl w:val="9F24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BE1C6F"/>
    <w:multiLevelType w:val="hybridMultilevel"/>
    <w:tmpl w:val="7D98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8674BA"/>
    <w:multiLevelType w:val="multilevel"/>
    <w:tmpl w:val="CEF6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BA294D"/>
    <w:multiLevelType w:val="hybridMultilevel"/>
    <w:tmpl w:val="A6A6CB8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6E2354"/>
    <w:multiLevelType w:val="hybridMultilevel"/>
    <w:tmpl w:val="12B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84563F"/>
    <w:multiLevelType w:val="hybridMultilevel"/>
    <w:tmpl w:val="D994861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865AA1"/>
    <w:multiLevelType w:val="hybridMultilevel"/>
    <w:tmpl w:val="2E9A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3D3772"/>
    <w:multiLevelType w:val="hybridMultilevel"/>
    <w:tmpl w:val="B112A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7D09BE"/>
    <w:multiLevelType w:val="multilevel"/>
    <w:tmpl w:val="CF2A25A6"/>
    <w:lvl w:ilvl="0">
      <w:start w:val="1"/>
      <w:numFmt w:val="decimal"/>
      <w:lvlText w:val="%1."/>
      <w:lvlJc w:val="left"/>
      <w:pPr>
        <w:ind w:left="720" w:hanging="360"/>
      </w:pPr>
      <w:rPr>
        <w:b/>
        <w:sz w:val="24"/>
        <w:szCs w:val="24"/>
      </w:rPr>
    </w:lvl>
    <w:lvl w:ilvl="1">
      <w:start w:val="1"/>
      <w:numFmt w:val="decimal"/>
      <w:lvlText w:val="%1.%2"/>
      <w:lvlJc w:val="left"/>
      <w:pPr>
        <w:ind w:left="937" w:hanging="37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49" w15:restartNumberingAfterBreak="0">
    <w:nsid w:val="7C8A02A5"/>
    <w:multiLevelType w:val="multilevel"/>
    <w:tmpl w:val="3CF8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513596"/>
    <w:multiLevelType w:val="hybridMultilevel"/>
    <w:tmpl w:val="F7D6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9D05A8"/>
    <w:multiLevelType w:val="hybridMultilevel"/>
    <w:tmpl w:val="3ED85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7833408">
    <w:abstractNumId w:val="32"/>
  </w:num>
  <w:num w:numId="2" w16cid:durableId="1537430336">
    <w:abstractNumId w:val="47"/>
  </w:num>
  <w:num w:numId="3" w16cid:durableId="1848909357">
    <w:abstractNumId w:val="27"/>
  </w:num>
  <w:num w:numId="4" w16cid:durableId="1868516936">
    <w:abstractNumId w:val="45"/>
  </w:num>
  <w:num w:numId="5" w16cid:durableId="587737517">
    <w:abstractNumId w:val="7"/>
  </w:num>
  <w:num w:numId="6" w16cid:durableId="755126623">
    <w:abstractNumId w:val="25"/>
  </w:num>
  <w:num w:numId="7" w16cid:durableId="2074965299">
    <w:abstractNumId w:val="15"/>
  </w:num>
  <w:num w:numId="8" w16cid:durableId="142505532">
    <w:abstractNumId w:val="21"/>
  </w:num>
  <w:num w:numId="9" w16cid:durableId="428308670">
    <w:abstractNumId w:val="43"/>
  </w:num>
  <w:num w:numId="10" w16cid:durableId="1845585894">
    <w:abstractNumId w:val="39"/>
  </w:num>
  <w:num w:numId="11" w16cid:durableId="1375501316">
    <w:abstractNumId w:val="49"/>
  </w:num>
  <w:num w:numId="12" w16cid:durableId="718751498">
    <w:abstractNumId w:val="37"/>
    <w:lvlOverride w:ilvl="0">
      <w:lvl w:ilvl="0">
        <w:numFmt w:val="lowerLetter"/>
        <w:lvlText w:val="%1."/>
        <w:lvlJc w:val="left"/>
      </w:lvl>
    </w:lvlOverride>
  </w:num>
  <w:num w:numId="13" w16cid:durableId="623731344">
    <w:abstractNumId w:val="37"/>
    <w:lvlOverride w:ilvl="0">
      <w:lvl w:ilvl="0">
        <w:numFmt w:val="lowerLetter"/>
        <w:lvlText w:val="%1."/>
        <w:lvlJc w:val="left"/>
      </w:lvl>
    </w:lvlOverride>
  </w:num>
  <w:num w:numId="14" w16cid:durableId="1155876662">
    <w:abstractNumId w:val="37"/>
    <w:lvlOverride w:ilvl="0">
      <w:lvl w:ilvl="0">
        <w:numFmt w:val="lowerLetter"/>
        <w:lvlText w:val="%1."/>
        <w:lvlJc w:val="left"/>
      </w:lvl>
    </w:lvlOverride>
  </w:num>
  <w:num w:numId="15" w16cid:durableId="1156725911">
    <w:abstractNumId w:val="37"/>
    <w:lvlOverride w:ilvl="0">
      <w:lvl w:ilvl="0">
        <w:numFmt w:val="lowerLetter"/>
        <w:lvlText w:val="%1."/>
        <w:lvlJc w:val="left"/>
      </w:lvl>
    </w:lvlOverride>
  </w:num>
  <w:num w:numId="16" w16cid:durableId="820000387">
    <w:abstractNumId w:val="37"/>
    <w:lvlOverride w:ilvl="0">
      <w:lvl w:ilvl="0">
        <w:numFmt w:val="lowerLetter"/>
        <w:lvlText w:val="%1."/>
        <w:lvlJc w:val="left"/>
      </w:lvl>
    </w:lvlOverride>
  </w:num>
  <w:num w:numId="17" w16cid:durableId="167329666">
    <w:abstractNumId w:val="37"/>
    <w:lvlOverride w:ilvl="0">
      <w:lvl w:ilvl="0">
        <w:numFmt w:val="lowerLetter"/>
        <w:lvlText w:val="%1."/>
        <w:lvlJc w:val="left"/>
      </w:lvl>
    </w:lvlOverride>
  </w:num>
  <w:num w:numId="18" w16cid:durableId="322241458">
    <w:abstractNumId w:val="37"/>
    <w:lvlOverride w:ilvl="0">
      <w:lvl w:ilvl="0">
        <w:numFmt w:val="lowerLetter"/>
        <w:lvlText w:val="%1."/>
        <w:lvlJc w:val="left"/>
      </w:lvl>
    </w:lvlOverride>
  </w:num>
  <w:num w:numId="19" w16cid:durableId="764377359">
    <w:abstractNumId w:val="37"/>
    <w:lvlOverride w:ilvl="0">
      <w:lvl w:ilvl="0">
        <w:numFmt w:val="lowerLetter"/>
        <w:lvlText w:val="%1."/>
        <w:lvlJc w:val="left"/>
      </w:lvl>
    </w:lvlOverride>
  </w:num>
  <w:num w:numId="20" w16cid:durableId="1747724245">
    <w:abstractNumId w:val="37"/>
    <w:lvlOverride w:ilvl="0">
      <w:lvl w:ilvl="0">
        <w:numFmt w:val="lowerLetter"/>
        <w:lvlText w:val="%1."/>
        <w:lvlJc w:val="left"/>
      </w:lvl>
    </w:lvlOverride>
  </w:num>
  <w:num w:numId="21" w16cid:durableId="125436064">
    <w:abstractNumId w:val="17"/>
  </w:num>
  <w:num w:numId="22" w16cid:durableId="1957634160">
    <w:abstractNumId w:val="8"/>
  </w:num>
  <w:num w:numId="23" w16cid:durableId="519196725">
    <w:abstractNumId w:val="14"/>
  </w:num>
  <w:num w:numId="24" w16cid:durableId="797407711">
    <w:abstractNumId w:val="24"/>
  </w:num>
  <w:num w:numId="25" w16cid:durableId="1066876037">
    <w:abstractNumId w:val="6"/>
  </w:num>
  <w:num w:numId="26" w16cid:durableId="2012489080">
    <w:abstractNumId w:val="19"/>
  </w:num>
  <w:num w:numId="27" w16cid:durableId="1222181347">
    <w:abstractNumId w:val="13"/>
  </w:num>
  <w:num w:numId="28" w16cid:durableId="414279842">
    <w:abstractNumId w:val="11"/>
  </w:num>
  <w:num w:numId="29" w16cid:durableId="83042334">
    <w:abstractNumId w:val="28"/>
  </w:num>
  <w:num w:numId="30" w16cid:durableId="1559239288">
    <w:abstractNumId w:val="35"/>
  </w:num>
  <w:num w:numId="31" w16cid:durableId="951547317">
    <w:abstractNumId w:val="34"/>
  </w:num>
  <w:num w:numId="32" w16cid:durableId="36006727">
    <w:abstractNumId w:val="30"/>
  </w:num>
  <w:num w:numId="33" w16cid:durableId="595291927">
    <w:abstractNumId w:val="10"/>
  </w:num>
  <w:num w:numId="34" w16cid:durableId="1260986121">
    <w:abstractNumId w:val="29"/>
  </w:num>
  <w:num w:numId="35" w16cid:durableId="1267301073">
    <w:abstractNumId w:val="2"/>
  </w:num>
  <w:num w:numId="36" w16cid:durableId="284848874">
    <w:abstractNumId w:val="38"/>
  </w:num>
  <w:num w:numId="37" w16cid:durableId="2087140683">
    <w:abstractNumId w:val="20"/>
  </w:num>
  <w:num w:numId="38" w16cid:durableId="353196799">
    <w:abstractNumId w:val="36"/>
  </w:num>
  <w:num w:numId="39" w16cid:durableId="793911492">
    <w:abstractNumId w:val="42"/>
  </w:num>
  <w:num w:numId="40" w16cid:durableId="667755278">
    <w:abstractNumId w:val="51"/>
  </w:num>
  <w:num w:numId="41" w16cid:durableId="1445998057">
    <w:abstractNumId w:val="1"/>
  </w:num>
  <w:num w:numId="42" w16cid:durableId="562104198">
    <w:abstractNumId w:val="23"/>
  </w:num>
  <w:num w:numId="43" w16cid:durableId="1872380580">
    <w:abstractNumId w:val="33"/>
  </w:num>
  <w:num w:numId="44" w16cid:durableId="951085976">
    <w:abstractNumId w:val="46"/>
  </w:num>
  <w:num w:numId="45" w16cid:durableId="260384149">
    <w:abstractNumId w:val="50"/>
  </w:num>
  <w:num w:numId="46" w16cid:durableId="694768634">
    <w:abstractNumId w:val="40"/>
  </w:num>
  <w:num w:numId="47" w16cid:durableId="1555703225">
    <w:abstractNumId w:val="44"/>
  </w:num>
  <w:num w:numId="48" w16cid:durableId="868642763">
    <w:abstractNumId w:val="4"/>
  </w:num>
  <w:num w:numId="49" w16cid:durableId="186909325">
    <w:abstractNumId w:val="0"/>
  </w:num>
  <w:num w:numId="50" w16cid:durableId="730077309">
    <w:abstractNumId w:val="16"/>
  </w:num>
  <w:num w:numId="51" w16cid:durableId="82075017">
    <w:abstractNumId w:val="5"/>
  </w:num>
  <w:num w:numId="52" w16cid:durableId="1838839741">
    <w:abstractNumId w:val="31"/>
  </w:num>
  <w:num w:numId="53" w16cid:durableId="959528283">
    <w:abstractNumId w:val="9"/>
  </w:num>
  <w:num w:numId="54" w16cid:durableId="412165544">
    <w:abstractNumId w:val="26"/>
  </w:num>
  <w:num w:numId="55" w16cid:durableId="369182390">
    <w:abstractNumId w:val="41"/>
  </w:num>
  <w:num w:numId="56" w16cid:durableId="1800150525">
    <w:abstractNumId w:val="18"/>
  </w:num>
  <w:num w:numId="57" w16cid:durableId="661812201">
    <w:abstractNumId w:val="3"/>
  </w:num>
  <w:num w:numId="58" w16cid:durableId="168329114">
    <w:abstractNumId w:val="22"/>
  </w:num>
  <w:num w:numId="59" w16cid:durableId="454255279">
    <w:abstractNumId w:val="48"/>
  </w:num>
  <w:num w:numId="60" w16cid:durableId="943223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30"/>
    <w:rsid w:val="0002015D"/>
    <w:rsid w:val="000266A2"/>
    <w:rsid w:val="00046A71"/>
    <w:rsid w:val="0007662E"/>
    <w:rsid w:val="00082FE3"/>
    <w:rsid w:val="000A3E71"/>
    <w:rsid w:val="000C71C8"/>
    <w:rsid w:val="00123743"/>
    <w:rsid w:val="0013788A"/>
    <w:rsid w:val="00153DAE"/>
    <w:rsid w:val="00175833"/>
    <w:rsid w:val="00180C5B"/>
    <w:rsid w:val="001A634F"/>
    <w:rsid w:val="001F6F0C"/>
    <w:rsid w:val="0020681B"/>
    <w:rsid w:val="00241113"/>
    <w:rsid w:val="002433DF"/>
    <w:rsid w:val="00255A98"/>
    <w:rsid w:val="00274724"/>
    <w:rsid w:val="00274D5C"/>
    <w:rsid w:val="00281291"/>
    <w:rsid w:val="002A57BA"/>
    <w:rsid w:val="002B3EB9"/>
    <w:rsid w:val="002F221A"/>
    <w:rsid w:val="002F41D9"/>
    <w:rsid w:val="00334803"/>
    <w:rsid w:val="00346584"/>
    <w:rsid w:val="00350591"/>
    <w:rsid w:val="003649DC"/>
    <w:rsid w:val="00381101"/>
    <w:rsid w:val="00381C70"/>
    <w:rsid w:val="00385D2B"/>
    <w:rsid w:val="003928F9"/>
    <w:rsid w:val="003E03DE"/>
    <w:rsid w:val="003F13EE"/>
    <w:rsid w:val="0040209D"/>
    <w:rsid w:val="004349BC"/>
    <w:rsid w:val="00442A97"/>
    <w:rsid w:val="00450BEA"/>
    <w:rsid w:val="00477452"/>
    <w:rsid w:val="00494D94"/>
    <w:rsid w:val="005379B5"/>
    <w:rsid w:val="00540198"/>
    <w:rsid w:val="00557F9D"/>
    <w:rsid w:val="005764F1"/>
    <w:rsid w:val="005C6038"/>
    <w:rsid w:val="00601688"/>
    <w:rsid w:val="006D4DCB"/>
    <w:rsid w:val="006D77F3"/>
    <w:rsid w:val="006E0B13"/>
    <w:rsid w:val="006E16DA"/>
    <w:rsid w:val="007072A5"/>
    <w:rsid w:val="007405A8"/>
    <w:rsid w:val="007432D0"/>
    <w:rsid w:val="00767641"/>
    <w:rsid w:val="00767995"/>
    <w:rsid w:val="00776688"/>
    <w:rsid w:val="0079504C"/>
    <w:rsid w:val="007F550B"/>
    <w:rsid w:val="007F63CE"/>
    <w:rsid w:val="00800BEA"/>
    <w:rsid w:val="008161BE"/>
    <w:rsid w:val="00857697"/>
    <w:rsid w:val="0086412F"/>
    <w:rsid w:val="008912D8"/>
    <w:rsid w:val="009031FD"/>
    <w:rsid w:val="00944B5F"/>
    <w:rsid w:val="0094641A"/>
    <w:rsid w:val="00966D21"/>
    <w:rsid w:val="0097189F"/>
    <w:rsid w:val="009A47EB"/>
    <w:rsid w:val="009B2DA8"/>
    <w:rsid w:val="009E644A"/>
    <w:rsid w:val="00A300FA"/>
    <w:rsid w:val="00A3193C"/>
    <w:rsid w:val="00A532D8"/>
    <w:rsid w:val="00AA5085"/>
    <w:rsid w:val="00AC6595"/>
    <w:rsid w:val="00AD2657"/>
    <w:rsid w:val="00AD6E52"/>
    <w:rsid w:val="00AF219F"/>
    <w:rsid w:val="00AF4E49"/>
    <w:rsid w:val="00B3774D"/>
    <w:rsid w:val="00B465CD"/>
    <w:rsid w:val="00B8169B"/>
    <w:rsid w:val="00B856F7"/>
    <w:rsid w:val="00BA40D8"/>
    <w:rsid w:val="00BD091A"/>
    <w:rsid w:val="00C151B2"/>
    <w:rsid w:val="00C878FF"/>
    <w:rsid w:val="00CB2363"/>
    <w:rsid w:val="00CC4F6A"/>
    <w:rsid w:val="00D03BB9"/>
    <w:rsid w:val="00D07989"/>
    <w:rsid w:val="00D1471A"/>
    <w:rsid w:val="00D2118A"/>
    <w:rsid w:val="00D45A24"/>
    <w:rsid w:val="00D541FE"/>
    <w:rsid w:val="00D710E5"/>
    <w:rsid w:val="00D839A5"/>
    <w:rsid w:val="00D9249F"/>
    <w:rsid w:val="00DA2286"/>
    <w:rsid w:val="00DB0430"/>
    <w:rsid w:val="00DB27DB"/>
    <w:rsid w:val="00DB5FAC"/>
    <w:rsid w:val="00DC72DC"/>
    <w:rsid w:val="00E007A6"/>
    <w:rsid w:val="00E15C5F"/>
    <w:rsid w:val="00E435C1"/>
    <w:rsid w:val="00E44322"/>
    <w:rsid w:val="00E508C0"/>
    <w:rsid w:val="00E5544A"/>
    <w:rsid w:val="00E75968"/>
    <w:rsid w:val="00E8116E"/>
    <w:rsid w:val="00EB0A44"/>
    <w:rsid w:val="00EC3257"/>
    <w:rsid w:val="00ED6966"/>
    <w:rsid w:val="00EE55F8"/>
    <w:rsid w:val="00EE6C0B"/>
    <w:rsid w:val="00EF2897"/>
    <w:rsid w:val="00EF2A17"/>
    <w:rsid w:val="00F159F7"/>
    <w:rsid w:val="00F45CFD"/>
    <w:rsid w:val="00F8542B"/>
    <w:rsid w:val="00F87A38"/>
    <w:rsid w:val="00FB53D1"/>
    <w:rsid w:val="00FD3C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4D37"/>
  <w15:chartTrackingRefBased/>
  <w15:docId w15:val="{C3626993-757E-43E6-983C-9A952611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9F"/>
    <w:rPr>
      <w:lang w:val="lt-LT"/>
    </w:rPr>
  </w:style>
  <w:style w:type="paragraph" w:styleId="Heading1">
    <w:name w:val="heading 1"/>
    <w:basedOn w:val="Normal"/>
    <w:next w:val="Normal"/>
    <w:link w:val="Heading1Char"/>
    <w:uiPriority w:val="9"/>
    <w:qFormat/>
    <w:rsid w:val="0007662E"/>
    <w:pPr>
      <w:keepNext/>
      <w:keepLines/>
      <w:numPr>
        <w:numId w:val="58"/>
      </w:numPr>
      <w:spacing w:before="240" w:after="0" w:line="240" w:lineRule="auto"/>
      <w:jc w:val="both"/>
      <w:outlineLvl w:val="0"/>
    </w:pPr>
    <w:rPr>
      <w:rFonts w:ascii="Times New Roman" w:eastAsiaTheme="majorEastAsia" w:hAnsi="Times New Roman" w:cs="Times New Roman"/>
      <w:b/>
      <w:bCs/>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430"/>
    <w:pPr>
      <w:ind w:left="720"/>
      <w:contextualSpacing/>
    </w:pPr>
  </w:style>
  <w:style w:type="paragraph" w:styleId="NormalWeb">
    <w:name w:val="Normal (Web)"/>
    <w:basedOn w:val="Normal"/>
    <w:uiPriority w:val="99"/>
    <w:unhideWhenUsed/>
    <w:rsid w:val="00AF219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Revision">
    <w:name w:val="Revision"/>
    <w:hidden/>
    <w:uiPriority w:val="99"/>
    <w:semiHidden/>
    <w:rsid w:val="00E435C1"/>
    <w:pPr>
      <w:spacing w:after="0" w:line="240" w:lineRule="auto"/>
    </w:pPr>
    <w:rPr>
      <w:lang w:val="lt-LT"/>
    </w:rPr>
  </w:style>
  <w:style w:type="character" w:styleId="CommentReference">
    <w:name w:val="annotation reference"/>
    <w:basedOn w:val="DefaultParagraphFont"/>
    <w:uiPriority w:val="99"/>
    <w:semiHidden/>
    <w:unhideWhenUsed/>
    <w:rsid w:val="00AD2657"/>
    <w:rPr>
      <w:sz w:val="16"/>
      <w:szCs w:val="16"/>
    </w:rPr>
  </w:style>
  <w:style w:type="paragraph" w:styleId="CommentText">
    <w:name w:val="annotation text"/>
    <w:basedOn w:val="Normal"/>
    <w:link w:val="CommentTextChar"/>
    <w:uiPriority w:val="99"/>
    <w:unhideWhenUsed/>
    <w:rsid w:val="00AD2657"/>
    <w:pPr>
      <w:spacing w:line="240" w:lineRule="auto"/>
    </w:pPr>
    <w:rPr>
      <w:sz w:val="20"/>
      <w:szCs w:val="20"/>
    </w:rPr>
  </w:style>
  <w:style w:type="character" w:customStyle="1" w:styleId="CommentTextChar">
    <w:name w:val="Comment Text Char"/>
    <w:basedOn w:val="DefaultParagraphFont"/>
    <w:link w:val="CommentText"/>
    <w:uiPriority w:val="99"/>
    <w:rsid w:val="00AD2657"/>
    <w:rPr>
      <w:sz w:val="20"/>
      <w:szCs w:val="20"/>
      <w:lang w:val="lt-LT"/>
    </w:rPr>
  </w:style>
  <w:style w:type="paragraph" w:styleId="CommentSubject">
    <w:name w:val="annotation subject"/>
    <w:basedOn w:val="CommentText"/>
    <w:next w:val="CommentText"/>
    <w:link w:val="CommentSubjectChar"/>
    <w:uiPriority w:val="99"/>
    <w:semiHidden/>
    <w:unhideWhenUsed/>
    <w:rsid w:val="00AD2657"/>
    <w:rPr>
      <w:b/>
      <w:bCs/>
    </w:rPr>
  </w:style>
  <w:style w:type="character" w:customStyle="1" w:styleId="CommentSubjectChar">
    <w:name w:val="Comment Subject Char"/>
    <w:basedOn w:val="CommentTextChar"/>
    <w:link w:val="CommentSubject"/>
    <w:uiPriority w:val="99"/>
    <w:semiHidden/>
    <w:rsid w:val="00AD2657"/>
    <w:rPr>
      <w:b/>
      <w:bCs/>
      <w:sz w:val="20"/>
      <w:szCs w:val="20"/>
      <w:lang w:val="lt-LT"/>
    </w:rPr>
  </w:style>
  <w:style w:type="paragraph" w:styleId="Header">
    <w:name w:val="header"/>
    <w:basedOn w:val="Normal"/>
    <w:link w:val="HeaderChar"/>
    <w:uiPriority w:val="99"/>
    <w:unhideWhenUsed/>
    <w:rsid w:val="00707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2A5"/>
    <w:rPr>
      <w:lang w:val="lt-LT"/>
    </w:rPr>
  </w:style>
  <w:style w:type="paragraph" w:styleId="Footer">
    <w:name w:val="footer"/>
    <w:basedOn w:val="Normal"/>
    <w:link w:val="FooterChar"/>
    <w:uiPriority w:val="99"/>
    <w:unhideWhenUsed/>
    <w:rsid w:val="00707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2A5"/>
    <w:rPr>
      <w:lang w:val="lt-LT"/>
    </w:rPr>
  </w:style>
  <w:style w:type="character" w:customStyle="1" w:styleId="Heading1Char">
    <w:name w:val="Heading 1 Char"/>
    <w:basedOn w:val="DefaultParagraphFont"/>
    <w:link w:val="Heading1"/>
    <w:uiPriority w:val="9"/>
    <w:rsid w:val="0007662E"/>
    <w:rPr>
      <w:rFonts w:ascii="Times New Roman" w:eastAsiaTheme="majorEastAsia" w:hAnsi="Times New Roman" w:cs="Times New Roman"/>
      <w:b/>
      <w:bCs/>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0333">
      <w:bodyDiv w:val="1"/>
      <w:marLeft w:val="0"/>
      <w:marRight w:val="0"/>
      <w:marTop w:val="0"/>
      <w:marBottom w:val="0"/>
      <w:divBdr>
        <w:top w:val="none" w:sz="0" w:space="0" w:color="auto"/>
        <w:left w:val="none" w:sz="0" w:space="0" w:color="auto"/>
        <w:bottom w:val="none" w:sz="0" w:space="0" w:color="auto"/>
        <w:right w:val="none" w:sz="0" w:space="0" w:color="auto"/>
      </w:divBdr>
    </w:div>
    <w:div w:id="265698150">
      <w:bodyDiv w:val="1"/>
      <w:marLeft w:val="0"/>
      <w:marRight w:val="0"/>
      <w:marTop w:val="0"/>
      <w:marBottom w:val="0"/>
      <w:divBdr>
        <w:top w:val="none" w:sz="0" w:space="0" w:color="auto"/>
        <w:left w:val="none" w:sz="0" w:space="0" w:color="auto"/>
        <w:bottom w:val="none" w:sz="0" w:space="0" w:color="auto"/>
        <w:right w:val="none" w:sz="0" w:space="0" w:color="auto"/>
      </w:divBdr>
    </w:div>
    <w:div w:id="495656752">
      <w:bodyDiv w:val="1"/>
      <w:marLeft w:val="0"/>
      <w:marRight w:val="0"/>
      <w:marTop w:val="0"/>
      <w:marBottom w:val="0"/>
      <w:divBdr>
        <w:top w:val="none" w:sz="0" w:space="0" w:color="auto"/>
        <w:left w:val="none" w:sz="0" w:space="0" w:color="auto"/>
        <w:bottom w:val="none" w:sz="0" w:space="0" w:color="auto"/>
        <w:right w:val="none" w:sz="0" w:space="0" w:color="auto"/>
      </w:divBdr>
    </w:div>
    <w:div w:id="527641237">
      <w:bodyDiv w:val="1"/>
      <w:marLeft w:val="0"/>
      <w:marRight w:val="0"/>
      <w:marTop w:val="0"/>
      <w:marBottom w:val="0"/>
      <w:divBdr>
        <w:top w:val="none" w:sz="0" w:space="0" w:color="auto"/>
        <w:left w:val="none" w:sz="0" w:space="0" w:color="auto"/>
        <w:bottom w:val="none" w:sz="0" w:space="0" w:color="auto"/>
        <w:right w:val="none" w:sz="0" w:space="0" w:color="auto"/>
      </w:divBdr>
    </w:div>
    <w:div w:id="534346242">
      <w:bodyDiv w:val="1"/>
      <w:marLeft w:val="0"/>
      <w:marRight w:val="0"/>
      <w:marTop w:val="0"/>
      <w:marBottom w:val="0"/>
      <w:divBdr>
        <w:top w:val="none" w:sz="0" w:space="0" w:color="auto"/>
        <w:left w:val="none" w:sz="0" w:space="0" w:color="auto"/>
        <w:bottom w:val="none" w:sz="0" w:space="0" w:color="auto"/>
        <w:right w:val="none" w:sz="0" w:space="0" w:color="auto"/>
      </w:divBdr>
    </w:div>
    <w:div w:id="542984432">
      <w:bodyDiv w:val="1"/>
      <w:marLeft w:val="0"/>
      <w:marRight w:val="0"/>
      <w:marTop w:val="0"/>
      <w:marBottom w:val="0"/>
      <w:divBdr>
        <w:top w:val="none" w:sz="0" w:space="0" w:color="auto"/>
        <w:left w:val="none" w:sz="0" w:space="0" w:color="auto"/>
        <w:bottom w:val="none" w:sz="0" w:space="0" w:color="auto"/>
        <w:right w:val="none" w:sz="0" w:space="0" w:color="auto"/>
      </w:divBdr>
      <w:divsChild>
        <w:div w:id="386877042">
          <w:marLeft w:val="-792"/>
          <w:marRight w:val="0"/>
          <w:marTop w:val="0"/>
          <w:marBottom w:val="0"/>
          <w:divBdr>
            <w:top w:val="none" w:sz="0" w:space="0" w:color="auto"/>
            <w:left w:val="none" w:sz="0" w:space="0" w:color="auto"/>
            <w:bottom w:val="none" w:sz="0" w:space="0" w:color="auto"/>
            <w:right w:val="none" w:sz="0" w:space="0" w:color="auto"/>
          </w:divBdr>
        </w:div>
      </w:divsChild>
    </w:div>
    <w:div w:id="666904363">
      <w:bodyDiv w:val="1"/>
      <w:marLeft w:val="0"/>
      <w:marRight w:val="0"/>
      <w:marTop w:val="0"/>
      <w:marBottom w:val="0"/>
      <w:divBdr>
        <w:top w:val="none" w:sz="0" w:space="0" w:color="auto"/>
        <w:left w:val="none" w:sz="0" w:space="0" w:color="auto"/>
        <w:bottom w:val="none" w:sz="0" w:space="0" w:color="auto"/>
        <w:right w:val="none" w:sz="0" w:space="0" w:color="auto"/>
      </w:divBdr>
    </w:div>
    <w:div w:id="770857804">
      <w:bodyDiv w:val="1"/>
      <w:marLeft w:val="0"/>
      <w:marRight w:val="0"/>
      <w:marTop w:val="0"/>
      <w:marBottom w:val="0"/>
      <w:divBdr>
        <w:top w:val="none" w:sz="0" w:space="0" w:color="auto"/>
        <w:left w:val="none" w:sz="0" w:space="0" w:color="auto"/>
        <w:bottom w:val="none" w:sz="0" w:space="0" w:color="auto"/>
        <w:right w:val="none" w:sz="0" w:space="0" w:color="auto"/>
      </w:divBdr>
    </w:div>
    <w:div w:id="771173104">
      <w:bodyDiv w:val="1"/>
      <w:marLeft w:val="0"/>
      <w:marRight w:val="0"/>
      <w:marTop w:val="0"/>
      <w:marBottom w:val="0"/>
      <w:divBdr>
        <w:top w:val="none" w:sz="0" w:space="0" w:color="auto"/>
        <w:left w:val="none" w:sz="0" w:space="0" w:color="auto"/>
        <w:bottom w:val="none" w:sz="0" w:space="0" w:color="auto"/>
        <w:right w:val="none" w:sz="0" w:space="0" w:color="auto"/>
      </w:divBdr>
    </w:div>
    <w:div w:id="868570486">
      <w:bodyDiv w:val="1"/>
      <w:marLeft w:val="0"/>
      <w:marRight w:val="0"/>
      <w:marTop w:val="0"/>
      <w:marBottom w:val="0"/>
      <w:divBdr>
        <w:top w:val="none" w:sz="0" w:space="0" w:color="auto"/>
        <w:left w:val="none" w:sz="0" w:space="0" w:color="auto"/>
        <w:bottom w:val="none" w:sz="0" w:space="0" w:color="auto"/>
        <w:right w:val="none" w:sz="0" w:space="0" w:color="auto"/>
      </w:divBdr>
    </w:div>
    <w:div w:id="881819435">
      <w:bodyDiv w:val="1"/>
      <w:marLeft w:val="0"/>
      <w:marRight w:val="0"/>
      <w:marTop w:val="0"/>
      <w:marBottom w:val="0"/>
      <w:divBdr>
        <w:top w:val="none" w:sz="0" w:space="0" w:color="auto"/>
        <w:left w:val="none" w:sz="0" w:space="0" w:color="auto"/>
        <w:bottom w:val="none" w:sz="0" w:space="0" w:color="auto"/>
        <w:right w:val="none" w:sz="0" w:space="0" w:color="auto"/>
      </w:divBdr>
    </w:div>
    <w:div w:id="906065967">
      <w:bodyDiv w:val="1"/>
      <w:marLeft w:val="0"/>
      <w:marRight w:val="0"/>
      <w:marTop w:val="0"/>
      <w:marBottom w:val="0"/>
      <w:divBdr>
        <w:top w:val="none" w:sz="0" w:space="0" w:color="auto"/>
        <w:left w:val="none" w:sz="0" w:space="0" w:color="auto"/>
        <w:bottom w:val="none" w:sz="0" w:space="0" w:color="auto"/>
        <w:right w:val="none" w:sz="0" w:space="0" w:color="auto"/>
      </w:divBdr>
      <w:divsChild>
        <w:div w:id="1487823039">
          <w:marLeft w:val="-792"/>
          <w:marRight w:val="0"/>
          <w:marTop w:val="0"/>
          <w:marBottom w:val="0"/>
          <w:divBdr>
            <w:top w:val="none" w:sz="0" w:space="0" w:color="auto"/>
            <w:left w:val="none" w:sz="0" w:space="0" w:color="auto"/>
            <w:bottom w:val="none" w:sz="0" w:space="0" w:color="auto"/>
            <w:right w:val="none" w:sz="0" w:space="0" w:color="auto"/>
          </w:divBdr>
        </w:div>
      </w:divsChild>
    </w:div>
    <w:div w:id="943926764">
      <w:bodyDiv w:val="1"/>
      <w:marLeft w:val="0"/>
      <w:marRight w:val="0"/>
      <w:marTop w:val="0"/>
      <w:marBottom w:val="0"/>
      <w:divBdr>
        <w:top w:val="none" w:sz="0" w:space="0" w:color="auto"/>
        <w:left w:val="none" w:sz="0" w:space="0" w:color="auto"/>
        <w:bottom w:val="none" w:sz="0" w:space="0" w:color="auto"/>
        <w:right w:val="none" w:sz="0" w:space="0" w:color="auto"/>
      </w:divBdr>
    </w:div>
    <w:div w:id="951861168">
      <w:bodyDiv w:val="1"/>
      <w:marLeft w:val="0"/>
      <w:marRight w:val="0"/>
      <w:marTop w:val="0"/>
      <w:marBottom w:val="0"/>
      <w:divBdr>
        <w:top w:val="none" w:sz="0" w:space="0" w:color="auto"/>
        <w:left w:val="none" w:sz="0" w:space="0" w:color="auto"/>
        <w:bottom w:val="none" w:sz="0" w:space="0" w:color="auto"/>
        <w:right w:val="none" w:sz="0" w:space="0" w:color="auto"/>
      </w:divBdr>
      <w:divsChild>
        <w:div w:id="1568229052">
          <w:marLeft w:val="-792"/>
          <w:marRight w:val="0"/>
          <w:marTop w:val="0"/>
          <w:marBottom w:val="0"/>
          <w:divBdr>
            <w:top w:val="none" w:sz="0" w:space="0" w:color="auto"/>
            <w:left w:val="none" w:sz="0" w:space="0" w:color="auto"/>
            <w:bottom w:val="none" w:sz="0" w:space="0" w:color="auto"/>
            <w:right w:val="none" w:sz="0" w:space="0" w:color="auto"/>
          </w:divBdr>
        </w:div>
      </w:divsChild>
    </w:div>
    <w:div w:id="955329446">
      <w:bodyDiv w:val="1"/>
      <w:marLeft w:val="0"/>
      <w:marRight w:val="0"/>
      <w:marTop w:val="0"/>
      <w:marBottom w:val="0"/>
      <w:divBdr>
        <w:top w:val="none" w:sz="0" w:space="0" w:color="auto"/>
        <w:left w:val="none" w:sz="0" w:space="0" w:color="auto"/>
        <w:bottom w:val="none" w:sz="0" w:space="0" w:color="auto"/>
        <w:right w:val="none" w:sz="0" w:space="0" w:color="auto"/>
      </w:divBdr>
      <w:divsChild>
        <w:div w:id="1763605371">
          <w:marLeft w:val="-792"/>
          <w:marRight w:val="0"/>
          <w:marTop w:val="0"/>
          <w:marBottom w:val="0"/>
          <w:divBdr>
            <w:top w:val="none" w:sz="0" w:space="0" w:color="auto"/>
            <w:left w:val="none" w:sz="0" w:space="0" w:color="auto"/>
            <w:bottom w:val="none" w:sz="0" w:space="0" w:color="auto"/>
            <w:right w:val="none" w:sz="0" w:space="0" w:color="auto"/>
          </w:divBdr>
        </w:div>
      </w:divsChild>
    </w:div>
    <w:div w:id="961611936">
      <w:bodyDiv w:val="1"/>
      <w:marLeft w:val="0"/>
      <w:marRight w:val="0"/>
      <w:marTop w:val="0"/>
      <w:marBottom w:val="0"/>
      <w:divBdr>
        <w:top w:val="none" w:sz="0" w:space="0" w:color="auto"/>
        <w:left w:val="none" w:sz="0" w:space="0" w:color="auto"/>
        <w:bottom w:val="none" w:sz="0" w:space="0" w:color="auto"/>
        <w:right w:val="none" w:sz="0" w:space="0" w:color="auto"/>
      </w:divBdr>
    </w:div>
    <w:div w:id="1111974265">
      <w:bodyDiv w:val="1"/>
      <w:marLeft w:val="0"/>
      <w:marRight w:val="0"/>
      <w:marTop w:val="0"/>
      <w:marBottom w:val="0"/>
      <w:divBdr>
        <w:top w:val="none" w:sz="0" w:space="0" w:color="auto"/>
        <w:left w:val="none" w:sz="0" w:space="0" w:color="auto"/>
        <w:bottom w:val="none" w:sz="0" w:space="0" w:color="auto"/>
        <w:right w:val="none" w:sz="0" w:space="0" w:color="auto"/>
      </w:divBdr>
    </w:div>
    <w:div w:id="1323191729">
      <w:bodyDiv w:val="1"/>
      <w:marLeft w:val="0"/>
      <w:marRight w:val="0"/>
      <w:marTop w:val="0"/>
      <w:marBottom w:val="0"/>
      <w:divBdr>
        <w:top w:val="none" w:sz="0" w:space="0" w:color="auto"/>
        <w:left w:val="none" w:sz="0" w:space="0" w:color="auto"/>
        <w:bottom w:val="none" w:sz="0" w:space="0" w:color="auto"/>
        <w:right w:val="none" w:sz="0" w:space="0" w:color="auto"/>
      </w:divBdr>
    </w:div>
    <w:div w:id="1365910378">
      <w:bodyDiv w:val="1"/>
      <w:marLeft w:val="0"/>
      <w:marRight w:val="0"/>
      <w:marTop w:val="0"/>
      <w:marBottom w:val="0"/>
      <w:divBdr>
        <w:top w:val="none" w:sz="0" w:space="0" w:color="auto"/>
        <w:left w:val="none" w:sz="0" w:space="0" w:color="auto"/>
        <w:bottom w:val="none" w:sz="0" w:space="0" w:color="auto"/>
        <w:right w:val="none" w:sz="0" w:space="0" w:color="auto"/>
      </w:divBdr>
    </w:div>
    <w:div w:id="1427194716">
      <w:bodyDiv w:val="1"/>
      <w:marLeft w:val="0"/>
      <w:marRight w:val="0"/>
      <w:marTop w:val="0"/>
      <w:marBottom w:val="0"/>
      <w:divBdr>
        <w:top w:val="none" w:sz="0" w:space="0" w:color="auto"/>
        <w:left w:val="none" w:sz="0" w:space="0" w:color="auto"/>
        <w:bottom w:val="none" w:sz="0" w:space="0" w:color="auto"/>
        <w:right w:val="none" w:sz="0" w:space="0" w:color="auto"/>
      </w:divBdr>
    </w:div>
    <w:div w:id="1444838629">
      <w:bodyDiv w:val="1"/>
      <w:marLeft w:val="0"/>
      <w:marRight w:val="0"/>
      <w:marTop w:val="0"/>
      <w:marBottom w:val="0"/>
      <w:divBdr>
        <w:top w:val="none" w:sz="0" w:space="0" w:color="auto"/>
        <w:left w:val="none" w:sz="0" w:space="0" w:color="auto"/>
        <w:bottom w:val="none" w:sz="0" w:space="0" w:color="auto"/>
        <w:right w:val="none" w:sz="0" w:space="0" w:color="auto"/>
      </w:divBdr>
    </w:div>
    <w:div w:id="1467235807">
      <w:bodyDiv w:val="1"/>
      <w:marLeft w:val="0"/>
      <w:marRight w:val="0"/>
      <w:marTop w:val="0"/>
      <w:marBottom w:val="0"/>
      <w:divBdr>
        <w:top w:val="none" w:sz="0" w:space="0" w:color="auto"/>
        <w:left w:val="none" w:sz="0" w:space="0" w:color="auto"/>
        <w:bottom w:val="none" w:sz="0" w:space="0" w:color="auto"/>
        <w:right w:val="none" w:sz="0" w:space="0" w:color="auto"/>
      </w:divBdr>
    </w:div>
    <w:div w:id="1663198698">
      <w:bodyDiv w:val="1"/>
      <w:marLeft w:val="0"/>
      <w:marRight w:val="0"/>
      <w:marTop w:val="0"/>
      <w:marBottom w:val="0"/>
      <w:divBdr>
        <w:top w:val="none" w:sz="0" w:space="0" w:color="auto"/>
        <w:left w:val="none" w:sz="0" w:space="0" w:color="auto"/>
        <w:bottom w:val="none" w:sz="0" w:space="0" w:color="auto"/>
        <w:right w:val="none" w:sz="0" w:space="0" w:color="auto"/>
      </w:divBdr>
    </w:div>
    <w:div w:id="1698431645">
      <w:bodyDiv w:val="1"/>
      <w:marLeft w:val="0"/>
      <w:marRight w:val="0"/>
      <w:marTop w:val="0"/>
      <w:marBottom w:val="0"/>
      <w:divBdr>
        <w:top w:val="none" w:sz="0" w:space="0" w:color="auto"/>
        <w:left w:val="none" w:sz="0" w:space="0" w:color="auto"/>
        <w:bottom w:val="none" w:sz="0" w:space="0" w:color="auto"/>
        <w:right w:val="none" w:sz="0" w:space="0" w:color="auto"/>
      </w:divBdr>
    </w:div>
    <w:div w:id="1722098336">
      <w:bodyDiv w:val="1"/>
      <w:marLeft w:val="0"/>
      <w:marRight w:val="0"/>
      <w:marTop w:val="0"/>
      <w:marBottom w:val="0"/>
      <w:divBdr>
        <w:top w:val="none" w:sz="0" w:space="0" w:color="auto"/>
        <w:left w:val="none" w:sz="0" w:space="0" w:color="auto"/>
        <w:bottom w:val="none" w:sz="0" w:space="0" w:color="auto"/>
        <w:right w:val="none" w:sz="0" w:space="0" w:color="auto"/>
      </w:divBdr>
    </w:div>
    <w:div w:id="1809862786">
      <w:bodyDiv w:val="1"/>
      <w:marLeft w:val="0"/>
      <w:marRight w:val="0"/>
      <w:marTop w:val="0"/>
      <w:marBottom w:val="0"/>
      <w:divBdr>
        <w:top w:val="none" w:sz="0" w:space="0" w:color="auto"/>
        <w:left w:val="none" w:sz="0" w:space="0" w:color="auto"/>
        <w:bottom w:val="none" w:sz="0" w:space="0" w:color="auto"/>
        <w:right w:val="none" w:sz="0" w:space="0" w:color="auto"/>
      </w:divBdr>
    </w:div>
    <w:div w:id="1869681006">
      <w:bodyDiv w:val="1"/>
      <w:marLeft w:val="0"/>
      <w:marRight w:val="0"/>
      <w:marTop w:val="0"/>
      <w:marBottom w:val="0"/>
      <w:divBdr>
        <w:top w:val="none" w:sz="0" w:space="0" w:color="auto"/>
        <w:left w:val="none" w:sz="0" w:space="0" w:color="auto"/>
        <w:bottom w:val="none" w:sz="0" w:space="0" w:color="auto"/>
        <w:right w:val="none" w:sz="0" w:space="0" w:color="auto"/>
      </w:divBdr>
    </w:div>
    <w:div w:id="1964072009">
      <w:bodyDiv w:val="1"/>
      <w:marLeft w:val="0"/>
      <w:marRight w:val="0"/>
      <w:marTop w:val="0"/>
      <w:marBottom w:val="0"/>
      <w:divBdr>
        <w:top w:val="none" w:sz="0" w:space="0" w:color="auto"/>
        <w:left w:val="none" w:sz="0" w:space="0" w:color="auto"/>
        <w:bottom w:val="none" w:sz="0" w:space="0" w:color="auto"/>
        <w:right w:val="none" w:sz="0" w:space="0" w:color="auto"/>
      </w:divBdr>
      <w:divsChild>
        <w:div w:id="1461875286">
          <w:marLeft w:val="-792"/>
          <w:marRight w:val="0"/>
          <w:marTop w:val="0"/>
          <w:marBottom w:val="0"/>
          <w:divBdr>
            <w:top w:val="none" w:sz="0" w:space="0" w:color="auto"/>
            <w:left w:val="none" w:sz="0" w:space="0" w:color="auto"/>
            <w:bottom w:val="none" w:sz="0" w:space="0" w:color="auto"/>
            <w:right w:val="none" w:sz="0" w:space="0" w:color="auto"/>
          </w:divBdr>
        </w:div>
      </w:divsChild>
    </w:div>
    <w:div w:id="1990358222">
      <w:bodyDiv w:val="1"/>
      <w:marLeft w:val="0"/>
      <w:marRight w:val="0"/>
      <w:marTop w:val="0"/>
      <w:marBottom w:val="0"/>
      <w:divBdr>
        <w:top w:val="none" w:sz="0" w:space="0" w:color="auto"/>
        <w:left w:val="none" w:sz="0" w:space="0" w:color="auto"/>
        <w:bottom w:val="none" w:sz="0" w:space="0" w:color="auto"/>
        <w:right w:val="none" w:sz="0" w:space="0" w:color="auto"/>
      </w:divBdr>
    </w:div>
    <w:div w:id="2144305078">
      <w:bodyDiv w:val="1"/>
      <w:marLeft w:val="0"/>
      <w:marRight w:val="0"/>
      <w:marTop w:val="0"/>
      <w:marBottom w:val="0"/>
      <w:divBdr>
        <w:top w:val="none" w:sz="0" w:space="0" w:color="auto"/>
        <w:left w:val="none" w:sz="0" w:space="0" w:color="auto"/>
        <w:bottom w:val="none" w:sz="0" w:space="0" w:color="auto"/>
        <w:right w:val="none" w:sz="0" w:space="0" w:color="auto"/>
      </w:divBdr>
      <w:divsChild>
        <w:div w:id="659969263">
          <w:marLeft w:val="-79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27D2-71CA-467E-854D-120E11A9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Sinkevičius</dc:creator>
  <cp:keywords/>
  <dc:description/>
  <cp:lastModifiedBy>RSC RSC</cp:lastModifiedBy>
  <cp:revision>28</cp:revision>
  <dcterms:created xsi:type="dcterms:W3CDTF">2025-03-24T12:31:00Z</dcterms:created>
  <dcterms:modified xsi:type="dcterms:W3CDTF">2025-04-01T11:33:00Z</dcterms:modified>
</cp:coreProperties>
</file>