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A8BF" w14:textId="77777777" w:rsidR="00863A9A" w:rsidRPr="00863A9A" w:rsidRDefault="00863A9A" w:rsidP="00863A9A">
      <w:pPr>
        <w:jc w:val="right"/>
        <w:rPr>
          <w:rFonts w:ascii="Times New Roman" w:hAnsi="Times New Roman"/>
          <w:color w:val="000000" w:themeColor="text1"/>
          <w:sz w:val="24"/>
          <w:szCs w:val="24"/>
          <w:lang w:val="lt-LT"/>
        </w:rPr>
      </w:pPr>
      <w:r w:rsidRPr="00863A9A">
        <w:rPr>
          <w:rFonts w:ascii="Times New Roman" w:hAnsi="Times New Roman"/>
          <w:color w:val="000000" w:themeColor="text1"/>
          <w:sz w:val="24"/>
          <w:szCs w:val="24"/>
          <w:lang w:val="lt-LT"/>
        </w:rPr>
        <w:t>Atviro konkurso sąlygų</w:t>
      </w:r>
    </w:p>
    <w:p w14:paraId="191B4C41" w14:textId="77777777" w:rsidR="00863A9A" w:rsidRPr="00863A9A" w:rsidRDefault="008B57C2" w:rsidP="00F57DD1">
      <w:pPr>
        <w:ind w:right="1433"/>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7 </w:t>
      </w:r>
      <w:r w:rsidR="00863A9A" w:rsidRPr="00863A9A">
        <w:rPr>
          <w:rFonts w:ascii="Times New Roman" w:hAnsi="Times New Roman"/>
          <w:color w:val="000000" w:themeColor="text1"/>
          <w:sz w:val="24"/>
          <w:szCs w:val="24"/>
          <w:lang w:val="lt-LT"/>
        </w:rPr>
        <w:t>priedas</w:t>
      </w:r>
    </w:p>
    <w:p w14:paraId="47491B2D" w14:textId="77777777" w:rsidR="003D4B39" w:rsidRDefault="003D4B39" w:rsidP="003D4B39">
      <w:pPr>
        <w:rPr>
          <w:rFonts w:ascii="Times New Roman" w:hAnsi="Times New Roman"/>
          <w:b/>
          <w:bCs/>
          <w:color w:val="000000" w:themeColor="text1"/>
          <w:sz w:val="24"/>
          <w:szCs w:val="24"/>
          <w:lang w:val="lt-LT"/>
        </w:rPr>
      </w:pPr>
      <w:r>
        <w:rPr>
          <w:rFonts w:ascii="Times New Roman" w:hAnsi="Times New Roman"/>
          <w:b/>
          <w:bCs/>
          <w:color w:val="000000" w:themeColor="text1"/>
          <w:sz w:val="24"/>
          <w:szCs w:val="24"/>
          <w:lang w:val="lt-LT"/>
        </w:rPr>
        <w:t xml:space="preserve">PASIŪLYMŲ VERTINIMO </w:t>
      </w:r>
      <w:r w:rsidR="00F57DD1">
        <w:rPr>
          <w:rFonts w:ascii="Times New Roman" w:hAnsi="Times New Roman"/>
          <w:b/>
          <w:bCs/>
          <w:color w:val="000000" w:themeColor="text1"/>
          <w:sz w:val="24"/>
          <w:szCs w:val="24"/>
          <w:lang w:val="lt-LT"/>
        </w:rPr>
        <w:t>METODIKA</w:t>
      </w:r>
    </w:p>
    <w:p w14:paraId="5AA47037" w14:textId="77777777" w:rsidR="003D4B39" w:rsidRDefault="003D4B39" w:rsidP="008B57C2">
      <w:pPr>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 Perkančiosios organizacijos neatmesti pasiūlymai vertinami taikant ekonomiškai naudingiausio pasiūlymo vertinimo kriterijus, kai vertinama kaina ir kokybė.</w:t>
      </w:r>
    </w:p>
    <w:p w14:paraId="7171CE7C" w14:textId="77777777" w:rsidR="003D4B39" w:rsidRDefault="003D4B39" w:rsidP="008B57C2">
      <w:pPr>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 Ekonomiškai naudingiausias pasiūlymas – tai pasiūlymas, kurio balų suma, apskaičiuota pagal toliau nustatytus pasiūlymų vertinimo kriterijus ir sąlygas, yra didžiausia.</w:t>
      </w:r>
    </w:p>
    <w:p w14:paraId="360B6974" w14:textId="77777777" w:rsidR="003D4B39" w:rsidRDefault="003D4B39" w:rsidP="003D4B39">
      <w:pPr>
        <w:rPr>
          <w:rFonts w:ascii="Times New Roman" w:hAnsi="Times New Roman"/>
          <w:b/>
          <w:bCs/>
          <w:color w:val="000000" w:themeColor="text1"/>
          <w:sz w:val="24"/>
          <w:szCs w:val="24"/>
          <w:lang w:val="lt-LT"/>
        </w:rPr>
      </w:pPr>
    </w:p>
    <w:p w14:paraId="6ED94B19" w14:textId="77777777" w:rsidR="003D4B39" w:rsidRDefault="003D4B39" w:rsidP="003D4B39">
      <w:pPr>
        <w:rPr>
          <w:rFonts w:ascii="Times New Roman" w:hAnsi="Times New Roman"/>
          <w:b/>
          <w:bCs/>
          <w:color w:val="000000" w:themeColor="text1"/>
          <w:sz w:val="24"/>
          <w:szCs w:val="24"/>
          <w:lang w:val="lt-LT"/>
        </w:rPr>
      </w:pPr>
      <w:r>
        <w:rPr>
          <w:rFonts w:ascii="Times New Roman" w:hAnsi="Times New Roman"/>
          <w:b/>
          <w:bCs/>
          <w:color w:val="000000" w:themeColor="text1"/>
          <w:sz w:val="24"/>
          <w:szCs w:val="24"/>
          <w:lang w:val="lt-LT"/>
        </w:rPr>
        <w:t>Numatytų vertinimo kriterijų lyginamieji svoriai:</w:t>
      </w:r>
    </w:p>
    <w:p w14:paraId="2122F49F" w14:textId="77777777" w:rsidR="003D4B39" w:rsidRDefault="003D4B39" w:rsidP="003D4B39">
      <w:pPr>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Kaina (K) – </w:t>
      </w:r>
      <w:r w:rsidR="005244D2">
        <w:rPr>
          <w:rFonts w:ascii="Times New Roman" w:hAnsi="Times New Roman"/>
          <w:color w:val="000000" w:themeColor="text1"/>
          <w:sz w:val="24"/>
          <w:szCs w:val="24"/>
        </w:rPr>
        <w:t>70</w:t>
      </w:r>
      <w:r>
        <w:rPr>
          <w:rFonts w:ascii="Times New Roman" w:hAnsi="Times New Roman"/>
          <w:color w:val="000000" w:themeColor="text1"/>
          <w:sz w:val="24"/>
          <w:szCs w:val="24"/>
        </w:rPr>
        <w:t>;</w:t>
      </w:r>
    </w:p>
    <w:p w14:paraId="550F3906" w14:textId="77777777" w:rsidR="003D4B39" w:rsidRDefault="003D4B39" w:rsidP="003D4B39">
      <w:pPr>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Techniniai pranašumai (T) – </w:t>
      </w:r>
      <w:r w:rsidR="005244D2">
        <w:rPr>
          <w:rFonts w:ascii="Times New Roman" w:hAnsi="Times New Roman"/>
          <w:color w:val="000000" w:themeColor="text1"/>
          <w:sz w:val="24"/>
          <w:szCs w:val="24"/>
        </w:rPr>
        <w:t>30</w:t>
      </w:r>
      <w:r>
        <w:rPr>
          <w:rFonts w:ascii="Times New Roman" w:hAnsi="Times New Roman"/>
          <w:color w:val="000000" w:themeColor="text1"/>
          <w:sz w:val="24"/>
          <w:szCs w:val="24"/>
        </w:rPr>
        <w:t>.</w:t>
      </w:r>
    </w:p>
    <w:p w14:paraId="440B7D09" w14:textId="77777777" w:rsidR="003D4B39" w:rsidRDefault="003D4B39" w:rsidP="003D4B39">
      <w:pPr>
        <w:rPr>
          <w:rFonts w:ascii="Times New Roman" w:hAnsi="Times New Roman"/>
          <w:color w:val="000000" w:themeColor="text1"/>
          <w:sz w:val="24"/>
          <w:szCs w:val="24"/>
        </w:rPr>
      </w:pPr>
    </w:p>
    <w:p w14:paraId="07C8A4A7" w14:textId="77777777" w:rsidR="003D4B39" w:rsidRDefault="003D4B39" w:rsidP="003D4B39">
      <w:pPr>
        <w:rPr>
          <w:rFonts w:ascii="Times New Roman" w:hAnsi="Times New Roman"/>
          <w:b/>
          <w:bCs/>
          <w:color w:val="000000" w:themeColor="text1"/>
          <w:sz w:val="24"/>
          <w:szCs w:val="24"/>
        </w:rPr>
      </w:pPr>
      <w:r>
        <w:rPr>
          <w:rFonts w:ascii="Times New Roman" w:hAnsi="Times New Roman"/>
          <w:b/>
          <w:bCs/>
          <w:color w:val="000000" w:themeColor="text1"/>
          <w:sz w:val="24"/>
          <w:szCs w:val="24"/>
        </w:rPr>
        <w:t>Vertinimo kriterijai ir jų parametrų lyginamieji svoriai:</w:t>
      </w:r>
    </w:p>
    <w:tbl>
      <w:tblPr>
        <w:tblW w:w="10055" w:type="dxa"/>
        <w:tblLayout w:type="fixed"/>
        <w:tblLook w:val="04A0" w:firstRow="1" w:lastRow="0" w:firstColumn="1" w:lastColumn="0" w:noHBand="0" w:noVBand="1"/>
      </w:tblPr>
      <w:tblGrid>
        <w:gridCol w:w="603"/>
        <w:gridCol w:w="3442"/>
        <w:gridCol w:w="1669"/>
        <w:gridCol w:w="1690"/>
        <w:gridCol w:w="2651"/>
      </w:tblGrid>
      <w:tr w:rsidR="003D4B39" w14:paraId="570AED9F" w14:textId="77777777" w:rsidTr="000379B1">
        <w:trPr>
          <w:trHeight w:val="700"/>
        </w:trPr>
        <w:tc>
          <w:tcPr>
            <w:tcW w:w="5714" w:type="dxa"/>
            <w:gridSpan w:val="3"/>
            <w:tcBorders>
              <w:top w:val="single" w:sz="8" w:space="0" w:color="000000"/>
              <w:left w:val="single" w:sz="8" w:space="0" w:color="000000"/>
              <w:bottom w:val="single" w:sz="8" w:space="0" w:color="000000"/>
              <w:right w:val="single" w:sz="8" w:space="0" w:color="000000"/>
            </w:tcBorders>
            <w:shd w:val="clear" w:color="000000" w:fill="D9D9D9"/>
            <w:vAlign w:val="center"/>
          </w:tcPr>
          <w:p w14:paraId="3761611A"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Vertinimo kriterijai</w:t>
            </w:r>
          </w:p>
        </w:tc>
        <w:tc>
          <w:tcPr>
            <w:tcW w:w="1690" w:type="dxa"/>
            <w:tcBorders>
              <w:top w:val="single" w:sz="8" w:space="0" w:color="000000"/>
              <w:bottom w:val="single" w:sz="8" w:space="0" w:color="000000"/>
              <w:right w:val="single" w:sz="8" w:space="0" w:color="000000"/>
            </w:tcBorders>
            <w:shd w:val="clear" w:color="000000" w:fill="D9D9D9"/>
            <w:vAlign w:val="center"/>
          </w:tcPr>
          <w:p w14:paraId="2DD6F265"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Parametro lyginamasis svoris</w:t>
            </w:r>
          </w:p>
        </w:tc>
        <w:tc>
          <w:tcPr>
            <w:tcW w:w="2651" w:type="dxa"/>
            <w:tcBorders>
              <w:top w:val="single" w:sz="8" w:space="0" w:color="000000"/>
              <w:bottom w:val="single" w:sz="8" w:space="0" w:color="000000"/>
              <w:right w:val="single" w:sz="8" w:space="0" w:color="000000"/>
            </w:tcBorders>
            <w:shd w:val="clear" w:color="000000" w:fill="D9D9D9"/>
            <w:vAlign w:val="center"/>
          </w:tcPr>
          <w:p w14:paraId="2A1DDF44"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Lyginamasis svoris ekonominio naudingumo įvertinime</w:t>
            </w:r>
          </w:p>
        </w:tc>
      </w:tr>
      <w:tr w:rsidR="003D4B39" w14:paraId="5C8CA0EF" w14:textId="77777777" w:rsidTr="000379B1">
        <w:trPr>
          <w:trHeight w:val="340"/>
        </w:trPr>
        <w:tc>
          <w:tcPr>
            <w:tcW w:w="740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tcPr>
          <w:p w14:paraId="594AD642"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Kaina (K)</w:t>
            </w:r>
          </w:p>
        </w:tc>
        <w:tc>
          <w:tcPr>
            <w:tcW w:w="2651" w:type="dxa"/>
            <w:tcBorders>
              <w:top w:val="single" w:sz="8" w:space="0" w:color="000000"/>
              <w:bottom w:val="single" w:sz="8" w:space="0" w:color="000000"/>
              <w:right w:val="single" w:sz="8" w:space="0" w:color="000000"/>
            </w:tcBorders>
            <w:shd w:val="clear" w:color="000000" w:fill="D9D9D9"/>
            <w:vAlign w:val="center"/>
          </w:tcPr>
          <w:p w14:paraId="270A9897" w14:textId="77777777" w:rsidR="003D4B39" w:rsidRDefault="003D4B39" w:rsidP="005244D2">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X = </w:t>
            </w:r>
            <w:r w:rsidR="005244D2">
              <w:rPr>
                <w:rFonts w:ascii="Times New Roman" w:hAnsi="Times New Roman"/>
                <w:b/>
                <w:bCs/>
                <w:color w:val="000000" w:themeColor="text1"/>
                <w:sz w:val="24"/>
                <w:szCs w:val="24"/>
              </w:rPr>
              <w:t>70</w:t>
            </w:r>
          </w:p>
        </w:tc>
      </w:tr>
      <w:tr w:rsidR="003D4B39" w14:paraId="23978906" w14:textId="77777777" w:rsidTr="000379B1">
        <w:trPr>
          <w:trHeight w:val="340"/>
        </w:trPr>
        <w:tc>
          <w:tcPr>
            <w:tcW w:w="740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tcPr>
          <w:p w14:paraId="1A06E6FD"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Techniniai pranašumai (T)</w:t>
            </w:r>
          </w:p>
        </w:tc>
        <w:tc>
          <w:tcPr>
            <w:tcW w:w="2651" w:type="dxa"/>
            <w:tcBorders>
              <w:top w:val="single" w:sz="8" w:space="0" w:color="000000"/>
              <w:bottom w:val="single" w:sz="8" w:space="0" w:color="000000"/>
              <w:right w:val="single" w:sz="8" w:space="0" w:color="000000"/>
            </w:tcBorders>
            <w:shd w:val="clear" w:color="000000" w:fill="D9D9D9"/>
            <w:vAlign w:val="center"/>
          </w:tcPr>
          <w:p w14:paraId="15D83C8C" w14:textId="77777777" w:rsidR="003D4B39" w:rsidRDefault="003D4B39" w:rsidP="005244D2">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Y = </w:t>
            </w:r>
            <w:r w:rsidR="005244D2">
              <w:rPr>
                <w:rFonts w:ascii="Times New Roman" w:hAnsi="Times New Roman"/>
                <w:b/>
                <w:bCs/>
                <w:color w:val="000000" w:themeColor="text1"/>
                <w:sz w:val="24"/>
                <w:szCs w:val="24"/>
              </w:rPr>
              <w:t>30</w:t>
            </w:r>
          </w:p>
        </w:tc>
      </w:tr>
      <w:tr w:rsidR="003D4B39" w14:paraId="0B94F8EC" w14:textId="77777777" w:rsidTr="000379B1">
        <w:trPr>
          <w:trHeight w:val="360"/>
        </w:trPr>
        <w:tc>
          <w:tcPr>
            <w:tcW w:w="603" w:type="dxa"/>
            <w:tcBorders>
              <w:left w:val="single" w:sz="8" w:space="0" w:color="000000"/>
              <w:bottom w:val="single" w:sz="8" w:space="0" w:color="000000"/>
              <w:right w:val="single" w:sz="8" w:space="0" w:color="000000"/>
            </w:tcBorders>
            <w:shd w:val="clear" w:color="000000" w:fill="D9D9D9"/>
            <w:vAlign w:val="center"/>
          </w:tcPr>
          <w:p w14:paraId="07706D92"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Nr.</w:t>
            </w:r>
          </w:p>
        </w:tc>
        <w:tc>
          <w:tcPr>
            <w:tcW w:w="3442" w:type="dxa"/>
            <w:tcBorders>
              <w:bottom w:val="single" w:sz="8" w:space="0" w:color="000000"/>
              <w:right w:val="single" w:sz="8" w:space="0" w:color="000000"/>
            </w:tcBorders>
            <w:shd w:val="clear" w:color="000000" w:fill="D9D9D9"/>
            <w:vAlign w:val="center"/>
          </w:tcPr>
          <w:p w14:paraId="7F282AF7"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Parametrai</w:t>
            </w:r>
          </w:p>
        </w:tc>
        <w:tc>
          <w:tcPr>
            <w:tcW w:w="1669" w:type="dxa"/>
            <w:tcBorders>
              <w:bottom w:val="single" w:sz="8" w:space="0" w:color="000000"/>
              <w:right w:val="single" w:sz="8" w:space="0" w:color="000000"/>
            </w:tcBorders>
            <w:shd w:val="clear" w:color="000000" w:fill="D9D9D9"/>
            <w:vAlign w:val="center"/>
          </w:tcPr>
          <w:p w14:paraId="43053706"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yra/nėra</w:t>
            </w:r>
          </w:p>
        </w:tc>
        <w:tc>
          <w:tcPr>
            <w:tcW w:w="1690" w:type="dxa"/>
            <w:tcBorders>
              <w:bottom w:val="single" w:sz="8" w:space="0" w:color="000000"/>
              <w:right w:val="single" w:sz="8" w:space="0" w:color="000000"/>
            </w:tcBorders>
            <w:shd w:val="clear" w:color="000000" w:fill="D9D9D9"/>
            <w:vAlign w:val="center"/>
          </w:tcPr>
          <w:p w14:paraId="3A1CAD3C"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 </w:t>
            </w:r>
          </w:p>
        </w:tc>
        <w:tc>
          <w:tcPr>
            <w:tcW w:w="2651" w:type="dxa"/>
            <w:tcBorders>
              <w:top w:val="single" w:sz="8" w:space="0" w:color="000000"/>
              <w:bottom w:val="single" w:sz="8" w:space="0" w:color="000000"/>
              <w:right w:val="single" w:sz="8" w:space="0" w:color="000000"/>
            </w:tcBorders>
            <w:shd w:val="clear" w:color="000000" w:fill="D9D9D9"/>
            <w:vAlign w:val="center"/>
          </w:tcPr>
          <w:p w14:paraId="792E9848" w14:textId="77777777" w:rsidR="003D4B39" w:rsidRDefault="003D4B39" w:rsidP="000379B1">
            <w:pPr>
              <w:widowControl w:val="0"/>
              <w:rPr>
                <w:rFonts w:ascii="Times New Roman" w:hAnsi="Times New Roman"/>
                <w:b/>
                <w:bCs/>
                <w:color w:val="000000" w:themeColor="text1"/>
                <w:sz w:val="24"/>
                <w:szCs w:val="24"/>
              </w:rPr>
            </w:pPr>
            <w:r>
              <w:rPr>
                <w:rFonts w:ascii="Times New Roman" w:hAnsi="Times New Roman"/>
                <w:b/>
                <w:bCs/>
                <w:color w:val="000000" w:themeColor="text1"/>
                <w:sz w:val="24"/>
                <w:szCs w:val="24"/>
              </w:rPr>
              <w:t> </w:t>
            </w:r>
          </w:p>
        </w:tc>
      </w:tr>
      <w:tr w:rsidR="003D4B39" w14:paraId="3C4166CC" w14:textId="77777777" w:rsidTr="000379B1">
        <w:trPr>
          <w:trHeight w:val="675"/>
        </w:trPr>
        <w:tc>
          <w:tcPr>
            <w:tcW w:w="603" w:type="dxa"/>
            <w:tcBorders>
              <w:left w:val="single" w:sz="8" w:space="0" w:color="000000"/>
              <w:bottom w:val="single" w:sz="8" w:space="0" w:color="000000"/>
              <w:right w:val="single" w:sz="8" w:space="0" w:color="000000"/>
            </w:tcBorders>
            <w:shd w:val="clear" w:color="000000" w:fill="D9D9D9"/>
            <w:vAlign w:val="center"/>
          </w:tcPr>
          <w:p w14:paraId="6D1E2576"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T1</w:t>
            </w:r>
          </w:p>
        </w:tc>
        <w:tc>
          <w:tcPr>
            <w:tcW w:w="3442" w:type="dxa"/>
            <w:tcBorders>
              <w:bottom w:val="single" w:sz="8" w:space="0" w:color="000000"/>
              <w:right w:val="single" w:sz="8" w:space="0" w:color="000000"/>
            </w:tcBorders>
            <w:shd w:val="clear" w:color="auto" w:fill="auto"/>
            <w:vAlign w:val="center"/>
          </w:tcPr>
          <w:p w14:paraId="389014C2" w14:textId="77777777" w:rsidR="003D4B39" w:rsidRDefault="003D4B39" w:rsidP="000379B1">
            <w:pPr>
              <w:widowControl w:val="0"/>
              <w:rPr>
                <w:rFonts w:ascii="Times New Roman" w:hAnsi="Times New Roman"/>
                <w:color w:val="000000" w:themeColor="text1"/>
                <w:sz w:val="24"/>
                <w:szCs w:val="24"/>
                <w:lang w:val="sv-SE"/>
              </w:rPr>
            </w:pPr>
            <w:r>
              <w:rPr>
                <w:rFonts w:ascii="Times New Roman" w:hAnsi="Times New Roman"/>
                <w:sz w:val="24"/>
                <w:szCs w:val="24"/>
              </w:rPr>
              <w:t xml:space="preserve">Bendrasis </w:t>
            </w:r>
            <w:r w:rsidR="00BC7C59">
              <w:rPr>
                <w:rFonts w:ascii="Times New Roman" w:hAnsi="Times New Roman"/>
                <w:sz w:val="24"/>
                <w:szCs w:val="24"/>
              </w:rPr>
              <w:t xml:space="preserve">dinaminis diapazonas </w:t>
            </w:r>
            <w:r w:rsidR="00BC7C59" w:rsidRPr="00BC7C59">
              <w:rPr>
                <w:rFonts w:ascii="Times New Roman" w:hAnsi="Times New Roman"/>
                <w:sz w:val="24"/>
                <w:szCs w:val="24"/>
                <w:highlight w:val="yellow"/>
              </w:rPr>
              <w:t>≥ 39</w:t>
            </w:r>
            <w:r w:rsidRPr="00BC7C59">
              <w:rPr>
                <w:rFonts w:ascii="Times New Roman" w:hAnsi="Times New Roman"/>
                <w:sz w:val="24"/>
                <w:szCs w:val="24"/>
                <w:highlight w:val="yellow"/>
              </w:rPr>
              <w:t>0</w:t>
            </w:r>
            <w:r>
              <w:rPr>
                <w:rFonts w:ascii="Times New Roman" w:hAnsi="Times New Roman"/>
                <w:sz w:val="24"/>
                <w:szCs w:val="24"/>
              </w:rPr>
              <w:t xml:space="preserve"> dB</w:t>
            </w:r>
          </w:p>
        </w:tc>
        <w:tc>
          <w:tcPr>
            <w:tcW w:w="1669" w:type="dxa"/>
            <w:tcBorders>
              <w:bottom w:val="single" w:sz="8" w:space="0" w:color="000000"/>
              <w:right w:val="single" w:sz="8" w:space="0" w:color="000000"/>
            </w:tcBorders>
            <w:shd w:val="clear" w:color="000000" w:fill="D9D9D9"/>
            <w:vAlign w:val="center"/>
          </w:tcPr>
          <w:p w14:paraId="0A7917BE"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8" w:space="0" w:color="000000"/>
              <w:right w:val="single" w:sz="8" w:space="0" w:color="000000"/>
            </w:tcBorders>
            <w:shd w:val="clear" w:color="000000" w:fill="D9D9D9"/>
            <w:vAlign w:val="center"/>
          </w:tcPr>
          <w:p w14:paraId="62908F84" w14:textId="77777777" w:rsidR="003D4B39" w:rsidRDefault="003D4B39" w:rsidP="00BC7C59">
            <w:pPr>
              <w:widowControl w:val="0"/>
              <w:rPr>
                <w:rFonts w:ascii="Times New Roman" w:hAnsi="Times New Roman"/>
                <w:color w:val="000000" w:themeColor="text1"/>
                <w:sz w:val="24"/>
                <w:szCs w:val="24"/>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1</w:t>
            </w:r>
            <w:r w:rsidRPr="00BC7C59">
              <w:rPr>
                <w:rFonts w:ascii="Times New Roman" w:hAnsi="Times New Roman"/>
                <w:color w:val="000000" w:themeColor="text1"/>
                <w:sz w:val="24"/>
                <w:szCs w:val="24"/>
                <w:highlight w:val="yellow"/>
              </w:rPr>
              <w:t xml:space="preserve"> = 0,</w:t>
            </w:r>
            <w:r w:rsidR="00BC7C59" w:rsidRPr="00BC7C59">
              <w:rPr>
                <w:rFonts w:ascii="Times New Roman" w:hAnsi="Times New Roman"/>
                <w:color w:val="000000" w:themeColor="text1"/>
                <w:sz w:val="24"/>
                <w:szCs w:val="24"/>
                <w:highlight w:val="yellow"/>
              </w:rPr>
              <w:t>05</w:t>
            </w:r>
          </w:p>
        </w:tc>
        <w:tc>
          <w:tcPr>
            <w:tcW w:w="2651" w:type="dxa"/>
            <w:tcBorders>
              <w:top w:val="single" w:sz="8" w:space="0" w:color="000000"/>
              <w:bottom w:val="single" w:sz="8" w:space="0" w:color="000000"/>
              <w:right w:val="single" w:sz="8" w:space="0" w:color="000000"/>
            </w:tcBorders>
            <w:shd w:val="clear" w:color="auto" w:fill="auto"/>
            <w:vAlign w:val="center"/>
          </w:tcPr>
          <w:p w14:paraId="5EDE9D55"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1D46B2AD" w14:textId="77777777" w:rsidR="003D4B39" w:rsidRDefault="003D4B39" w:rsidP="000379B1">
            <w:pPr>
              <w:widowControl w:val="0"/>
              <w:rPr>
                <w:rFonts w:ascii="Times New Roman" w:hAnsi="Times New Roman"/>
                <w:color w:val="000000" w:themeColor="text1"/>
                <w:sz w:val="24"/>
                <w:szCs w:val="24"/>
                <w:lang w:val="lt-LT"/>
              </w:rPr>
            </w:pPr>
            <w:r>
              <w:rPr>
                <w:rFonts w:ascii="Times New Roman" w:eastAsia="Times New Roman" w:hAnsi="Times New Roman"/>
                <w:color w:val="000000"/>
              </w:rPr>
              <w:t>Ne – 0 balų</w:t>
            </w:r>
          </w:p>
        </w:tc>
      </w:tr>
      <w:tr w:rsidR="003D4B39" w14:paraId="50FF91FE" w14:textId="77777777" w:rsidTr="000379B1">
        <w:trPr>
          <w:trHeight w:val="675"/>
        </w:trPr>
        <w:tc>
          <w:tcPr>
            <w:tcW w:w="603" w:type="dxa"/>
            <w:tcBorders>
              <w:left w:val="single" w:sz="8" w:space="0" w:color="000000"/>
              <w:bottom w:val="single" w:sz="8" w:space="0" w:color="000000"/>
              <w:right w:val="single" w:sz="8" w:space="0" w:color="000000"/>
            </w:tcBorders>
            <w:shd w:val="clear" w:color="000000" w:fill="D9D9D9"/>
            <w:vAlign w:val="center"/>
          </w:tcPr>
          <w:p w14:paraId="341172AE"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T2</w:t>
            </w:r>
          </w:p>
        </w:tc>
        <w:tc>
          <w:tcPr>
            <w:tcW w:w="3442" w:type="dxa"/>
            <w:tcBorders>
              <w:bottom w:val="single" w:sz="8" w:space="0" w:color="000000"/>
              <w:right w:val="single" w:sz="8" w:space="0" w:color="000000"/>
            </w:tcBorders>
            <w:shd w:val="clear" w:color="auto" w:fill="auto"/>
            <w:vAlign w:val="center"/>
          </w:tcPr>
          <w:p w14:paraId="1C695D7F" w14:textId="77777777" w:rsidR="003D4B39" w:rsidRDefault="003D4B39" w:rsidP="000379B1">
            <w:pPr>
              <w:widowControl w:val="0"/>
              <w:rPr>
                <w:rFonts w:ascii="Times New Roman" w:hAnsi="Times New Roman"/>
                <w:bCs/>
                <w:color w:val="000000" w:themeColor="text1"/>
                <w:sz w:val="24"/>
                <w:szCs w:val="24"/>
                <w:lang w:val="sv-SE"/>
              </w:rPr>
            </w:pPr>
            <w:r>
              <w:rPr>
                <w:rFonts w:ascii="Times New Roman" w:hAnsi="Times New Roman"/>
                <w:bCs/>
                <w:color w:val="000000" w:themeColor="text1"/>
                <w:sz w:val="24"/>
                <w:szCs w:val="24"/>
                <w:lang w:val="sv-SE"/>
              </w:rPr>
              <w:t>Komplektuojami monokristalinės arba matricinės technologijos konveksinio ir linijinio tipo davikliai</w:t>
            </w:r>
          </w:p>
        </w:tc>
        <w:tc>
          <w:tcPr>
            <w:tcW w:w="1669" w:type="dxa"/>
            <w:tcBorders>
              <w:bottom w:val="single" w:sz="8" w:space="0" w:color="000000"/>
              <w:right w:val="single" w:sz="8" w:space="0" w:color="000000"/>
            </w:tcBorders>
            <w:shd w:val="clear" w:color="000000" w:fill="D9D9D9"/>
            <w:vAlign w:val="center"/>
          </w:tcPr>
          <w:p w14:paraId="11349447"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8" w:space="0" w:color="000000"/>
              <w:right w:val="single" w:sz="8" w:space="0" w:color="000000"/>
            </w:tcBorders>
            <w:shd w:val="clear" w:color="000000" w:fill="D9D9D9"/>
            <w:vAlign w:val="center"/>
          </w:tcPr>
          <w:p w14:paraId="292911AE" w14:textId="77777777" w:rsidR="003D4B39" w:rsidRDefault="003D4B39" w:rsidP="000379B1">
            <w:pPr>
              <w:widowControl w:val="0"/>
              <w:rPr>
                <w:rFonts w:ascii="Times New Roman" w:hAnsi="Times New Roman"/>
                <w:color w:val="000000" w:themeColor="text1"/>
                <w:sz w:val="24"/>
                <w:szCs w:val="24"/>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2</w:t>
            </w:r>
            <w:r w:rsidRPr="00BC7C59">
              <w:rPr>
                <w:rFonts w:ascii="Times New Roman" w:hAnsi="Times New Roman"/>
                <w:color w:val="000000" w:themeColor="text1"/>
                <w:sz w:val="24"/>
                <w:szCs w:val="24"/>
                <w:highlight w:val="yellow"/>
              </w:rPr>
              <w:t xml:space="preserve"> = 0,1</w:t>
            </w:r>
          </w:p>
        </w:tc>
        <w:tc>
          <w:tcPr>
            <w:tcW w:w="2651" w:type="dxa"/>
            <w:tcBorders>
              <w:top w:val="single" w:sz="8" w:space="0" w:color="000000"/>
              <w:bottom w:val="single" w:sz="8" w:space="0" w:color="000000"/>
              <w:right w:val="single" w:sz="8" w:space="0" w:color="000000"/>
            </w:tcBorders>
            <w:shd w:val="clear" w:color="auto" w:fill="auto"/>
            <w:vAlign w:val="center"/>
          </w:tcPr>
          <w:p w14:paraId="2798084B"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0E82F50C" w14:textId="77777777" w:rsidR="003D4B39" w:rsidRDefault="003D4B39" w:rsidP="000379B1">
            <w:pPr>
              <w:widowControl w:val="0"/>
              <w:rPr>
                <w:rFonts w:ascii="Times New Roman" w:hAnsi="Times New Roman"/>
                <w:color w:val="000000" w:themeColor="text1"/>
                <w:sz w:val="24"/>
                <w:szCs w:val="24"/>
              </w:rPr>
            </w:pPr>
            <w:r>
              <w:rPr>
                <w:rFonts w:ascii="Times New Roman" w:eastAsia="Times New Roman" w:hAnsi="Times New Roman"/>
                <w:color w:val="000000"/>
              </w:rPr>
              <w:t>Ne – 0 balų</w:t>
            </w:r>
          </w:p>
        </w:tc>
      </w:tr>
      <w:tr w:rsidR="003D4B39" w14:paraId="79602385" w14:textId="77777777" w:rsidTr="000379B1">
        <w:trPr>
          <w:trHeight w:val="700"/>
        </w:trPr>
        <w:tc>
          <w:tcPr>
            <w:tcW w:w="603" w:type="dxa"/>
            <w:tcBorders>
              <w:left w:val="single" w:sz="8" w:space="0" w:color="000000"/>
              <w:bottom w:val="single" w:sz="8" w:space="0" w:color="000000"/>
              <w:right w:val="single" w:sz="8" w:space="0" w:color="000000"/>
            </w:tcBorders>
            <w:shd w:val="clear" w:color="000000" w:fill="D9D9D9"/>
            <w:vAlign w:val="center"/>
          </w:tcPr>
          <w:p w14:paraId="7790A5CC"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T3</w:t>
            </w:r>
          </w:p>
        </w:tc>
        <w:tc>
          <w:tcPr>
            <w:tcW w:w="3442" w:type="dxa"/>
            <w:tcBorders>
              <w:bottom w:val="single" w:sz="8" w:space="0" w:color="000000"/>
              <w:right w:val="single" w:sz="8" w:space="0" w:color="000000"/>
            </w:tcBorders>
            <w:shd w:val="clear" w:color="auto" w:fill="auto"/>
            <w:vAlign w:val="center"/>
          </w:tcPr>
          <w:p w14:paraId="03356BDD" w14:textId="77777777" w:rsidR="003D4B39" w:rsidRDefault="003D4B39" w:rsidP="000379B1">
            <w:pPr>
              <w:widowControl w:val="0"/>
              <w:rPr>
                <w:rFonts w:ascii="Times New Roman" w:hAnsi="Times New Roman"/>
                <w:bCs/>
                <w:color w:val="000000" w:themeColor="text1"/>
                <w:sz w:val="24"/>
                <w:szCs w:val="24"/>
              </w:rPr>
            </w:pPr>
            <w:r>
              <w:rPr>
                <w:rFonts w:ascii="Times New Roman" w:hAnsi="Times New Roman"/>
                <w:bCs/>
                <w:color w:val="000000" w:themeColor="text1"/>
                <w:sz w:val="24"/>
                <w:szCs w:val="24"/>
                <w:lang w:val="lt-LT"/>
              </w:rPr>
              <w:t xml:space="preserve">Linijinio daviklio elementų skaičius ≥ </w:t>
            </w:r>
            <w:r>
              <w:rPr>
                <w:rFonts w:ascii="Times New Roman" w:hAnsi="Times New Roman"/>
                <w:bCs/>
                <w:color w:val="000000" w:themeColor="text1"/>
                <w:sz w:val="24"/>
                <w:szCs w:val="24"/>
              </w:rPr>
              <w:t>1500</w:t>
            </w:r>
          </w:p>
        </w:tc>
        <w:tc>
          <w:tcPr>
            <w:tcW w:w="1669" w:type="dxa"/>
            <w:tcBorders>
              <w:bottom w:val="single" w:sz="8" w:space="0" w:color="000000"/>
              <w:right w:val="single" w:sz="8" w:space="0" w:color="000000"/>
            </w:tcBorders>
            <w:shd w:val="clear" w:color="000000" w:fill="D9D9D9"/>
            <w:vAlign w:val="center"/>
          </w:tcPr>
          <w:p w14:paraId="3377AE5D"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8" w:space="0" w:color="000000"/>
              <w:right w:val="single" w:sz="8" w:space="0" w:color="000000"/>
            </w:tcBorders>
            <w:shd w:val="clear" w:color="000000" w:fill="D9D9D9"/>
            <w:vAlign w:val="center"/>
          </w:tcPr>
          <w:p w14:paraId="1168FEA8" w14:textId="77777777" w:rsidR="003D4B39" w:rsidRDefault="003D4B39" w:rsidP="000379B1">
            <w:pPr>
              <w:widowControl w:val="0"/>
              <w:rPr>
                <w:rFonts w:ascii="Times New Roman" w:hAnsi="Times New Roman"/>
                <w:color w:val="000000" w:themeColor="text1"/>
                <w:sz w:val="24"/>
                <w:szCs w:val="24"/>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 xml:space="preserve">3 </w:t>
            </w:r>
            <w:r w:rsidRPr="00BC7C59">
              <w:rPr>
                <w:rFonts w:ascii="Times New Roman" w:hAnsi="Times New Roman"/>
                <w:color w:val="000000" w:themeColor="text1"/>
                <w:sz w:val="24"/>
                <w:szCs w:val="24"/>
                <w:highlight w:val="yellow"/>
              </w:rPr>
              <w:t>= 0,2</w:t>
            </w:r>
          </w:p>
        </w:tc>
        <w:tc>
          <w:tcPr>
            <w:tcW w:w="2651" w:type="dxa"/>
            <w:tcBorders>
              <w:top w:val="single" w:sz="8" w:space="0" w:color="000000"/>
              <w:bottom w:val="single" w:sz="8" w:space="0" w:color="000000"/>
              <w:right w:val="single" w:sz="8" w:space="0" w:color="000000"/>
            </w:tcBorders>
            <w:shd w:val="clear" w:color="auto" w:fill="auto"/>
            <w:vAlign w:val="center"/>
          </w:tcPr>
          <w:p w14:paraId="03FE277C"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483D7938" w14:textId="77777777" w:rsidR="003D4B39" w:rsidRDefault="003D4B39" w:rsidP="000379B1">
            <w:pPr>
              <w:widowControl w:val="0"/>
              <w:rPr>
                <w:rFonts w:ascii="Times New Roman" w:hAnsi="Times New Roman"/>
                <w:color w:val="000000" w:themeColor="text1"/>
                <w:sz w:val="24"/>
                <w:szCs w:val="24"/>
              </w:rPr>
            </w:pPr>
            <w:r>
              <w:rPr>
                <w:rFonts w:ascii="Times New Roman" w:eastAsia="Times New Roman" w:hAnsi="Times New Roman"/>
                <w:color w:val="000000"/>
              </w:rPr>
              <w:t>Ne – 0 balų</w:t>
            </w:r>
          </w:p>
        </w:tc>
      </w:tr>
      <w:tr w:rsidR="003D4B39" w14:paraId="245ACEC3" w14:textId="77777777" w:rsidTr="000379B1">
        <w:trPr>
          <w:trHeight w:val="700"/>
        </w:trPr>
        <w:tc>
          <w:tcPr>
            <w:tcW w:w="603" w:type="dxa"/>
            <w:tcBorders>
              <w:left w:val="single" w:sz="8" w:space="0" w:color="000000"/>
              <w:bottom w:val="single" w:sz="8" w:space="0" w:color="000000"/>
              <w:right w:val="single" w:sz="8" w:space="0" w:color="000000"/>
            </w:tcBorders>
            <w:shd w:val="clear" w:color="000000" w:fill="D9D9D9"/>
            <w:vAlign w:val="center"/>
          </w:tcPr>
          <w:p w14:paraId="783F9EC6"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T4</w:t>
            </w:r>
          </w:p>
        </w:tc>
        <w:tc>
          <w:tcPr>
            <w:tcW w:w="3442" w:type="dxa"/>
            <w:tcBorders>
              <w:bottom w:val="single" w:sz="8" w:space="0" w:color="000000"/>
              <w:right w:val="single" w:sz="8" w:space="0" w:color="000000"/>
            </w:tcBorders>
            <w:shd w:val="clear" w:color="auto" w:fill="auto"/>
            <w:vAlign w:val="center"/>
          </w:tcPr>
          <w:p w14:paraId="3BBAFCB4" w14:textId="77777777" w:rsidR="003D4B39" w:rsidRDefault="003D4B39" w:rsidP="000379B1">
            <w:pPr>
              <w:widowControl w:val="0"/>
              <w:rPr>
                <w:rFonts w:ascii="Times New Roman" w:hAnsi="Times New Roman"/>
                <w:bCs/>
                <w:color w:val="000000" w:themeColor="text1"/>
                <w:sz w:val="24"/>
                <w:szCs w:val="24"/>
              </w:rPr>
            </w:pPr>
            <w:r>
              <w:rPr>
                <w:rFonts w:ascii="Times New Roman" w:hAnsi="Times New Roman"/>
                <w:bCs/>
                <w:color w:val="000000" w:themeColor="text1"/>
                <w:sz w:val="24"/>
                <w:szCs w:val="24"/>
                <w:lang w:val="lt-LT"/>
              </w:rPr>
              <w:t>Komplektuojamas monokristalinės technologijos aukšto dažnio sektorinis daviklis</w:t>
            </w:r>
          </w:p>
        </w:tc>
        <w:tc>
          <w:tcPr>
            <w:tcW w:w="1669" w:type="dxa"/>
            <w:tcBorders>
              <w:bottom w:val="single" w:sz="8" w:space="0" w:color="000000"/>
              <w:right w:val="single" w:sz="8" w:space="0" w:color="000000"/>
            </w:tcBorders>
            <w:shd w:val="clear" w:color="000000" w:fill="D9D9D9"/>
            <w:vAlign w:val="center"/>
          </w:tcPr>
          <w:p w14:paraId="0F7D5917"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8" w:space="0" w:color="000000"/>
              <w:right w:val="single" w:sz="8" w:space="0" w:color="000000"/>
            </w:tcBorders>
            <w:shd w:val="clear" w:color="000000" w:fill="D9D9D9"/>
            <w:vAlign w:val="center"/>
          </w:tcPr>
          <w:p w14:paraId="56CF76B6" w14:textId="77777777" w:rsidR="003D4B39" w:rsidRDefault="003D4B39" w:rsidP="000379B1">
            <w:pPr>
              <w:widowControl w:val="0"/>
              <w:rPr>
                <w:rFonts w:ascii="Times New Roman" w:hAnsi="Times New Roman"/>
                <w:color w:val="000000" w:themeColor="text1"/>
                <w:sz w:val="24"/>
                <w:szCs w:val="24"/>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4</w:t>
            </w:r>
            <w:r w:rsidRPr="00BC7C59">
              <w:rPr>
                <w:rFonts w:ascii="Times New Roman" w:hAnsi="Times New Roman"/>
                <w:color w:val="000000" w:themeColor="text1"/>
                <w:sz w:val="24"/>
                <w:szCs w:val="24"/>
                <w:highlight w:val="yellow"/>
              </w:rPr>
              <w:t xml:space="preserve"> = 0,</w:t>
            </w:r>
            <w:r w:rsidR="00BC7C59" w:rsidRPr="00BC7C59">
              <w:rPr>
                <w:rFonts w:ascii="Times New Roman" w:hAnsi="Times New Roman"/>
                <w:color w:val="000000" w:themeColor="text1"/>
                <w:sz w:val="24"/>
                <w:szCs w:val="24"/>
                <w:highlight w:val="yellow"/>
              </w:rPr>
              <w:t>15</w:t>
            </w:r>
          </w:p>
        </w:tc>
        <w:tc>
          <w:tcPr>
            <w:tcW w:w="2651" w:type="dxa"/>
            <w:tcBorders>
              <w:top w:val="single" w:sz="8" w:space="0" w:color="000000"/>
              <w:bottom w:val="single" w:sz="8" w:space="0" w:color="000000"/>
              <w:right w:val="single" w:sz="8" w:space="0" w:color="000000"/>
            </w:tcBorders>
            <w:shd w:val="clear" w:color="auto" w:fill="auto"/>
            <w:vAlign w:val="center"/>
          </w:tcPr>
          <w:p w14:paraId="7009F629"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49357F20"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Ne – 0 balų</w:t>
            </w:r>
          </w:p>
        </w:tc>
      </w:tr>
      <w:tr w:rsidR="003D4B39" w14:paraId="158D9720" w14:textId="77777777" w:rsidTr="000379B1">
        <w:trPr>
          <w:trHeight w:val="700"/>
        </w:trPr>
        <w:tc>
          <w:tcPr>
            <w:tcW w:w="603" w:type="dxa"/>
            <w:tcBorders>
              <w:left w:val="single" w:sz="8" w:space="0" w:color="000000"/>
              <w:bottom w:val="single" w:sz="8" w:space="0" w:color="000000"/>
              <w:right w:val="single" w:sz="8" w:space="0" w:color="000000"/>
            </w:tcBorders>
            <w:shd w:val="clear" w:color="000000" w:fill="D9D9D9"/>
            <w:vAlign w:val="center"/>
          </w:tcPr>
          <w:p w14:paraId="4ABAC40A"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lastRenderedPageBreak/>
              <w:t>T5</w:t>
            </w:r>
          </w:p>
        </w:tc>
        <w:tc>
          <w:tcPr>
            <w:tcW w:w="3442" w:type="dxa"/>
            <w:tcBorders>
              <w:bottom w:val="single" w:sz="8" w:space="0" w:color="000000"/>
              <w:right w:val="single" w:sz="8" w:space="0" w:color="000000"/>
            </w:tcBorders>
            <w:shd w:val="clear" w:color="auto" w:fill="auto"/>
            <w:vAlign w:val="center"/>
          </w:tcPr>
          <w:p w14:paraId="79FF8C1F" w14:textId="77777777" w:rsidR="003D4B39" w:rsidRDefault="003D4B39" w:rsidP="000379B1">
            <w:pPr>
              <w:widowControl w:val="0"/>
              <w:rPr>
                <w:rFonts w:ascii="Times New Roman" w:hAnsi="Times New Roman"/>
                <w:sz w:val="24"/>
              </w:rPr>
            </w:pPr>
            <w:r>
              <w:rPr>
                <w:rFonts w:ascii="Times New Roman" w:hAnsi="Times New Roman"/>
                <w:sz w:val="24"/>
              </w:rPr>
              <w:t>Automatiniai kairiojo skilvelio įtempių (strain) matavimai su 2D taškelių sekimo technologija ir „buliaus akies” įtempių segmentų vaizdavimu;</w:t>
            </w:r>
          </w:p>
          <w:p w14:paraId="5BAF6EF5" w14:textId="77777777" w:rsidR="003D4B39" w:rsidRDefault="003D4B39" w:rsidP="000379B1">
            <w:pPr>
              <w:widowControl w:val="0"/>
              <w:rPr>
                <w:rFonts w:ascii="Times New Roman" w:hAnsi="Times New Roman"/>
                <w:sz w:val="24"/>
              </w:rPr>
            </w:pPr>
            <w:r>
              <w:rPr>
                <w:rFonts w:ascii="Times New Roman" w:hAnsi="Times New Roman"/>
                <w:sz w:val="24"/>
              </w:rPr>
              <w:t>Automatiniai dešiniojo skilvelio ir kairiojo prieširdžio įtempių matavimai su 2D taškelių sekimo technologija;</w:t>
            </w:r>
          </w:p>
          <w:p w14:paraId="744083D8" w14:textId="77777777" w:rsidR="003D4B39" w:rsidRDefault="003D4B39" w:rsidP="000379B1">
            <w:pPr>
              <w:widowControl w:val="0"/>
              <w:rPr>
                <w:rFonts w:ascii="Times New Roman" w:hAnsi="Times New Roman"/>
                <w:sz w:val="24"/>
              </w:rPr>
            </w:pPr>
          </w:p>
        </w:tc>
        <w:tc>
          <w:tcPr>
            <w:tcW w:w="1669" w:type="dxa"/>
            <w:tcBorders>
              <w:bottom w:val="single" w:sz="8" w:space="0" w:color="000000"/>
              <w:right w:val="single" w:sz="8" w:space="0" w:color="000000"/>
            </w:tcBorders>
            <w:shd w:val="clear" w:color="000000" w:fill="D9D9D9"/>
            <w:vAlign w:val="center"/>
          </w:tcPr>
          <w:p w14:paraId="6A0EE350" w14:textId="77777777" w:rsidR="003D4B39" w:rsidRDefault="003D4B39" w:rsidP="000379B1">
            <w:pPr>
              <w:widowControl w:val="0"/>
              <w:rPr>
                <w:rFonts w:ascii="Times New Roman" w:hAnsi="Times New Roman"/>
                <w:color w:val="000000" w:themeColor="text1"/>
                <w:sz w:val="24"/>
                <w:szCs w:val="24"/>
                <w:lang w:val="sv-SE"/>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8" w:space="0" w:color="000000"/>
              <w:right w:val="single" w:sz="8" w:space="0" w:color="000000"/>
            </w:tcBorders>
            <w:shd w:val="clear" w:color="000000" w:fill="D9D9D9"/>
            <w:vAlign w:val="center"/>
          </w:tcPr>
          <w:p w14:paraId="583358FD" w14:textId="77777777" w:rsidR="003D4B39" w:rsidRDefault="003D4B39" w:rsidP="000379B1">
            <w:pPr>
              <w:widowControl w:val="0"/>
              <w:rPr>
                <w:rFonts w:ascii="Times New Roman" w:hAnsi="Times New Roman"/>
                <w:color w:val="000000" w:themeColor="text1"/>
                <w:sz w:val="24"/>
                <w:szCs w:val="24"/>
                <w:lang w:val="sv-SE"/>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 xml:space="preserve">5 </w:t>
            </w:r>
            <w:r w:rsidRPr="00BC7C59">
              <w:rPr>
                <w:rFonts w:ascii="Times New Roman" w:hAnsi="Times New Roman"/>
                <w:color w:val="000000" w:themeColor="text1"/>
                <w:sz w:val="24"/>
                <w:szCs w:val="24"/>
                <w:highlight w:val="yellow"/>
              </w:rPr>
              <w:t>= 0,</w:t>
            </w:r>
            <w:r w:rsidR="00BC7C59" w:rsidRPr="00BC7C59">
              <w:rPr>
                <w:rFonts w:ascii="Times New Roman" w:hAnsi="Times New Roman"/>
                <w:color w:val="000000" w:themeColor="text1"/>
                <w:sz w:val="24"/>
                <w:szCs w:val="24"/>
                <w:highlight w:val="yellow"/>
              </w:rPr>
              <w:t>1</w:t>
            </w:r>
          </w:p>
        </w:tc>
        <w:tc>
          <w:tcPr>
            <w:tcW w:w="2651" w:type="dxa"/>
            <w:tcBorders>
              <w:top w:val="single" w:sz="8" w:space="0" w:color="000000"/>
              <w:bottom w:val="single" w:sz="8" w:space="0" w:color="000000"/>
              <w:right w:val="single" w:sz="8" w:space="0" w:color="000000"/>
            </w:tcBorders>
            <w:shd w:val="clear" w:color="auto" w:fill="auto"/>
            <w:vAlign w:val="center"/>
          </w:tcPr>
          <w:p w14:paraId="44E9D573"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59AE7A10" w14:textId="77777777" w:rsidR="003D4B39" w:rsidRDefault="003D4B39" w:rsidP="000379B1">
            <w:pPr>
              <w:widowControl w:val="0"/>
              <w:rPr>
                <w:rFonts w:ascii="Times New Roman" w:eastAsia="Times New Roman" w:hAnsi="Times New Roman"/>
                <w:color w:val="000000"/>
                <w:lang w:val="sv-SE"/>
              </w:rPr>
            </w:pPr>
            <w:r>
              <w:rPr>
                <w:rFonts w:ascii="Times New Roman" w:eastAsia="Times New Roman" w:hAnsi="Times New Roman"/>
                <w:color w:val="000000"/>
              </w:rPr>
              <w:t>Ne – 0 balų</w:t>
            </w:r>
          </w:p>
        </w:tc>
      </w:tr>
      <w:tr w:rsidR="003D4B39" w14:paraId="55B9A73B" w14:textId="77777777" w:rsidTr="000379B1">
        <w:trPr>
          <w:trHeight w:val="700"/>
        </w:trPr>
        <w:tc>
          <w:tcPr>
            <w:tcW w:w="603" w:type="dxa"/>
            <w:tcBorders>
              <w:left w:val="single" w:sz="8" w:space="0" w:color="000000"/>
              <w:bottom w:val="single" w:sz="4" w:space="0" w:color="000000"/>
              <w:right w:val="single" w:sz="8" w:space="0" w:color="000000"/>
            </w:tcBorders>
            <w:shd w:val="clear" w:color="000000" w:fill="D9D9D9"/>
            <w:vAlign w:val="center"/>
          </w:tcPr>
          <w:p w14:paraId="73EB5BE5"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T6</w:t>
            </w:r>
          </w:p>
        </w:tc>
        <w:tc>
          <w:tcPr>
            <w:tcW w:w="3442" w:type="dxa"/>
            <w:tcBorders>
              <w:bottom w:val="single" w:sz="4" w:space="0" w:color="000000"/>
              <w:right w:val="single" w:sz="8" w:space="0" w:color="000000"/>
            </w:tcBorders>
            <w:shd w:val="clear" w:color="auto" w:fill="auto"/>
            <w:vAlign w:val="center"/>
          </w:tcPr>
          <w:p w14:paraId="27316604" w14:textId="77777777" w:rsidR="003D4B39" w:rsidRDefault="003D4B39" w:rsidP="000379B1">
            <w:pPr>
              <w:widowControl w:val="0"/>
              <w:rPr>
                <w:rFonts w:ascii="Times New Roman" w:hAnsi="Times New Roman"/>
                <w:bCs/>
                <w:color w:val="000000" w:themeColor="text1"/>
                <w:sz w:val="24"/>
                <w:szCs w:val="24"/>
              </w:rPr>
            </w:pPr>
            <w:r>
              <w:rPr>
                <w:rFonts w:ascii="Times New Roman" w:hAnsi="Times New Roman"/>
                <w:bCs/>
                <w:color w:val="000000" w:themeColor="text1"/>
                <w:sz w:val="24"/>
                <w:szCs w:val="24"/>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1669" w:type="dxa"/>
            <w:tcBorders>
              <w:bottom w:val="single" w:sz="4" w:space="0" w:color="000000"/>
              <w:right w:val="single" w:sz="8" w:space="0" w:color="000000"/>
            </w:tcBorders>
            <w:shd w:val="clear" w:color="000000" w:fill="D9D9D9"/>
            <w:vAlign w:val="center"/>
          </w:tcPr>
          <w:p w14:paraId="2D236AD1" w14:textId="77777777" w:rsidR="003D4B39" w:rsidRDefault="003D4B39" w:rsidP="000379B1">
            <w:pPr>
              <w:widowControl w:val="0"/>
              <w:rPr>
                <w:rFonts w:ascii="Times New Roman" w:hAnsi="Times New Roman"/>
                <w:color w:val="000000" w:themeColor="text1"/>
                <w:sz w:val="24"/>
                <w:szCs w:val="24"/>
              </w:rPr>
            </w:pPr>
            <w:r>
              <w:rPr>
                <w:rFonts w:ascii="Times New Roman" w:hAnsi="Times New Roman"/>
                <w:color w:val="000000" w:themeColor="text1"/>
                <w:sz w:val="24"/>
                <w:szCs w:val="24"/>
              </w:rPr>
              <w:t>Statinis:</w:t>
            </w:r>
            <w:r>
              <w:rPr>
                <w:rFonts w:ascii="Times New Roman" w:hAnsi="Times New Roman"/>
                <w:color w:val="000000" w:themeColor="text1"/>
                <w:sz w:val="24"/>
                <w:szCs w:val="24"/>
              </w:rPr>
              <w:br/>
              <w:t>(Taip / Ne)</w:t>
            </w:r>
          </w:p>
        </w:tc>
        <w:tc>
          <w:tcPr>
            <w:tcW w:w="1690" w:type="dxa"/>
            <w:tcBorders>
              <w:bottom w:val="single" w:sz="4" w:space="0" w:color="000000"/>
              <w:right w:val="single" w:sz="8" w:space="0" w:color="000000"/>
            </w:tcBorders>
            <w:shd w:val="clear" w:color="000000" w:fill="D9D9D9"/>
            <w:vAlign w:val="center"/>
          </w:tcPr>
          <w:p w14:paraId="42C592B7" w14:textId="77777777" w:rsidR="003D4B39" w:rsidRDefault="003D4B39" w:rsidP="000379B1">
            <w:pPr>
              <w:widowControl w:val="0"/>
              <w:rPr>
                <w:rFonts w:ascii="Times New Roman" w:hAnsi="Times New Roman"/>
                <w:color w:val="000000" w:themeColor="text1"/>
                <w:sz w:val="24"/>
                <w:szCs w:val="24"/>
              </w:rPr>
            </w:pPr>
            <w:r w:rsidRPr="00BC7C59">
              <w:rPr>
                <w:rFonts w:ascii="Times New Roman" w:hAnsi="Times New Roman"/>
                <w:color w:val="000000" w:themeColor="text1"/>
                <w:sz w:val="24"/>
                <w:szCs w:val="24"/>
                <w:highlight w:val="yellow"/>
              </w:rPr>
              <w:t>L</w:t>
            </w:r>
            <w:r w:rsidRPr="00BC7C59">
              <w:rPr>
                <w:rFonts w:ascii="Times New Roman" w:hAnsi="Times New Roman"/>
                <w:color w:val="000000" w:themeColor="text1"/>
                <w:sz w:val="24"/>
                <w:szCs w:val="24"/>
                <w:highlight w:val="yellow"/>
                <w:vertAlign w:val="subscript"/>
              </w:rPr>
              <w:t xml:space="preserve">6 </w:t>
            </w:r>
            <w:r w:rsidRPr="00BC7C59">
              <w:rPr>
                <w:rFonts w:ascii="Times New Roman" w:hAnsi="Times New Roman"/>
                <w:color w:val="000000" w:themeColor="text1"/>
                <w:sz w:val="24"/>
                <w:szCs w:val="24"/>
                <w:highlight w:val="yellow"/>
              </w:rPr>
              <w:t>= 0,1</w:t>
            </w:r>
          </w:p>
        </w:tc>
        <w:tc>
          <w:tcPr>
            <w:tcW w:w="2651" w:type="dxa"/>
            <w:tcBorders>
              <w:top w:val="single" w:sz="8" w:space="0" w:color="000000"/>
              <w:bottom w:val="single" w:sz="8" w:space="0" w:color="000000"/>
              <w:right w:val="single" w:sz="8" w:space="0" w:color="000000"/>
            </w:tcBorders>
            <w:shd w:val="clear" w:color="auto" w:fill="auto"/>
            <w:vAlign w:val="center"/>
          </w:tcPr>
          <w:p w14:paraId="309A5890"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2C445D3D" w14:textId="77777777" w:rsidR="003D4B39" w:rsidRDefault="003D4B39" w:rsidP="000379B1">
            <w:pPr>
              <w:widowControl w:val="0"/>
              <w:rPr>
                <w:rFonts w:ascii="Times New Roman" w:eastAsia="Times New Roman" w:hAnsi="Times New Roman"/>
                <w:color w:val="000000"/>
              </w:rPr>
            </w:pPr>
            <w:r>
              <w:rPr>
                <w:rFonts w:ascii="Times New Roman" w:eastAsia="Times New Roman" w:hAnsi="Times New Roman"/>
                <w:color w:val="000000"/>
              </w:rPr>
              <w:t>Ne – 0 balų</w:t>
            </w:r>
          </w:p>
        </w:tc>
      </w:tr>
      <w:tr w:rsidR="005244D2" w14:paraId="64A01902" w14:textId="77777777" w:rsidTr="005244D2">
        <w:trPr>
          <w:trHeight w:val="700"/>
        </w:trPr>
        <w:tc>
          <w:tcPr>
            <w:tcW w:w="603" w:type="dxa"/>
            <w:tcBorders>
              <w:left w:val="single" w:sz="8" w:space="0" w:color="000000"/>
              <w:bottom w:val="single" w:sz="4" w:space="0" w:color="000000"/>
              <w:right w:val="single" w:sz="8" w:space="0" w:color="000000"/>
            </w:tcBorders>
            <w:shd w:val="clear" w:color="000000" w:fill="D9D9D9"/>
            <w:vAlign w:val="center"/>
          </w:tcPr>
          <w:p w14:paraId="4E515381" w14:textId="77777777" w:rsidR="005244D2" w:rsidRPr="00E50CFA" w:rsidRDefault="005244D2" w:rsidP="009D0AF1">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t>T7</w:t>
            </w:r>
          </w:p>
        </w:tc>
        <w:tc>
          <w:tcPr>
            <w:tcW w:w="3442" w:type="dxa"/>
            <w:tcBorders>
              <w:bottom w:val="single" w:sz="4" w:space="0" w:color="000000"/>
              <w:right w:val="single" w:sz="8" w:space="0" w:color="000000"/>
            </w:tcBorders>
            <w:shd w:val="clear" w:color="auto" w:fill="auto"/>
            <w:vAlign w:val="center"/>
          </w:tcPr>
          <w:p w14:paraId="20FD6A3C" w14:textId="77777777" w:rsidR="005244D2" w:rsidRPr="00E50CFA" w:rsidRDefault="005244D2" w:rsidP="009D0AF1">
            <w:pPr>
              <w:widowControl w:val="0"/>
              <w:rPr>
                <w:rFonts w:ascii="Times New Roman" w:hAnsi="Times New Roman"/>
                <w:bCs/>
                <w:color w:val="000000" w:themeColor="text1"/>
                <w:sz w:val="24"/>
                <w:szCs w:val="24"/>
                <w:highlight w:val="yellow"/>
                <w:lang w:val="lt-LT"/>
              </w:rPr>
            </w:pPr>
            <w:r w:rsidRPr="00E50CFA">
              <w:rPr>
                <w:rFonts w:ascii="Times New Roman" w:hAnsi="Times New Roman"/>
                <w:bCs/>
                <w:color w:val="000000" w:themeColor="text1"/>
                <w:sz w:val="24"/>
                <w:szCs w:val="24"/>
                <w:highlight w:val="yellow"/>
              </w:rPr>
              <w:t>Automatin</w:t>
            </w:r>
            <w:r w:rsidRPr="00E50CFA">
              <w:rPr>
                <w:rFonts w:ascii="Times New Roman" w:hAnsi="Times New Roman"/>
                <w:bCs/>
                <w:color w:val="000000" w:themeColor="text1"/>
                <w:sz w:val="24"/>
                <w:szCs w:val="24"/>
                <w:highlight w:val="yellow"/>
                <w:lang w:val="lt-LT"/>
              </w:rPr>
              <w:t xml:space="preserve">ė kairiojo skilvelio širdies sienelių judesio vertinimo programinė įranga, automatiškai </w:t>
            </w:r>
            <w:r w:rsidRPr="00E50CFA">
              <w:rPr>
                <w:rFonts w:ascii="Times New Roman" w:hAnsi="Times New Roman"/>
                <w:bCs/>
                <w:color w:val="000000" w:themeColor="text1"/>
                <w:sz w:val="24"/>
                <w:szCs w:val="24"/>
                <w:highlight w:val="yellow"/>
              </w:rPr>
              <w:t>17 segment</w:t>
            </w:r>
            <w:r w:rsidRPr="00E50CFA">
              <w:rPr>
                <w:rFonts w:ascii="Times New Roman" w:hAnsi="Times New Roman"/>
                <w:bCs/>
                <w:color w:val="000000" w:themeColor="text1"/>
                <w:sz w:val="24"/>
                <w:szCs w:val="24"/>
                <w:highlight w:val="yellow"/>
                <w:lang w:val="lt-LT"/>
              </w:rPr>
              <w:t>ų įvertinanti širdies sienelių būklę (norma, hipokinezė ar akinezė)</w:t>
            </w:r>
            <w:r w:rsidR="00E50CFA" w:rsidRPr="00E50CFA">
              <w:rPr>
                <w:rFonts w:ascii="Times New Roman" w:hAnsi="Times New Roman"/>
                <w:bCs/>
                <w:color w:val="000000" w:themeColor="text1"/>
                <w:sz w:val="24"/>
                <w:szCs w:val="24"/>
                <w:highlight w:val="yellow"/>
                <w:lang w:val="lt-LT"/>
              </w:rPr>
              <w:t xml:space="preserve"> be</w:t>
            </w:r>
            <w:r w:rsidR="00BC7C59">
              <w:rPr>
                <w:rFonts w:ascii="Times New Roman" w:hAnsi="Times New Roman"/>
                <w:bCs/>
                <w:color w:val="000000" w:themeColor="text1"/>
                <w:sz w:val="24"/>
                <w:szCs w:val="24"/>
                <w:highlight w:val="yellow"/>
                <w:lang w:val="lt-LT"/>
              </w:rPr>
              <w:t>i</w:t>
            </w:r>
            <w:r w:rsidR="00E50CFA" w:rsidRPr="00E50CFA">
              <w:rPr>
                <w:rFonts w:ascii="Times New Roman" w:hAnsi="Times New Roman"/>
                <w:bCs/>
                <w:color w:val="000000" w:themeColor="text1"/>
                <w:sz w:val="24"/>
                <w:szCs w:val="24"/>
                <w:highlight w:val="yellow"/>
                <w:lang w:val="lt-LT"/>
              </w:rPr>
              <w:t xml:space="preserve"> atvaizduojanti „buliaus akyje“. Matavimo parametrai- greitis, judėjimas vaizdo plokštumoje, bendras atstumas, segmentinis deformacijos rodiklis (strain), kreivumas.</w:t>
            </w:r>
          </w:p>
        </w:tc>
        <w:tc>
          <w:tcPr>
            <w:tcW w:w="1669" w:type="dxa"/>
            <w:tcBorders>
              <w:bottom w:val="single" w:sz="4" w:space="0" w:color="000000"/>
              <w:right w:val="single" w:sz="8" w:space="0" w:color="000000"/>
            </w:tcBorders>
            <w:shd w:val="clear" w:color="000000" w:fill="D9D9D9"/>
            <w:vAlign w:val="center"/>
          </w:tcPr>
          <w:p w14:paraId="34E148A1" w14:textId="77777777" w:rsidR="005244D2" w:rsidRPr="00E50CFA" w:rsidRDefault="005244D2" w:rsidP="009D0AF1">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t>Statinis:</w:t>
            </w:r>
            <w:r w:rsidRPr="00E50CFA">
              <w:rPr>
                <w:rFonts w:ascii="Times New Roman" w:hAnsi="Times New Roman"/>
                <w:color w:val="000000" w:themeColor="text1"/>
                <w:sz w:val="24"/>
                <w:szCs w:val="24"/>
                <w:highlight w:val="yellow"/>
              </w:rPr>
              <w:br/>
              <w:t>(Taip / Ne)</w:t>
            </w:r>
          </w:p>
        </w:tc>
        <w:tc>
          <w:tcPr>
            <w:tcW w:w="1690" w:type="dxa"/>
            <w:tcBorders>
              <w:bottom w:val="single" w:sz="4" w:space="0" w:color="000000"/>
              <w:right w:val="single" w:sz="8" w:space="0" w:color="000000"/>
            </w:tcBorders>
            <w:shd w:val="clear" w:color="000000" w:fill="D9D9D9"/>
            <w:vAlign w:val="center"/>
          </w:tcPr>
          <w:p w14:paraId="41AC113E" w14:textId="77777777" w:rsidR="005244D2" w:rsidRPr="00E50CFA" w:rsidRDefault="005244D2" w:rsidP="009D0AF1">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t>L7 = 0,</w:t>
            </w:r>
            <w:r w:rsidR="00BC7C59">
              <w:rPr>
                <w:rFonts w:ascii="Times New Roman" w:hAnsi="Times New Roman"/>
                <w:color w:val="000000" w:themeColor="text1"/>
                <w:sz w:val="24"/>
                <w:szCs w:val="24"/>
                <w:highlight w:val="yellow"/>
              </w:rPr>
              <w:t>2</w:t>
            </w:r>
          </w:p>
        </w:tc>
        <w:tc>
          <w:tcPr>
            <w:tcW w:w="2651" w:type="dxa"/>
            <w:tcBorders>
              <w:top w:val="single" w:sz="8" w:space="0" w:color="000000"/>
              <w:bottom w:val="single" w:sz="8" w:space="0" w:color="000000"/>
              <w:right w:val="single" w:sz="8" w:space="0" w:color="000000"/>
            </w:tcBorders>
            <w:shd w:val="clear" w:color="auto" w:fill="auto"/>
            <w:vAlign w:val="center"/>
          </w:tcPr>
          <w:p w14:paraId="011E5FAE" w14:textId="77777777" w:rsidR="005244D2" w:rsidRPr="00E50CFA" w:rsidRDefault="005244D2" w:rsidP="009D0AF1">
            <w:pPr>
              <w:widowControl w:val="0"/>
              <w:rPr>
                <w:rFonts w:ascii="Times New Roman" w:eastAsia="Times New Roman" w:hAnsi="Times New Roman"/>
                <w:color w:val="000000"/>
                <w:highlight w:val="yellow"/>
              </w:rPr>
            </w:pPr>
            <w:r w:rsidRPr="00E50CFA">
              <w:rPr>
                <w:rFonts w:ascii="Times New Roman" w:eastAsia="Times New Roman" w:hAnsi="Times New Roman"/>
                <w:color w:val="000000"/>
                <w:highlight w:val="yellow"/>
              </w:rPr>
              <w:t xml:space="preserve">Taip – 1 balas, </w:t>
            </w:r>
          </w:p>
          <w:p w14:paraId="054935C2" w14:textId="77777777" w:rsidR="005244D2" w:rsidRPr="00E50CFA" w:rsidRDefault="005244D2" w:rsidP="009D0AF1">
            <w:pPr>
              <w:widowControl w:val="0"/>
              <w:rPr>
                <w:rFonts w:ascii="Times New Roman" w:eastAsia="Times New Roman" w:hAnsi="Times New Roman"/>
                <w:color w:val="000000"/>
                <w:highlight w:val="yellow"/>
              </w:rPr>
            </w:pPr>
            <w:r w:rsidRPr="00E50CFA">
              <w:rPr>
                <w:rFonts w:ascii="Times New Roman" w:eastAsia="Times New Roman" w:hAnsi="Times New Roman"/>
                <w:color w:val="000000"/>
                <w:highlight w:val="yellow"/>
              </w:rPr>
              <w:t>Ne – 0 balų</w:t>
            </w:r>
          </w:p>
        </w:tc>
      </w:tr>
      <w:tr w:rsidR="005244D2" w14:paraId="00D7B680" w14:textId="77777777" w:rsidTr="005244D2">
        <w:trPr>
          <w:trHeight w:val="700"/>
        </w:trPr>
        <w:tc>
          <w:tcPr>
            <w:tcW w:w="603" w:type="dxa"/>
            <w:tcBorders>
              <w:left w:val="single" w:sz="8" w:space="0" w:color="000000"/>
              <w:bottom w:val="single" w:sz="4" w:space="0" w:color="000000"/>
              <w:right w:val="single" w:sz="8" w:space="0" w:color="000000"/>
            </w:tcBorders>
            <w:shd w:val="clear" w:color="000000" w:fill="D9D9D9"/>
            <w:vAlign w:val="center"/>
          </w:tcPr>
          <w:p w14:paraId="6CEC5CA4" w14:textId="77777777" w:rsidR="005244D2" w:rsidRPr="00E50CFA" w:rsidRDefault="005244D2" w:rsidP="00E50CFA">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t>T</w:t>
            </w:r>
            <w:r w:rsidR="00E50CFA" w:rsidRPr="00E50CFA">
              <w:rPr>
                <w:rFonts w:ascii="Times New Roman" w:hAnsi="Times New Roman"/>
                <w:color w:val="000000" w:themeColor="text1"/>
                <w:sz w:val="24"/>
                <w:szCs w:val="24"/>
                <w:highlight w:val="yellow"/>
              </w:rPr>
              <w:t>8</w:t>
            </w:r>
          </w:p>
        </w:tc>
        <w:tc>
          <w:tcPr>
            <w:tcW w:w="3442" w:type="dxa"/>
            <w:tcBorders>
              <w:bottom w:val="single" w:sz="4" w:space="0" w:color="000000"/>
              <w:right w:val="single" w:sz="8" w:space="0" w:color="000000"/>
            </w:tcBorders>
            <w:shd w:val="clear" w:color="auto" w:fill="auto"/>
            <w:vAlign w:val="center"/>
          </w:tcPr>
          <w:p w14:paraId="42AAE448" w14:textId="77777777" w:rsidR="005244D2" w:rsidRPr="00E50CFA" w:rsidRDefault="00E50CFA" w:rsidP="009D0AF1">
            <w:pPr>
              <w:widowControl w:val="0"/>
              <w:rPr>
                <w:rFonts w:ascii="Times New Roman" w:hAnsi="Times New Roman"/>
                <w:bCs/>
                <w:color w:val="000000" w:themeColor="text1"/>
                <w:sz w:val="24"/>
                <w:szCs w:val="24"/>
                <w:highlight w:val="yellow"/>
              </w:rPr>
            </w:pPr>
            <w:r w:rsidRPr="00E50CFA">
              <w:rPr>
                <w:rFonts w:ascii="Times New Roman" w:hAnsi="Times New Roman"/>
                <w:bCs/>
                <w:color w:val="000000" w:themeColor="text1"/>
                <w:sz w:val="24"/>
                <w:szCs w:val="24"/>
                <w:highlight w:val="yellow"/>
              </w:rPr>
              <w:t>Papildomai kartu su standartin</w:t>
            </w:r>
            <w:r w:rsidRPr="00E50CFA">
              <w:rPr>
                <w:rFonts w:ascii="Times New Roman" w:hAnsi="Times New Roman"/>
                <w:bCs/>
                <w:color w:val="000000" w:themeColor="text1"/>
                <w:sz w:val="24"/>
                <w:szCs w:val="24"/>
                <w:highlight w:val="yellow"/>
                <w:lang w:val="lt-LT"/>
              </w:rPr>
              <w:t>ė</w:t>
            </w:r>
            <w:r w:rsidRPr="00E50CFA">
              <w:rPr>
                <w:rFonts w:ascii="Times New Roman" w:hAnsi="Times New Roman"/>
                <w:bCs/>
                <w:color w:val="000000" w:themeColor="text1"/>
                <w:sz w:val="24"/>
                <w:szCs w:val="24"/>
                <w:highlight w:val="yellow"/>
              </w:rPr>
              <w:t xml:space="preserve">mis (Autoscan, Adaptive contrast enchancement, Automatic tissue optimization, Auto TEQ) vaizdo apdorojimo programomis veikianti, </w:t>
            </w:r>
            <w:r w:rsidRPr="00E50CFA">
              <w:rPr>
                <w:rFonts w:ascii="Times New Roman" w:hAnsi="Times New Roman"/>
                <w:bCs/>
                <w:color w:val="000000" w:themeColor="text1"/>
                <w:sz w:val="24"/>
                <w:szCs w:val="24"/>
                <w:highlight w:val="yellow"/>
              </w:rPr>
              <w:lastRenderedPageBreak/>
              <w:t>kardiologiniams TTE ir TEE tyrimams specializuota signal duomenų apdorojimo funkcija, kuri slopina trikdžių signalus ir sustiprina pageidaujamus miokardo ir kardiologinių struktūrų signalus.</w:t>
            </w:r>
          </w:p>
        </w:tc>
        <w:tc>
          <w:tcPr>
            <w:tcW w:w="1669" w:type="dxa"/>
            <w:tcBorders>
              <w:bottom w:val="single" w:sz="4" w:space="0" w:color="000000"/>
              <w:right w:val="single" w:sz="8" w:space="0" w:color="000000"/>
            </w:tcBorders>
            <w:shd w:val="clear" w:color="000000" w:fill="D9D9D9"/>
            <w:vAlign w:val="center"/>
          </w:tcPr>
          <w:p w14:paraId="31047CCB" w14:textId="77777777" w:rsidR="005244D2" w:rsidRPr="00E50CFA" w:rsidRDefault="005244D2" w:rsidP="009D0AF1">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lastRenderedPageBreak/>
              <w:t>Statinis:</w:t>
            </w:r>
            <w:r w:rsidRPr="00E50CFA">
              <w:rPr>
                <w:rFonts w:ascii="Times New Roman" w:hAnsi="Times New Roman"/>
                <w:color w:val="000000" w:themeColor="text1"/>
                <w:sz w:val="24"/>
                <w:szCs w:val="24"/>
                <w:highlight w:val="yellow"/>
              </w:rPr>
              <w:br/>
              <w:t>(Taip / Ne)</w:t>
            </w:r>
          </w:p>
        </w:tc>
        <w:tc>
          <w:tcPr>
            <w:tcW w:w="1690" w:type="dxa"/>
            <w:tcBorders>
              <w:bottom w:val="single" w:sz="4" w:space="0" w:color="000000"/>
              <w:right w:val="single" w:sz="8" w:space="0" w:color="000000"/>
            </w:tcBorders>
            <w:shd w:val="clear" w:color="000000" w:fill="D9D9D9"/>
            <w:vAlign w:val="center"/>
          </w:tcPr>
          <w:p w14:paraId="14343B09" w14:textId="77777777" w:rsidR="005244D2" w:rsidRPr="00E50CFA" w:rsidRDefault="005244D2" w:rsidP="005244D2">
            <w:pPr>
              <w:widowControl w:val="0"/>
              <w:rPr>
                <w:rFonts w:ascii="Times New Roman" w:hAnsi="Times New Roman"/>
                <w:color w:val="000000" w:themeColor="text1"/>
                <w:sz w:val="24"/>
                <w:szCs w:val="24"/>
                <w:highlight w:val="yellow"/>
              </w:rPr>
            </w:pPr>
            <w:r w:rsidRPr="00E50CFA">
              <w:rPr>
                <w:rFonts w:ascii="Times New Roman" w:hAnsi="Times New Roman"/>
                <w:color w:val="000000" w:themeColor="text1"/>
                <w:sz w:val="24"/>
                <w:szCs w:val="24"/>
                <w:highlight w:val="yellow"/>
              </w:rPr>
              <w:t>L8 = 0,1</w:t>
            </w:r>
          </w:p>
        </w:tc>
        <w:tc>
          <w:tcPr>
            <w:tcW w:w="2651" w:type="dxa"/>
            <w:tcBorders>
              <w:top w:val="single" w:sz="8" w:space="0" w:color="000000"/>
              <w:bottom w:val="single" w:sz="8" w:space="0" w:color="000000"/>
              <w:right w:val="single" w:sz="8" w:space="0" w:color="000000"/>
            </w:tcBorders>
            <w:shd w:val="clear" w:color="auto" w:fill="auto"/>
            <w:vAlign w:val="center"/>
          </w:tcPr>
          <w:p w14:paraId="32C98018" w14:textId="77777777" w:rsidR="005244D2" w:rsidRPr="00E50CFA" w:rsidRDefault="005244D2" w:rsidP="009D0AF1">
            <w:pPr>
              <w:widowControl w:val="0"/>
              <w:rPr>
                <w:rFonts w:ascii="Times New Roman" w:eastAsia="Times New Roman" w:hAnsi="Times New Roman"/>
                <w:color w:val="000000"/>
                <w:highlight w:val="yellow"/>
              </w:rPr>
            </w:pPr>
            <w:r w:rsidRPr="00E50CFA">
              <w:rPr>
                <w:rFonts w:ascii="Times New Roman" w:eastAsia="Times New Roman" w:hAnsi="Times New Roman"/>
                <w:color w:val="000000"/>
                <w:highlight w:val="yellow"/>
              </w:rPr>
              <w:t xml:space="preserve">Taip – 1 balas, </w:t>
            </w:r>
          </w:p>
          <w:p w14:paraId="7743D88E" w14:textId="77777777" w:rsidR="005244D2" w:rsidRPr="00E50CFA" w:rsidRDefault="005244D2" w:rsidP="009D0AF1">
            <w:pPr>
              <w:widowControl w:val="0"/>
              <w:rPr>
                <w:rFonts w:ascii="Times New Roman" w:eastAsia="Times New Roman" w:hAnsi="Times New Roman"/>
                <w:color w:val="000000"/>
                <w:highlight w:val="yellow"/>
              </w:rPr>
            </w:pPr>
            <w:r w:rsidRPr="00E50CFA">
              <w:rPr>
                <w:rFonts w:ascii="Times New Roman" w:eastAsia="Times New Roman" w:hAnsi="Times New Roman"/>
                <w:color w:val="000000"/>
                <w:highlight w:val="yellow"/>
              </w:rPr>
              <w:t>Ne – 0 balų</w:t>
            </w:r>
          </w:p>
        </w:tc>
      </w:tr>
    </w:tbl>
    <w:p w14:paraId="6E810A2A" w14:textId="77777777" w:rsidR="003D4B39" w:rsidRDefault="003D4B39" w:rsidP="003D4B39">
      <w:pPr>
        <w:shd w:val="clear" w:color="auto" w:fill="FFFFFF"/>
        <w:jc w:val="both"/>
        <w:rPr>
          <w:rFonts w:ascii="Times New Roman" w:eastAsia="Times New Roman" w:hAnsi="Times New Roman"/>
          <w:b/>
          <w:bCs/>
          <w:color w:val="000000"/>
        </w:rPr>
      </w:pPr>
    </w:p>
    <w:p w14:paraId="676FD9E7" w14:textId="77777777" w:rsidR="003D4B39" w:rsidRDefault="003D4B39" w:rsidP="003D4B39">
      <w:pPr>
        <w:shd w:val="clear" w:color="auto" w:fill="FFFFFF"/>
        <w:jc w:val="both"/>
        <w:rPr>
          <w:rFonts w:ascii="Times New Roman" w:eastAsia="Times New Roman" w:hAnsi="Times New Roman"/>
          <w:b/>
          <w:bCs/>
          <w:color w:val="000000"/>
        </w:rPr>
      </w:pPr>
      <w:bookmarkStart w:id="0" w:name="_Hlk132893549"/>
      <w:r>
        <w:rPr>
          <w:rFonts w:ascii="Times New Roman" w:eastAsia="Times New Roman" w:hAnsi="Times New Roman"/>
          <w:b/>
          <w:bCs/>
          <w:color w:val="000000"/>
        </w:rPr>
        <w:t>Pasiūlymo ekonominio naudingumo (kainos ir kokybės santykio) apskaičiavimo tvarka (formulė) yra pateikiama žemiau:</w:t>
      </w:r>
      <w:bookmarkEnd w:id="0"/>
    </w:p>
    <w:p w14:paraId="490766D5" w14:textId="77777777" w:rsidR="003D4B39" w:rsidRDefault="003D4B39" w:rsidP="003D4B39">
      <w:pPr>
        <w:shd w:val="clear" w:color="auto" w:fill="FFFFFF"/>
        <w:jc w:val="both"/>
        <w:rPr>
          <w:rFonts w:ascii="Times New Roman" w:hAnsi="Times New Roman"/>
          <w:i/>
          <w:iCs/>
          <w:color w:val="000000"/>
          <w:sz w:val="20"/>
          <w:szCs w:val="20"/>
        </w:rPr>
      </w:pPr>
      <w:r>
        <w:rPr>
          <w:rFonts w:ascii="Times New Roman" w:hAnsi="Times New Roman"/>
          <w:i/>
          <w:iCs/>
          <w:color w:val="000000"/>
          <w:sz w:val="20"/>
          <w:szCs w:val="20"/>
        </w:rPr>
        <w:t>Pasiūlymo ekonominio naudingumo (kainos ir kokybės santykio) apskaičiavimo tvarka (formulė) yra pateikiama žemiau:</w:t>
      </w:r>
    </w:p>
    <w:p w14:paraId="3C00D325" w14:textId="77777777" w:rsidR="003D4B39" w:rsidRDefault="003D4B39" w:rsidP="003D4B39">
      <w:pPr>
        <w:pStyle w:val="ListParagraph"/>
        <w:numPr>
          <w:ilvl w:val="0"/>
          <w:numId w:val="3"/>
        </w:numPr>
        <w:shd w:val="clear" w:color="auto" w:fill="FFFFFF"/>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Pasiūlymo ekonominis naudingumas (E) apskaičiuojamas sudedant tiekėjo pasiūlymo kainos (K), techninių pranašumų (T) balus;</w:t>
      </w:r>
    </w:p>
    <w:p w14:paraId="06B0FD26" w14:textId="77777777" w:rsidR="003D4B39" w:rsidRDefault="003D4B39" w:rsidP="003D4B39">
      <w:pPr>
        <w:pStyle w:val="ListParagraph"/>
        <w:shd w:val="clear" w:color="auto" w:fill="FFFFFF"/>
        <w:jc w:val="center"/>
        <w:rPr>
          <w:rFonts w:ascii="Times New Roman" w:hAnsi="Times New Roman"/>
          <w:i/>
          <w:iCs/>
          <w:color w:val="000000"/>
          <w:sz w:val="20"/>
          <w:szCs w:val="20"/>
        </w:rPr>
      </w:pPr>
      <w:r>
        <w:rPr>
          <w:rFonts w:ascii="Times New Roman" w:hAnsi="Times New Roman"/>
          <w:i/>
          <w:iCs/>
          <w:color w:val="000000"/>
          <w:sz w:val="20"/>
          <w:szCs w:val="20"/>
        </w:rPr>
        <w:t>E = K + T;</w:t>
      </w:r>
    </w:p>
    <w:p w14:paraId="4EEC51F4" w14:textId="77777777" w:rsidR="003D4B39" w:rsidRDefault="003D4B39" w:rsidP="003D4B39">
      <w:pPr>
        <w:pStyle w:val="ListParagraph"/>
        <w:numPr>
          <w:ilvl w:val="0"/>
          <w:numId w:val="2"/>
        </w:numPr>
        <w:shd w:val="clear" w:color="auto" w:fill="FFFFFF"/>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Pasiūlymo kainos (K) balai apskaičiuojami mažiausios pasiūlytos kainos (Kmin) ir vertinamo pasiūlymo kainos (Kv) santykį padauginant iš kainos lyginamojo svorio (X):</w:t>
      </w:r>
    </w:p>
    <w:p w14:paraId="5B10CB7D" w14:textId="77777777" w:rsidR="003D4B39" w:rsidRDefault="003D4B39" w:rsidP="003D4B39">
      <w:pPr>
        <w:pStyle w:val="ListParagraph"/>
        <w:shd w:val="clear" w:color="auto" w:fill="FFFFFF"/>
        <w:jc w:val="center"/>
        <w:rPr>
          <w:rFonts w:ascii="Times New Roman" w:eastAsiaTheme="minorEastAsia" w:hAnsi="Times New Roman"/>
          <w:i/>
          <w:color w:val="000000"/>
          <w:sz w:val="20"/>
          <w:szCs w:val="20"/>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2E5B700D" w14:textId="77777777" w:rsidR="003D4B39" w:rsidRDefault="003D4B39" w:rsidP="003D4B39">
      <w:pPr>
        <w:pStyle w:val="ListParagraph"/>
        <w:shd w:val="clear" w:color="auto" w:fill="FFFFFF"/>
        <w:jc w:val="both"/>
        <w:rPr>
          <w:rFonts w:ascii="Times New Roman" w:hAnsi="Times New Roman"/>
          <w:i/>
          <w:iCs/>
          <w:color w:val="000000"/>
          <w:sz w:val="20"/>
          <w:szCs w:val="20"/>
        </w:rPr>
      </w:pPr>
    </w:p>
    <w:p w14:paraId="04E65CF2" w14:textId="77777777" w:rsidR="003D4B39" w:rsidRDefault="003D4B39" w:rsidP="003D4B39">
      <w:pPr>
        <w:pStyle w:val="ListParagraph"/>
        <w:numPr>
          <w:ilvl w:val="0"/>
          <w:numId w:val="2"/>
        </w:numPr>
        <w:shd w:val="clear" w:color="auto" w:fill="FFFFFF"/>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Siūlomo objekto techniniai pranašumai apskaičiuojami statiniu metodu:</w:t>
      </w:r>
    </w:p>
    <w:p w14:paraId="14886890" w14:textId="77777777" w:rsidR="003D4B39" w:rsidRDefault="003D4B39" w:rsidP="003D4B39">
      <w:pPr>
        <w:pStyle w:val="ListParagraph"/>
        <w:shd w:val="clear" w:color="auto" w:fill="FFFFFF"/>
        <w:jc w:val="both"/>
        <w:rPr>
          <w:rFonts w:ascii="Times New Roman" w:hAnsi="Times New Roman"/>
          <w:i/>
          <w:iCs/>
          <w:color w:val="000000"/>
          <w:sz w:val="20"/>
          <w:szCs w:val="20"/>
        </w:rPr>
      </w:pPr>
    </w:p>
    <w:p w14:paraId="50201C13" w14:textId="5D152EED" w:rsidR="003D4B39" w:rsidRDefault="003D4B39" w:rsidP="003D4B39">
      <w:pPr>
        <w:pStyle w:val="ListParagraph"/>
        <w:numPr>
          <w:ilvl w:val="1"/>
          <w:numId w:val="2"/>
        </w:numPr>
        <w:shd w:val="clear" w:color="auto" w:fill="FFFFFF"/>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Siūlomo objekto T1, T2, T3, T4, T5, T6</w:t>
      </w:r>
      <w:r w:rsidR="00984629">
        <w:rPr>
          <w:rFonts w:ascii="Times New Roman" w:hAnsi="Times New Roman"/>
          <w:i/>
          <w:iCs/>
          <w:color w:val="000000"/>
          <w:sz w:val="20"/>
          <w:szCs w:val="20"/>
        </w:rPr>
        <w:t>,T7, T8</w:t>
      </w:r>
      <w:r>
        <w:rPr>
          <w:rFonts w:ascii="Times New Roman" w:hAnsi="Times New Roman"/>
          <w:i/>
          <w:iCs/>
          <w:color w:val="000000"/>
          <w:sz w:val="20"/>
          <w:szCs w:val="20"/>
        </w:rPr>
        <w:t xml:space="preserve"> techniniai parametrai apskaičiuojamas pagal metodiką:</w:t>
      </w:r>
    </w:p>
    <w:p w14:paraId="7AE1F4D8" w14:textId="13A9EFC7" w:rsidR="003D4B39" w:rsidRDefault="003D4B39" w:rsidP="003D4B39">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color w:val="000000"/>
          <w:sz w:val="20"/>
          <w:szCs w:val="20"/>
        </w:rPr>
        <w:t>Jei siūlomas objektas turi nurodytą pranašumą gauna maksimalų balų skaičių pagal lyginamąjį svorį: T1 = L1 = 0.</w:t>
      </w:r>
      <w:r w:rsidR="00984629">
        <w:rPr>
          <w:rFonts w:ascii="Times New Roman" w:hAnsi="Times New Roman"/>
          <w:i/>
          <w:iCs/>
          <w:color w:val="000000"/>
          <w:sz w:val="20"/>
          <w:szCs w:val="20"/>
        </w:rPr>
        <w:t>05</w:t>
      </w:r>
      <w:r>
        <w:rPr>
          <w:rFonts w:ascii="Times New Roman" w:hAnsi="Times New Roman"/>
          <w:i/>
          <w:iCs/>
          <w:color w:val="000000"/>
          <w:sz w:val="20"/>
          <w:szCs w:val="20"/>
        </w:rPr>
        <w:t>, T2 = L2 = 0.</w:t>
      </w:r>
      <w:r w:rsidR="00984629">
        <w:rPr>
          <w:rFonts w:ascii="Times New Roman" w:hAnsi="Times New Roman"/>
          <w:i/>
          <w:iCs/>
          <w:color w:val="000000"/>
          <w:sz w:val="20"/>
          <w:szCs w:val="20"/>
        </w:rPr>
        <w:t>10</w:t>
      </w:r>
      <w:r>
        <w:rPr>
          <w:rFonts w:ascii="Times New Roman" w:hAnsi="Times New Roman"/>
          <w:i/>
          <w:iCs/>
          <w:color w:val="000000"/>
          <w:sz w:val="20"/>
          <w:szCs w:val="20"/>
        </w:rPr>
        <w:t>, T3 = L3 = 0.20, T4 = L4 = 0.</w:t>
      </w:r>
      <w:r w:rsidR="00984629">
        <w:rPr>
          <w:rFonts w:ascii="Times New Roman" w:hAnsi="Times New Roman"/>
          <w:i/>
          <w:iCs/>
          <w:color w:val="000000"/>
          <w:sz w:val="20"/>
          <w:szCs w:val="20"/>
        </w:rPr>
        <w:t>15</w:t>
      </w:r>
      <w:r>
        <w:rPr>
          <w:rFonts w:ascii="Times New Roman" w:hAnsi="Times New Roman"/>
          <w:i/>
          <w:iCs/>
          <w:color w:val="000000"/>
          <w:sz w:val="20"/>
          <w:szCs w:val="20"/>
        </w:rPr>
        <w:t>, T5 = L5 = 0.</w:t>
      </w:r>
      <w:r w:rsidR="00984629">
        <w:rPr>
          <w:rFonts w:ascii="Times New Roman" w:hAnsi="Times New Roman"/>
          <w:i/>
          <w:iCs/>
          <w:color w:val="000000"/>
          <w:sz w:val="20"/>
          <w:szCs w:val="20"/>
        </w:rPr>
        <w:t>1</w:t>
      </w:r>
      <w:r>
        <w:rPr>
          <w:rFonts w:ascii="Times New Roman" w:hAnsi="Times New Roman"/>
          <w:i/>
          <w:iCs/>
          <w:color w:val="000000"/>
          <w:sz w:val="20"/>
          <w:szCs w:val="20"/>
        </w:rPr>
        <w:t>0, T6 = L6 = 0.</w:t>
      </w:r>
      <w:r w:rsidR="00984629">
        <w:rPr>
          <w:rFonts w:ascii="Times New Roman" w:hAnsi="Times New Roman"/>
          <w:i/>
          <w:iCs/>
          <w:color w:val="000000"/>
          <w:sz w:val="20"/>
          <w:szCs w:val="20"/>
        </w:rPr>
        <w:t xml:space="preserve">10, </w:t>
      </w:r>
      <w:r w:rsidR="00984629">
        <w:rPr>
          <w:rFonts w:ascii="Times New Roman" w:hAnsi="Times New Roman"/>
          <w:i/>
          <w:iCs/>
          <w:color w:val="000000"/>
          <w:sz w:val="20"/>
          <w:szCs w:val="20"/>
        </w:rPr>
        <w:t>T</w:t>
      </w:r>
      <w:r w:rsidR="00984629">
        <w:rPr>
          <w:rFonts w:ascii="Times New Roman" w:hAnsi="Times New Roman"/>
          <w:i/>
          <w:iCs/>
          <w:color w:val="000000"/>
          <w:sz w:val="20"/>
          <w:szCs w:val="20"/>
        </w:rPr>
        <w:t>7</w:t>
      </w:r>
      <w:r w:rsidR="00984629">
        <w:rPr>
          <w:rFonts w:ascii="Times New Roman" w:hAnsi="Times New Roman"/>
          <w:i/>
          <w:iCs/>
          <w:color w:val="000000"/>
          <w:sz w:val="20"/>
          <w:szCs w:val="20"/>
        </w:rPr>
        <w:t xml:space="preserve"> = L</w:t>
      </w:r>
      <w:r w:rsidR="00984629">
        <w:rPr>
          <w:rFonts w:ascii="Times New Roman" w:hAnsi="Times New Roman"/>
          <w:i/>
          <w:iCs/>
          <w:color w:val="000000"/>
          <w:sz w:val="20"/>
          <w:szCs w:val="20"/>
        </w:rPr>
        <w:t>7</w:t>
      </w:r>
      <w:r w:rsidR="00984629">
        <w:rPr>
          <w:rFonts w:ascii="Times New Roman" w:hAnsi="Times New Roman"/>
          <w:i/>
          <w:iCs/>
          <w:color w:val="000000"/>
          <w:sz w:val="20"/>
          <w:szCs w:val="20"/>
        </w:rPr>
        <w:t xml:space="preserve"> = 0.</w:t>
      </w:r>
      <w:r w:rsidR="00984629">
        <w:rPr>
          <w:rFonts w:ascii="Times New Roman" w:hAnsi="Times New Roman"/>
          <w:i/>
          <w:iCs/>
          <w:color w:val="000000"/>
          <w:sz w:val="20"/>
          <w:szCs w:val="20"/>
        </w:rPr>
        <w:t>20</w:t>
      </w:r>
      <w:r w:rsidR="00984629">
        <w:rPr>
          <w:rFonts w:ascii="Times New Roman" w:hAnsi="Times New Roman"/>
          <w:i/>
          <w:iCs/>
          <w:color w:val="000000"/>
          <w:sz w:val="20"/>
          <w:szCs w:val="20"/>
        </w:rPr>
        <w:t>, T</w:t>
      </w:r>
      <w:r w:rsidR="00984629">
        <w:rPr>
          <w:rFonts w:ascii="Times New Roman" w:hAnsi="Times New Roman"/>
          <w:i/>
          <w:iCs/>
          <w:color w:val="000000"/>
          <w:sz w:val="20"/>
          <w:szCs w:val="20"/>
        </w:rPr>
        <w:t>8</w:t>
      </w:r>
      <w:r w:rsidR="00984629">
        <w:rPr>
          <w:rFonts w:ascii="Times New Roman" w:hAnsi="Times New Roman"/>
          <w:i/>
          <w:iCs/>
          <w:color w:val="000000"/>
          <w:sz w:val="20"/>
          <w:szCs w:val="20"/>
        </w:rPr>
        <w:t xml:space="preserve"> = L</w:t>
      </w:r>
      <w:r w:rsidR="00984629">
        <w:rPr>
          <w:rFonts w:ascii="Times New Roman" w:hAnsi="Times New Roman"/>
          <w:i/>
          <w:iCs/>
          <w:color w:val="000000"/>
          <w:sz w:val="20"/>
          <w:szCs w:val="20"/>
        </w:rPr>
        <w:t>8</w:t>
      </w:r>
      <w:r w:rsidR="00984629">
        <w:rPr>
          <w:rFonts w:ascii="Times New Roman" w:hAnsi="Times New Roman"/>
          <w:i/>
          <w:iCs/>
          <w:color w:val="000000"/>
          <w:sz w:val="20"/>
          <w:szCs w:val="20"/>
        </w:rPr>
        <w:t xml:space="preserve"> = 0.10</w:t>
      </w:r>
      <w:r>
        <w:rPr>
          <w:rFonts w:ascii="Times New Roman" w:hAnsi="Times New Roman"/>
          <w:i/>
          <w:iCs/>
          <w:color w:val="000000"/>
          <w:sz w:val="20"/>
          <w:szCs w:val="20"/>
        </w:rPr>
        <w:t xml:space="preserve"> Jei siūlomas objektas neturi nurodyto pranašumo, gauna 0 balų: T1 = L1 = T2 = L2 = T3 = L3 = T4 = L4 = T5 = L5 = T6 = L6 </w:t>
      </w:r>
      <w:r w:rsidR="00984629">
        <w:rPr>
          <w:rFonts w:ascii="Times New Roman" w:hAnsi="Times New Roman"/>
          <w:i/>
          <w:iCs/>
          <w:color w:val="000000"/>
          <w:sz w:val="20"/>
          <w:szCs w:val="20"/>
        </w:rPr>
        <w:t>= T</w:t>
      </w:r>
      <w:r w:rsidR="00714277">
        <w:rPr>
          <w:rFonts w:ascii="Times New Roman" w:hAnsi="Times New Roman"/>
          <w:i/>
          <w:iCs/>
          <w:color w:val="000000"/>
          <w:sz w:val="20"/>
          <w:szCs w:val="20"/>
        </w:rPr>
        <w:t>7</w:t>
      </w:r>
      <w:r w:rsidR="00984629">
        <w:rPr>
          <w:rFonts w:ascii="Times New Roman" w:hAnsi="Times New Roman"/>
          <w:i/>
          <w:iCs/>
          <w:color w:val="000000"/>
          <w:sz w:val="20"/>
          <w:szCs w:val="20"/>
        </w:rPr>
        <w:t xml:space="preserve"> = L</w:t>
      </w:r>
      <w:r w:rsidR="00714277">
        <w:rPr>
          <w:rFonts w:ascii="Times New Roman" w:hAnsi="Times New Roman"/>
          <w:i/>
          <w:iCs/>
          <w:color w:val="000000"/>
          <w:sz w:val="20"/>
          <w:szCs w:val="20"/>
        </w:rPr>
        <w:t>7</w:t>
      </w:r>
      <w:r w:rsidR="00984629">
        <w:rPr>
          <w:rFonts w:ascii="Times New Roman" w:hAnsi="Times New Roman"/>
          <w:i/>
          <w:iCs/>
          <w:color w:val="000000"/>
          <w:sz w:val="20"/>
          <w:szCs w:val="20"/>
        </w:rPr>
        <w:t xml:space="preserve"> = T</w:t>
      </w:r>
      <w:r w:rsidR="00714277">
        <w:rPr>
          <w:rFonts w:ascii="Times New Roman" w:hAnsi="Times New Roman"/>
          <w:i/>
          <w:iCs/>
          <w:color w:val="000000"/>
          <w:sz w:val="20"/>
          <w:szCs w:val="20"/>
        </w:rPr>
        <w:t>8</w:t>
      </w:r>
      <w:r w:rsidR="00984629">
        <w:rPr>
          <w:rFonts w:ascii="Times New Roman" w:hAnsi="Times New Roman"/>
          <w:i/>
          <w:iCs/>
          <w:color w:val="000000"/>
          <w:sz w:val="20"/>
          <w:szCs w:val="20"/>
        </w:rPr>
        <w:t xml:space="preserve"> = L</w:t>
      </w:r>
      <w:r w:rsidR="00714277">
        <w:rPr>
          <w:rFonts w:ascii="Times New Roman" w:hAnsi="Times New Roman"/>
          <w:i/>
          <w:iCs/>
          <w:color w:val="000000"/>
          <w:sz w:val="20"/>
          <w:szCs w:val="20"/>
        </w:rPr>
        <w:t>8</w:t>
      </w:r>
      <w:r w:rsidR="00984629">
        <w:rPr>
          <w:rFonts w:ascii="Times New Roman" w:hAnsi="Times New Roman"/>
          <w:i/>
          <w:iCs/>
          <w:color w:val="000000"/>
          <w:sz w:val="20"/>
          <w:szCs w:val="20"/>
        </w:rPr>
        <w:t xml:space="preserve"> </w:t>
      </w:r>
      <w:r w:rsidR="00714277">
        <w:rPr>
          <w:rFonts w:ascii="Times New Roman" w:hAnsi="Times New Roman"/>
          <w:i/>
          <w:iCs/>
          <w:color w:val="000000"/>
          <w:sz w:val="20"/>
          <w:szCs w:val="20"/>
        </w:rPr>
        <w:t>=</w:t>
      </w:r>
      <w:r>
        <w:rPr>
          <w:rFonts w:ascii="Times New Roman" w:hAnsi="Times New Roman"/>
          <w:i/>
          <w:iCs/>
          <w:color w:val="000000"/>
          <w:sz w:val="20"/>
          <w:szCs w:val="20"/>
        </w:rPr>
        <w:t>0.</w:t>
      </w:r>
    </w:p>
    <w:p w14:paraId="497AEA8B" w14:textId="77777777" w:rsidR="003D4B39" w:rsidRDefault="003D4B39" w:rsidP="003D4B39">
      <w:pPr>
        <w:pStyle w:val="ListParagraph"/>
        <w:shd w:val="clear" w:color="auto" w:fill="FFFFFF"/>
        <w:ind w:left="1008"/>
        <w:jc w:val="both"/>
        <w:rPr>
          <w:rFonts w:ascii="Times New Roman" w:hAnsi="Times New Roman"/>
          <w:i/>
          <w:iCs/>
          <w:color w:val="000000"/>
          <w:sz w:val="20"/>
          <w:szCs w:val="20"/>
        </w:rPr>
      </w:pPr>
    </w:p>
    <w:p w14:paraId="0B84BBE1" w14:textId="77777777" w:rsidR="003D4B39" w:rsidRDefault="003D4B39" w:rsidP="003D4B39">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color w:val="000000"/>
          <w:sz w:val="20"/>
          <w:szCs w:val="20"/>
        </w:rPr>
        <w:t>Techninių pranašumų (T) balai apskaičiuojami visų techninių kriterijų parametrų įvertinimų sumą padauginant iš techninių pranašumų lyginamojo svorio (Y):</w:t>
      </w:r>
    </w:p>
    <w:p w14:paraId="7E2850FF" w14:textId="77777777" w:rsidR="003D4B39" w:rsidRDefault="00714277" w:rsidP="003D4B39">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noProof/>
          <w:color w:val="000000"/>
          <w:sz w:val="20"/>
          <w:szCs w:val="20"/>
        </w:rPr>
        <w:pict w14:anchorId="6AB184CD">
          <v:rect id="Text Box 8" o:spid="_x0000_s1026" style="position:absolute;left:0;text-align:left;margin-left:199.7pt;margin-top:19.1pt;width:157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" o:allowincell="f" filled="f" stroked="f" strokeweight="0">
            <v:textbox inset="0,0,0,0">
              <w:txbxContent>
                <w:p w14:paraId="55032500" w14:textId="77777777" w:rsidR="003D4B39" w:rsidRDefault="003D4B39" w:rsidP="003D4B39">
                  <w:pPr>
                    <w:spacing w:after="0"/>
                    <w:jc w:val="center"/>
                    <w:rPr>
                      <w:i/>
                    </w:rPr>
                  </w:pPr>
                  <m:oMathPara>
                    <m:oMathParaPr>
                      <m:jc m:val="center"/>
                    </m:oMathParaPr>
                    <m:oMath>
                      <m:r>
                        <w:rPr>
                          <w:rFonts w:ascii="Cambria Math" w:hAnsi="Cambria Math"/>
                        </w:rPr>
                        <m:t>T=</m:t>
                      </m:r>
                      <m:d>
                        <m:dPr>
                          <m:ctrlPr>
                            <w:rPr>
                              <w:rFonts w:ascii="Cambria Math" w:hAnsi="Cambria Math"/>
                            </w:rPr>
                          </m:ctrlPr>
                        </m:dPr>
                        <m:e>
                          <m:nary>
                            <m:naryPr>
                              <m:chr m:val="∑"/>
                              <m:ctrlPr>
                                <w:rPr>
                                  <w:rFonts w:ascii="Cambria Math" w:hAnsi="Cambria Math"/>
                                </w:rPr>
                              </m:ctrlPr>
                            </m:naryPr>
                            <m:sub>
                              <m:r>
                                <w:rPr>
                                  <w:rFonts w:ascii="Cambria Math" w:hAnsi="Cambria Math"/>
                                </w:rPr>
                                <m:t>i=1</m:t>
                              </m:r>
                            </m:sub>
                            <m:sup>
                              <m:r>
                                <w:rPr>
                                  <w:rFonts w:ascii="Cambria Math" w:hAnsi="Cambria Math"/>
                                </w:rPr>
                                <m:t>6</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xY</m:t>
                      </m:r>
                    </m:oMath>
                  </m:oMathPara>
                </w:p>
              </w:txbxContent>
            </v:textbox>
            <w10:wrap type="tight"/>
          </v:rect>
        </w:pict>
      </w:r>
    </w:p>
    <w:p w14:paraId="6BB8318F" w14:textId="77777777" w:rsidR="003D4B39" w:rsidRPr="003D4B39" w:rsidRDefault="003D4B39" w:rsidP="003D4B39">
      <w:pPr>
        <w:rPr>
          <w:rFonts w:ascii="Times New Roman" w:hAnsi="Times New Roman"/>
          <w:color w:val="000000" w:themeColor="text1"/>
          <w:sz w:val="24"/>
          <w:szCs w:val="24"/>
          <w:lang w:val="lt-LT"/>
        </w:rPr>
      </w:pPr>
    </w:p>
    <w:p w14:paraId="14521C95" w14:textId="77777777" w:rsidR="003D4B39" w:rsidRPr="003D4B39" w:rsidRDefault="003D4B39" w:rsidP="003D4B39">
      <w:pPr>
        <w:rPr>
          <w:rFonts w:ascii="Times New Roman" w:hAnsi="Times New Roman"/>
          <w:color w:val="000000" w:themeColor="text1"/>
          <w:sz w:val="24"/>
          <w:szCs w:val="24"/>
          <w:lang w:val="lt-LT"/>
        </w:rPr>
      </w:pPr>
    </w:p>
    <w:p w14:paraId="2D1F4DAE" w14:textId="77777777" w:rsidR="003D4B39" w:rsidRPr="003D4B39" w:rsidRDefault="003D4B39" w:rsidP="003D4B39">
      <w:pPr>
        <w:rPr>
          <w:rFonts w:ascii="Times New Roman" w:hAnsi="Times New Roman"/>
          <w:color w:val="000000" w:themeColor="text1"/>
          <w:sz w:val="24"/>
          <w:szCs w:val="24"/>
          <w:lang w:val="lt-LT"/>
        </w:rPr>
      </w:pPr>
    </w:p>
    <w:p w14:paraId="24F3E5FA" w14:textId="77777777" w:rsidR="003D4B39" w:rsidRPr="00625857" w:rsidRDefault="003D4B39" w:rsidP="003D4B39">
      <w:pPr>
        <w:pStyle w:val="HTMLPreformatted"/>
        <w:rPr>
          <w:rFonts w:ascii="Times New Roman" w:hAnsi="Times New Roman" w:cs="Times New Roman"/>
          <w:i/>
          <w:iCs/>
        </w:rPr>
      </w:pPr>
      <w:r>
        <w:rPr>
          <w:rFonts w:ascii="Times New Roman" w:hAnsi="Times New Roman" w:cs="Times New Roman"/>
          <w:i/>
          <w:iCs/>
        </w:rPr>
        <w:t xml:space="preserve">4. </w:t>
      </w:r>
      <w:r w:rsidRPr="00625857">
        <w:rPr>
          <w:rFonts w:ascii="Times New Roman" w:hAnsi="Times New Roman" w:cs="Times New Roman"/>
          <w:i/>
          <w:iCs/>
        </w:rPr>
        <w:t>Apskaičiuojant ekonominio naudingumo balą (E) tiekėjams skirtų kriterijų balai apvalinami iki šimtųjų dalių.</w:t>
      </w:r>
    </w:p>
    <w:p w14:paraId="3BCA7286" w14:textId="77777777" w:rsidR="003D4B39" w:rsidRPr="00625857" w:rsidRDefault="003D4B39" w:rsidP="003D4B39">
      <w:pPr>
        <w:pStyle w:val="HTMLPreformatted"/>
        <w:rPr>
          <w:rFonts w:ascii="Times New Roman" w:hAnsi="Times New Roman" w:cs="Times New Roman"/>
          <w:i/>
          <w:iCs/>
        </w:rPr>
      </w:pPr>
    </w:p>
    <w:p w14:paraId="60985C30" w14:textId="77777777" w:rsidR="003D4B39" w:rsidRPr="00625857" w:rsidRDefault="003D4B39" w:rsidP="003D4B39">
      <w:pPr>
        <w:pStyle w:val="HTMLPreformatted"/>
        <w:rPr>
          <w:rFonts w:ascii="Times New Roman" w:hAnsi="Times New Roman" w:cs="Times New Roman"/>
          <w:i/>
          <w:iCs/>
        </w:rPr>
      </w:pPr>
      <w:r>
        <w:rPr>
          <w:rFonts w:ascii="Times New Roman" w:hAnsi="Times New Roman" w:cs="Times New Roman"/>
          <w:i/>
          <w:iCs/>
        </w:rPr>
        <w:t xml:space="preserve">5. </w:t>
      </w:r>
      <w:r w:rsidRPr="00625857">
        <w:rPr>
          <w:rFonts w:ascii="Times New Roman" w:hAnsi="Times New Roman" w:cs="Times New Roman"/>
          <w:i/>
          <w:iCs/>
        </w:rPr>
        <w:t>Jeigu tiekėjas pasiūlyme nenurodo (nepasirenka) parametro reikšmės, ar nepateikia dokumentų, įrodančių atitiktį parametrui, laikoma, kad parametrui yra suteikiama nulis balų.</w:t>
      </w:r>
    </w:p>
    <w:p w14:paraId="501591A7" w14:textId="77777777" w:rsidR="003D4B39" w:rsidRPr="00625857" w:rsidRDefault="003D4B39" w:rsidP="003D4B39">
      <w:pPr>
        <w:pStyle w:val="HTMLPreformatted"/>
        <w:rPr>
          <w:rFonts w:ascii="Times New Roman" w:hAnsi="Times New Roman" w:cs="Times New Roman"/>
          <w:i/>
          <w:iCs/>
        </w:rPr>
      </w:pPr>
    </w:p>
    <w:p w14:paraId="668182F1" w14:textId="77777777" w:rsidR="003D4B39" w:rsidRPr="00625857" w:rsidRDefault="003D4B39" w:rsidP="003D4B39">
      <w:pPr>
        <w:pStyle w:val="HTMLPreformatted"/>
        <w:rPr>
          <w:rFonts w:ascii="Times New Roman" w:hAnsi="Times New Roman" w:cs="Times New Roman"/>
          <w:i/>
          <w:iCs/>
        </w:rPr>
      </w:pPr>
      <w:r>
        <w:rPr>
          <w:rFonts w:ascii="Times New Roman" w:hAnsi="Times New Roman" w:cs="Times New Roman"/>
          <w:i/>
          <w:iCs/>
        </w:rPr>
        <w:t xml:space="preserve">6. </w:t>
      </w:r>
      <w:r w:rsidRPr="00625857">
        <w:rPr>
          <w:rFonts w:ascii="Times New Roman" w:hAnsi="Times New Roman" w:cs="Times New Roman"/>
          <w:i/>
          <w:iCs/>
        </w:rPr>
        <w:t>Tais atvejais, kai kelių dalyvių pasiūlymų ekonominis naudingumas yra vienodas, nustatant pasiūlymų eilę, pirmesnis į šią eilę įrašomas dalyvis, kurio pasiūlymas pateiktas anksčiausiai.</w:t>
      </w:r>
    </w:p>
    <w:p w14:paraId="11893823" w14:textId="77777777" w:rsidR="003D4B39" w:rsidRPr="00625857" w:rsidRDefault="003D4B39" w:rsidP="003D4B39">
      <w:pPr>
        <w:pStyle w:val="HTMLPreformatted"/>
        <w:rPr>
          <w:rFonts w:ascii="Times New Roman" w:hAnsi="Times New Roman" w:cs="Times New Roman"/>
          <w:i/>
          <w:iCs/>
        </w:rPr>
      </w:pPr>
    </w:p>
    <w:p w14:paraId="583B4F5C" w14:textId="77777777" w:rsidR="003D4B39" w:rsidRPr="00625857" w:rsidRDefault="003D4B39" w:rsidP="003D4B39">
      <w:pPr>
        <w:pStyle w:val="HTMLPreformatted"/>
        <w:rPr>
          <w:rFonts w:ascii="Times New Roman" w:hAnsi="Times New Roman" w:cs="Times New Roman"/>
          <w:i/>
          <w:iCs/>
        </w:rPr>
      </w:pPr>
      <w:r>
        <w:rPr>
          <w:rFonts w:ascii="Times New Roman" w:hAnsi="Times New Roman" w:cs="Times New Roman"/>
          <w:i/>
          <w:iCs/>
        </w:rPr>
        <w:t xml:space="preserve">7. </w:t>
      </w:r>
      <w:r w:rsidRPr="00625857">
        <w:rPr>
          <w:rFonts w:ascii="Times New Roman" w:hAnsi="Times New Roman" w:cs="Times New Roman"/>
          <w:i/>
          <w:iCs/>
        </w:rPr>
        <w:t>Suteikti balai perskaičiuojami, kai jau atlikus balų apskaičiavimą vienas iš tiekėjų iš pirkimo  pasitraukia (ar yra pašalinamas).</w:t>
      </w:r>
    </w:p>
    <w:p w14:paraId="7660628C" w14:textId="77777777" w:rsidR="003D4B39" w:rsidRPr="00625857" w:rsidRDefault="003D4B39" w:rsidP="003D4B39">
      <w:pPr>
        <w:rPr>
          <w:rFonts w:ascii="Times New Roman" w:hAnsi="Times New Roman"/>
          <w:i/>
          <w:iCs/>
          <w:color w:val="000000" w:themeColor="text1"/>
          <w:sz w:val="24"/>
          <w:szCs w:val="24"/>
          <w:lang w:val="lt-LT"/>
        </w:rPr>
      </w:pPr>
    </w:p>
    <w:sectPr w:rsidR="003D4B39" w:rsidRPr="00625857" w:rsidSect="0051260A">
      <w:headerReference w:type="even" r:id="rId8"/>
      <w:headerReference w:type="default" r:id="rId9"/>
      <w:footerReference w:type="even" r:id="rId10"/>
      <w:footerReference w:type="default" r:id="rId11"/>
      <w:headerReference w:type="first" r:id="rId12"/>
      <w:footerReference w:type="first" r:id="rId13"/>
      <w:pgSz w:w="12240" w:h="15840"/>
      <w:pgMar w:top="1702" w:right="1080" w:bottom="777" w:left="1080" w:header="720" w:footer="72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3B1A" w14:textId="77777777" w:rsidR="00E74ADD" w:rsidRDefault="00E74ADD">
      <w:pPr>
        <w:spacing w:after="0" w:line="240" w:lineRule="auto"/>
      </w:pPr>
      <w:r>
        <w:separator/>
      </w:r>
    </w:p>
  </w:endnote>
  <w:endnote w:type="continuationSeparator" w:id="0">
    <w:p w14:paraId="0F6F9335" w14:textId="77777777" w:rsidR="00E74ADD" w:rsidRDefault="00E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B068" w14:textId="77777777" w:rsidR="005D5569" w:rsidRDefault="005D5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318022"/>
      <w:docPartObj>
        <w:docPartGallery w:val="Page Numbers (Bottom of Page)"/>
        <w:docPartUnique/>
      </w:docPartObj>
    </w:sdtPr>
    <w:sdtEndPr/>
    <w:sdtContent>
      <w:p w14:paraId="167EB64A" w14:textId="77777777" w:rsidR="005D5569" w:rsidRDefault="00547085">
        <w:pPr>
          <w:pStyle w:val="Footer"/>
          <w:jc w:val="right"/>
        </w:pPr>
        <w:r>
          <w:fldChar w:fldCharType="begin"/>
        </w:r>
        <w:r w:rsidR="00C6596F">
          <w:instrText xml:space="preserve"> PAGE </w:instrText>
        </w:r>
        <w:r>
          <w:fldChar w:fldCharType="separate"/>
        </w:r>
        <w:r w:rsidR="00BC7C59">
          <w:rPr>
            <w:noProof/>
          </w:rPr>
          <w:t>1</w:t>
        </w:r>
        <w:r>
          <w:fldChar w:fldCharType="end"/>
        </w:r>
      </w:p>
    </w:sdtContent>
  </w:sdt>
  <w:p w14:paraId="1624018A" w14:textId="77777777" w:rsidR="005D5569" w:rsidRDefault="005D5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57181"/>
      <w:docPartObj>
        <w:docPartGallery w:val="Page Numbers (Bottom of Page)"/>
        <w:docPartUnique/>
      </w:docPartObj>
    </w:sdtPr>
    <w:sdtEndPr/>
    <w:sdtContent>
      <w:p w14:paraId="32BF91A9" w14:textId="77777777" w:rsidR="005D5569" w:rsidRDefault="00547085">
        <w:pPr>
          <w:pStyle w:val="Footer"/>
          <w:jc w:val="right"/>
        </w:pPr>
        <w:r>
          <w:fldChar w:fldCharType="begin"/>
        </w:r>
        <w:r w:rsidR="00C6596F">
          <w:instrText xml:space="preserve"> PAGE </w:instrText>
        </w:r>
        <w:r>
          <w:fldChar w:fldCharType="separate"/>
        </w:r>
        <w:r w:rsidR="00C6596F">
          <w:t>6</w:t>
        </w:r>
        <w:r>
          <w:fldChar w:fldCharType="end"/>
        </w:r>
      </w:p>
    </w:sdtContent>
  </w:sdt>
  <w:p w14:paraId="7A43DCA1" w14:textId="77777777" w:rsidR="005D5569" w:rsidRDefault="005D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63E7" w14:textId="77777777" w:rsidR="00E74ADD" w:rsidRDefault="00E74ADD">
      <w:pPr>
        <w:spacing w:after="0" w:line="240" w:lineRule="auto"/>
      </w:pPr>
      <w:r>
        <w:separator/>
      </w:r>
    </w:p>
  </w:footnote>
  <w:footnote w:type="continuationSeparator" w:id="0">
    <w:p w14:paraId="408A8218" w14:textId="77777777" w:rsidR="00E74ADD" w:rsidRDefault="00E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C505" w14:textId="77777777" w:rsidR="005D5569" w:rsidRDefault="005D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29D5" w14:textId="77777777" w:rsidR="005D5569" w:rsidRDefault="005D5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E460" w14:textId="77777777" w:rsidR="005D5569" w:rsidRDefault="005D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01B7"/>
    <w:multiLevelType w:val="multilevel"/>
    <w:tmpl w:val="DE96DB86"/>
    <w:lvl w:ilvl="0">
      <w:start w:val="1"/>
      <w:numFmt w:val="decimal"/>
      <w:lvlText w:val="%1."/>
      <w:lvlJc w:val="left"/>
      <w:pPr>
        <w:tabs>
          <w:tab w:val="num" w:pos="0"/>
        </w:tabs>
        <w:ind w:left="720" w:hanging="360"/>
      </w:pPr>
    </w:lvl>
    <w:lvl w:ilvl="1">
      <w:start w:val="1"/>
      <w:numFmt w:val="decimal"/>
      <w:lvlText w:val="%1.%2."/>
      <w:lvlJc w:val="left"/>
      <w:pPr>
        <w:tabs>
          <w:tab w:val="num" w:pos="0"/>
        </w:tabs>
        <w:ind w:left="1008" w:hanging="468"/>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520" w:hanging="108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240" w:hanging="1440"/>
      </w:pPr>
    </w:lvl>
  </w:abstractNum>
  <w:abstractNum w:abstractNumId="1" w15:restartNumberingAfterBreak="0">
    <w:nsid w:val="6A17385D"/>
    <w:multiLevelType w:val="multilevel"/>
    <w:tmpl w:val="F0EAD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45499182">
    <w:abstractNumId w:val="1"/>
  </w:num>
  <w:num w:numId="2" w16cid:durableId="1340623857">
    <w:abstractNumId w:val="0"/>
  </w:num>
  <w:num w:numId="3" w16cid:durableId="959608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B39"/>
    <w:rsid w:val="0027650E"/>
    <w:rsid w:val="003D4B39"/>
    <w:rsid w:val="003F6A1B"/>
    <w:rsid w:val="004D00B3"/>
    <w:rsid w:val="0051260A"/>
    <w:rsid w:val="005244D2"/>
    <w:rsid w:val="00547085"/>
    <w:rsid w:val="005D4958"/>
    <w:rsid w:val="005D5569"/>
    <w:rsid w:val="006C4AD1"/>
    <w:rsid w:val="006D0C26"/>
    <w:rsid w:val="00714277"/>
    <w:rsid w:val="007448BF"/>
    <w:rsid w:val="007C36EC"/>
    <w:rsid w:val="00863A9A"/>
    <w:rsid w:val="00875BF0"/>
    <w:rsid w:val="008B57C2"/>
    <w:rsid w:val="00984629"/>
    <w:rsid w:val="009C4740"/>
    <w:rsid w:val="00A03174"/>
    <w:rsid w:val="00BC7C59"/>
    <w:rsid w:val="00BD0B67"/>
    <w:rsid w:val="00C6596F"/>
    <w:rsid w:val="00D00B0E"/>
    <w:rsid w:val="00DB0A7D"/>
    <w:rsid w:val="00E37EB8"/>
    <w:rsid w:val="00E402F8"/>
    <w:rsid w:val="00E50CFA"/>
    <w:rsid w:val="00E74ADD"/>
    <w:rsid w:val="00EB62EF"/>
    <w:rsid w:val="00F57DD1"/>
    <w:rsid w:val="00FB1DAA"/>
    <w:rsid w:val="00FE039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9BBBAD"/>
  <w15:docId w15:val="{09820E04-54EC-4D12-8247-193F8A0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39"/>
    <w:pPr>
      <w:suppressAutoHyphens/>
    </w:pPr>
    <w:rPr>
      <w:rFonts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D4B39"/>
    <w:rPr>
      <w:rFonts w:ascii="Calibri" w:eastAsia="Calibri" w:hAnsi="Calibri" w:cs="Times New Roman"/>
    </w:rPr>
  </w:style>
  <w:style w:type="character" w:customStyle="1" w:styleId="FooterChar">
    <w:name w:val="Footer Char"/>
    <w:basedOn w:val="DefaultParagraphFont"/>
    <w:link w:val="Footer"/>
    <w:uiPriority w:val="99"/>
    <w:qFormat/>
    <w:rsid w:val="003D4B39"/>
    <w:rPr>
      <w:rFonts w:ascii="Calibri" w:eastAsia="Calibri" w:hAnsi="Calibri" w:cs="Times New Roman"/>
    </w:rPr>
  </w:style>
  <w:style w:type="character" w:customStyle="1" w:styleId="ListParagraphChar">
    <w:name w:val="List Paragraph Char"/>
    <w:link w:val="ListParagraph"/>
    <w:qFormat/>
    <w:locked/>
    <w:rsid w:val="003D4B39"/>
    <w:rPr>
      <w:rFonts w:ascii="Calibri" w:eastAsia="Calibri" w:hAnsi="Calibri" w:cs="Times New Roman"/>
    </w:rPr>
  </w:style>
  <w:style w:type="paragraph" w:styleId="NormalWeb">
    <w:name w:val="Normal (Web)"/>
    <w:basedOn w:val="Normal"/>
    <w:uiPriority w:val="99"/>
    <w:semiHidden/>
    <w:unhideWhenUsed/>
    <w:qFormat/>
    <w:rsid w:val="003D4B39"/>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qFormat/>
    <w:rsid w:val="003D4B39"/>
    <w:pPr>
      <w:ind w:left="720"/>
      <w:contextualSpacing/>
    </w:pPr>
    <w:rPr>
      <w:rFonts w:ascii="Calibri" w:eastAsia="Calibri" w:hAnsi="Calibri"/>
      <w:kern w:val="2"/>
      <w:lang w:val="lt-LT"/>
    </w:rPr>
  </w:style>
  <w:style w:type="paragraph" w:styleId="Header">
    <w:name w:val="header"/>
    <w:basedOn w:val="Normal"/>
    <w:link w:val="HeaderChar"/>
    <w:uiPriority w:val="99"/>
    <w:unhideWhenUsed/>
    <w:rsid w:val="003D4B39"/>
    <w:pPr>
      <w:tabs>
        <w:tab w:val="center" w:pos="4986"/>
        <w:tab w:val="right" w:pos="9972"/>
      </w:tabs>
      <w:spacing w:after="0" w:line="240" w:lineRule="auto"/>
    </w:pPr>
    <w:rPr>
      <w:rFonts w:ascii="Calibri" w:eastAsia="Calibri" w:hAnsi="Calibri"/>
      <w:kern w:val="2"/>
      <w:lang w:val="lt-LT"/>
    </w:rPr>
  </w:style>
  <w:style w:type="character" w:customStyle="1" w:styleId="AntratsDiagrama1">
    <w:name w:val="Antraštės Diagrama1"/>
    <w:basedOn w:val="DefaultParagraphFont"/>
    <w:uiPriority w:val="99"/>
    <w:semiHidden/>
    <w:rsid w:val="003D4B39"/>
    <w:rPr>
      <w:rFonts w:cs="Times New Roman"/>
      <w:kern w:val="0"/>
      <w:lang w:val="en-US"/>
    </w:rPr>
  </w:style>
  <w:style w:type="paragraph" w:styleId="Footer">
    <w:name w:val="footer"/>
    <w:basedOn w:val="Normal"/>
    <w:link w:val="FooterChar"/>
    <w:uiPriority w:val="99"/>
    <w:unhideWhenUsed/>
    <w:rsid w:val="003D4B39"/>
    <w:pPr>
      <w:tabs>
        <w:tab w:val="center" w:pos="4986"/>
        <w:tab w:val="right" w:pos="9972"/>
      </w:tabs>
      <w:spacing w:after="0" w:line="240" w:lineRule="auto"/>
    </w:pPr>
    <w:rPr>
      <w:rFonts w:ascii="Calibri" w:eastAsia="Calibri" w:hAnsi="Calibri"/>
      <w:kern w:val="2"/>
      <w:lang w:val="lt-LT"/>
    </w:rPr>
  </w:style>
  <w:style w:type="character" w:customStyle="1" w:styleId="PoratDiagrama1">
    <w:name w:val="Poraštė Diagrama1"/>
    <w:basedOn w:val="DefaultParagraphFont"/>
    <w:uiPriority w:val="99"/>
    <w:semiHidden/>
    <w:rsid w:val="003D4B39"/>
    <w:rPr>
      <w:rFonts w:cs="Times New Roman"/>
      <w:kern w:val="0"/>
      <w:lang w:val="en-US"/>
    </w:rPr>
  </w:style>
  <w:style w:type="paragraph" w:customStyle="1" w:styleId="Body2">
    <w:name w:val="Body 2"/>
    <w:qFormat/>
    <w:rsid w:val="003D4B39"/>
    <w:pPr>
      <w:widowControl w:val="0"/>
      <w:suppressAutoHyphens/>
      <w:spacing w:after="40" w:line="240" w:lineRule="auto"/>
      <w:jc w:val="both"/>
    </w:pPr>
    <w:rPr>
      <w:rFonts w:ascii="Times New Roman" w:eastAsia="Arial Unicode MS" w:hAnsi="Times New Roman" w:cs="Arial Unicode MS"/>
      <w:color w:val="000000"/>
      <w:kern w:val="0"/>
      <w:lang w:val="en-US" w:eastAsia="lt-LT"/>
    </w:rPr>
  </w:style>
  <w:style w:type="paragraph" w:styleId="HTMLPreformatted">
    <w:name w:val="HTML Preformatted"/>
    <w:basedOn w:val="Normal"/>
    <w:link w:val="HTMLPreformattedChar"/>
    <w:uiPriority w:val="99"/>
    <w:semiHidden/>
    <w:unhideWhenUsed/>
    <w:rsid w:val="003D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D4B39"/>
    <w:rPr>
      <w:rFonts w:ascii="Courier New" w:eastAsia="Times New Roman" w:hAnsi="Courier New" w:cs="Courier New"/>
      <w:kern w:val="0"/>
      <w:sz w:val="20"/>
      <w:szCs w:val="20"/>
      <w:lang w:eastAsia="lt-LT"/>
    </w:rPr>
  </w:style>
  <w:style w:type="paragraph" w:styleId="BalloonText">
    <w:name w:val="Balloon Text"/>
    <w:basedOn w:val="Normal"/>
    <w:link w:val="BalloonTextChar"/>
    <w:uiPriority w:val="99"/>
    <w:semiHidden/>
    <w:unhideWhenUsed/>
    <w:rsid w:val="0052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D2"/>
    <w:rPr>
      <w:rFonts w:ascii="Tahoma"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6866-2EB7-49ED-A730-82481651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2987</Words>
  <Characters>1703</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2025-02-26T13:16:00Z</dcterms:created>
  <dcterms:modified xsi:type="dcterms:W3CDTF">2025-03-31T07:18:00Z</dcterms:modified>
</cp:coreProperties>
</file>