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5B73354C" w:rsidR="00B2606F" w:rsidRDefault="00F24A4F"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text/>
        </w:sdtPr>
        <w:sdtEndPr/>
        <w:sdtContent>
          <w:r w:rsidR="00D47856">
            <w:rPr>
              <w:rFonts w:ascii="Tahoma" w:hAnsi="Tahoma" w:cs="Tahoma"/>
              <w:sz w:val="20"/>
            </w:rPr>
            <w:t>LITGRID AB</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747E3D34"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howingPlcHdr/>
        </w:sdtPr>
        <w:sdtEndPr/>
        <w:sdtContent>
          <w:r w:rsidR="006621DE" w:rsidRPr="009E685A">
            <w:rPr>
              <w:rStyle w:val="PlaceholderText"/>
            </w:rPr>
            <w:t>Click or tap here to enter text.</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D47856">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42DE751D">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42DE751D">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321E2E8A"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D47856">
                      <w:rPr>
                        <w:rFonts w:ascii="Tahoma" w:eastAsia="Arial Unicode MS" w:hAnsi="Tahoma" w:cs="Tahoma"/>
                        <w:color w:val="000000"/>
                        <w:sz w:val="20"/>
                        <w:bdr w:val="nil"/>
                        <w:lang w:eastAsia="en-US"/>
                      </w:rPr>
                      <w:t>fiksuotas įkainis su peržiūra. Peržiūros sąlygos numatytos Sutarties bendrųjų sąlygų 2.1.4. punkte.</w:t>
                    </w:r>
                  </w:sdtContent>
                </w:sdt>
              </w:sdtContent>
            </w:sdt>
          </w:p>
        </w:tc>
      </w:tr>
      <w:tr w:rsidR="00E72EFD" w:rsidRPr="009258C1" w14:paraId="53DC41D0" w14:textId="77777777" w:rsidTr="42DE751D">
        <w:trPr>
          <w:trHeight w:val="585"/>
        </w:trPr>
        <w:tc>
          <w:tcPr>
            <w:tcW w:w="2568" w:type="dxa"/>
            <w:vMerge/>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6D484ED8"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bookmarkStart w:id="0" w:name="_Hlk42693516"/>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004827">
                  <w:rPr>
                    <w:rFonts w:ascii="Tahoma" w:eastAsia="Arial Unicode MS" w:hAnsi="Tahoma" w:cs="Tahoma"/>
                    <w:color w:val="000000"/>
                    <w:sz w:val="20"/>
                    <w:bdr w:val="nil"/>
                    <w:lang w:eastAsia="en-US"/>
                  </w:rPr>
                  <w:t>yra tiekėjo pasiūlyme numatyta kaina:</w:t>
                </w:r>
              </w:sdtContent>
            </w:sdt>
            <w:bookmarkEnd w:id="0"/>
          </w:p>
        </w:tc>
        <w:tc>
          <w:tcPr>
            <w:tcW w:w="3601" w:type="dxa"/>
            <w:shd w:val="clear" w:color="auto" w:fill="auto"/>
            <w:vAlign w:val="center"/>
          </w:tcPr>
          <w:p w14:paraId="4662A12C" w14:textId="324805D5" w:rsidR="00E72EFD" w:rsidRPr="007F72F8" w:rsidRDefault="00F24A4F"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F24A4F"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F24A4F"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42DE751D">
        <w:trPr>
          <w:trHeight w:val="769"/>
        </w:trPr>
        <w:tc>
          <w:tcPr>
            <w:tcW w:w="2568" w:type="dxa"/>
            <w:vMerge/>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0D8B3242" w:rsidR="00D47856"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w:t>
            </w:r>
            <w:r w:rsidR="00D47856">
              <w:rPr>
                <w:rFonts w:ascii="Tahoma" w:eastAsia="Arial Unicode MS" w:hAnsi="Tahoma" w:cs="Tahoma"/>
                <w:sz w:val="20"/>
                <w:bdr w:val="nil"/>
                <w:lang w:eastAsia="en-US"/>
              </w:rPr>
              <w:t xml:space="preserve"> kas mėnesį</w:t>
            </w:r>
            <w:r w:rsidRPr="00905FC1">
              <w:rPr>
                <w:rFonts w:ascii="Tahoma" w:eastAsia="Arial Unicode MS" w:hAnsi="Tahoma" w:cs="Tahoma"/>
                <w:sz w:val="20"/>
                <w:bdr w:val="nil"/>
                <w:lang w:eastAsia="en-US"/>
              </w:rPr>
              <w:t xml:space="preserve"> už</w:t>
            </w:r>
            <w:r w:rsidR="00BF2999">
              <w:rPr>
                <w:rFonts w:ascii="Tahoma" w:eastAsia="Arial Unicode MS" w:hAnsi="Tahoma" w:cs="Tahoma"/>
                <w:sz w:val="20"/>
                <w:bdr w:val="nil"/>
                <w:lang w:eastAsia="en-US"/>
              </w:rPr>
              <w:t xml:space="preserve"> </w:t>
            </w:r>
            <w:r w:rsidR="00D47856">
              <w:rPr>
                <w:rFonts w:ascii="Tahoma" w:eastAsia="Arial Unicode MS" w:hAnsi="Tahoma" w:cs="Tahoma"/>
                <w:sz w:val="20"/>
                <w:bdr w:val="nil"/>
                <w:lang w:eastAsia="en-US"/>
              </w:rPr>
              <w:t xml:space="preserve">praeitą mėnesį </w:t>
            </w:r>
            <w:r w:rsidR="00BF2999">
              <w:rPr>
                <w:rFonts w:ascii="Tahoma" w:eastAsia="Arial Unicode MS" w:hAnsi="Tahoma" w:cs="Tahoma"/>
                <w:sz w:val="20"/>
                <w:bdr w:val="nil"/>
                <w:lang w:eastAsia="en-US"/>
              </w:rPr>
              <w:t>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253288">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w:t>
            </w:r>
            <w:r w:rsidR="00724331">
              <w:rPr>
                <w:rFonts w:ascii="Tahoma" w:eastAsia="Arial Unicode MS" w:hAnsi="Tahoma" w:cs="Tahoma"/>
                <w:sz w:val="20"/>
                <w:bdr w:val="nil"/>
                <w:lang w:eastAsia="en-US"/>
              </w:rPr>
              <w:t>/-</w:t>
            </w:r>
            <w:proofErr w:type="spellStart"/>
            <w:r w:rsidR="00724331">
              <w:rPr>
                <w:rFonts w:ascii="Tahoma" w:eastAsia="Arial Unicode MS" w:hAnsi="Tahoma" w:cs="Tahoma"/>
                <w:sz w:val="20"/>
                <w:bdr w:val="nil"/>
                <w:lang w:eastAsia="en-US"/>
              </w:rPr>
              <w:t>as</w:t>
            </w:r>
            <w:proofErr w:type="spellEnd"/>
            <w:r w:rsidRPr="00905FC1">
              <w:rPr>
                <w:rFonts w:ascii="Tahoma" w:eastAsia="Arial Unicode MS" w:hAnsi="Tahoma" w:cs="Tahoma"/>
                <w:sz w:val="20"/>
                <w:bdr w:val="nil"/>
                <w:lang w:eastAsia="en-US"/>
              </w:rPr>
              <w:t xml:space="preserve">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560F26" w:rsidRPr="009258C1" w14:paraId="01A29C83" w14:textId="0DF4FB87" w:rsidTr="42DE751D">
        <w:trPr>
          <w:gridAfter w:val="2"/>
          <w:wAfter w:w="7119" w:type="dxa"/>
          <w:trHeight w:val="661"/>
        </w:trPr>
        <w:tc>
          <w:tcPr>
            <w:tcW w:w="2568" w:type="dxa"/>
            <w:vMerge w:val="restart"/>
            <w:vAlign w:val="center"/>
          </w:tcPr>
          <w:p w14:paraId="0ED3A5A0" w14:textId="22A07FD6" w:rsidR="00560F26" w:rsidRDefault="00560F26"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551DCEB2" w:rsidR="00560F26" w:rsidRPr="00905FC1" w:rsidRDefault="00560F26"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r>
      <w:tr w:rsidR="00675774" w:rsidRPr="009258C1" w14:paraId="1F2A5B19" w14:textId="77777777" w:rsidTr="42DE751D">
        <w:trPr>
          <w:trHeight w:val="675"/>
        </w:trPr>
        <w:tc>
          <w:tcPr>
            <w:tcW w:w="2568" w:type="dxa"/>
            <w:vMerge/>
            <w:vAlign w:val="center"/>
          </w:tcPr>
          <w:p w14:paraId="2E8A0BE0" w14:textId="77777777" w:rsidR="00675774" w:rsidRPr="00905FC1" w:rsidRDefault="00675774" w:rsidP="00905FC1">
            <w:pPr>
              <w:autoSpaceDN/>
              <w:spacing w:before="120" w:after="120" w:line="276" w:lineRule="auto"/>
              <w:contextualSpacing/>
              <w:jc w:val="center"/>
              <w:textAlignment w:val="auto"/>
              <w:rPr>
                <w:rFonts w:ascii="Tahoma" w:eastAsia="Arial Unicode MS" w:hAnsi="Tahoma" w:cs="Tahoma"/>
                <w:b/>
                <w:bCs/>
                <w:color w:val="000000"/>
                <w:sz w:val="20"/>
                <w:bdr w:val="nil"/>
                <w:lang w:eastAsia="en-US"/>
              </w:rPr>
            </w:pPr>
          </w:p>
        </w:tc>
        <w:tc>
          <w:tcPr>
            <w:tcW w:w="3518" w:type="dxa"/>
            <w:tcBorders>
              <w:right w:val="single" w:sz="4" w:space="0" w:color="000000" w:themeColor="text1"/>
            </w:tcBorders>
            <w:vAlign w:val="center"/>
          </w:tcPr>
          <w:p w14:paraId="4B4EA407" w14:textId="2CBFC422" w:rsidR="001C7156" w:rsidRDefault="001C7156"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143D8700" w14:textId="5DB386FE" w:rsidR="00675774" w:rsidRDefault="00675774"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00F65444" w14:textId="7D57B8A4" w:rsidR="00EC64F4" w:rsidRPr="00EA78C5" w:rsidRDefault="00EC64F4"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p>
        </w:tc>
        <w:tc>
          <w:tcPr>
            <w:tcW w:w="3601" w:type="dxa"/>
            <w:tcBorders>
              <w:left w:val="single" w:sz="4" w:space="0" w:color="000000" w:themeColor="text1"/>
            </w:tcBorders>
            <w:vAlign w:val="center"/>
          </w:tcPr>
          <w:p w14:paraId="050B578C" w14:textId="5EC10141" w:rsidR="00675774" w:rsidRPr="00905FC1" w:rsidRDefault="00F24A4F">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sdt>
              <w:sdtPr>
                <w:rPr>
                  <w:rFonts w:ascii="Tahoma" w:eastAsia="Arial Unicode MS" w:hAnsi="Tahoma" w:cs="Tahoma"/>
                  <w:color w:val="000000"/>
                  <w:sz w:val="20"/>
                  <w:bdr w:val="nil"/>
                  <w:lang w:eastAsia="en-US"/>
                </w:rPr>
                <w:alias w:val="Pasirinkite terminą"/>
                <w:tag w:val="Pasirinkite terminą"/>
                <w:id w:val="-1279786132"/>
                <w:placeholder>
                  <w:docPart w:val="CC5F421EEA754F4E8B4FB82CAC2F306C"/>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560F26">
                  <w:rPr>
                    <w:rFonts w:ascii="Tahoma" w:eastAsia="Arial Unicode MS" w:hAnsi="Tahoma" w:cs="Tahoma"/>
                    <w:color w:val="000000"/>
                    <w:sz w:val="20"/>
                    <w:bdr w:val="nil"/>
                    <w:lang w:eastAsia="en-US"/>
                  </w:rPr>
                  <w:t>36</w:t>
                </w:r>
              </w:sdtContent>
            </w:sdt>
            <w:r w:rsidR="00675774"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414010583"/>
                <w:placeholder>
                  <w:docPart w:val="A794B80C5545458186B814E0256C938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560F26">
                  <w:rPr>
                    <w:rFonts w:ascii="Tahoma" w:eastAsia="Arial Unicode MS" w:hAnsi="Tahoma" w:cs="Tahoma"/>
                    <w:color w:val="000000"/>
                    <w:sz w:val="20"/>
                    <w:bdr w:val="nil"/>
                    <w:lang w:eastAsia="en-US"/>
                  </w:rPr>
                  <w:t>mėnesius</w:t>
                </w:r>
              </w:sdtContent>
            </w:sdt>
            <w:r w:rsidR="00675774" w:rsidRPr="00905FC1">
              <w:rPr>
                <w:rFonts w:ascii="Tahoma" w:eastAsia="Arial Unicode MS" w:hAnsi="Tahoma" w:cs="Tahoma"/>
                <w:color w:val="000000"/>
                <w:sz w:val="20"/>
                <w:bdr w:val="nil"/>
                <w:lang w:eastAsia="en-US"/>
              </w:rPr>
              <w:t xml:space="preserve"> </w:t>
            </w:r>
            <w:r w:rsidR="00125CFE" w:rsidRPr="002A683C">
              <w:rPr>
                <w:rFonts w:ascii="Tahoma" w:eastAsia="Arial Unicode MS" w:hAnsi="Tahoma" w:cs="Tahoma"/>
                <w:sz w:val="20"/>
                <w:bdr w:val="nil"/>
                <w:lang w:eastAsia="en-US"/>
              </w:rPr>
              <w:t>nuo Sutarties įsigaliojimo dienos</w:t>
            </w:r>
            <w:r w:rsidR="00675774">
              <w:rPr>
                <w:rFonts w:ascii="Tahoma" w:eastAsia="Arial Unicode MS" w:hAnsi="Tahoma" w:cs="Tahoma"/>
                <w:color w:val="000000"/>
                <w:sz w:val="20"/>
                <w:bdr w:val="nil"/>
                <w:lang w:eastAsia="en-US"/>
              </w:rPr>
              <w:t>.</w:t>
            </w:r>
          </w:p>
        </w:tc>
      </w:tr>
      <w:tr w:rsidR="00A42E04" w:rsidRPr="009258C1" w14:paraId="45C641EA" w14:textId="3E21EB84" w:rsidTr="42DE751D">
        <w:trPr>
          <w:trHeight w:val="737"/>
        </w:trPr>
        <w:tc>
          <w:tcPr>
            <w:tcW w:w="2568" w:type="dxa"/>
            <w:vAlign w:val="center"/>
          </w:tcPr>
          <w:p w14:paraId="75620537" w14:textId="5E6F2BF0" w:rsidR="00A42E04" w:rsidRPr="00EA78C5" w:rsidRDefault="00A42E04" w:rsidP="0070793A">
            <w:pPr>
              <w:autoSpaceDN/>
              <w:spacing w:before="120" w:after="120" w:line="276" w:lineRule="auto"/>
              <w:contextualSpacing/>
              <w:jc w:val="center"/>
              <w:textAlignment w:val="auto"/>
              <w:rPr>
                <w:rFonts w:ascii="Tahoma" w:eastAsia="Arial Unicode MS" w:hAnsi="Tahoma" w:cs="Tahoma"/>
                <w:i/>
                <w:iCs/>
                <w:color w:val="000000"/>
                <w:sz w:val="20"/>
                <w:bdr w:val="nil"/>
                <w:lang w:eastAsia="en-US"/>
              </w:rPr>
            </w:pPr>
          </w:p>
        </w:tc>
        <w:tc>
          <w:tcPr>
            <w:tcW w:w="7119" w:type="dxa"/>
            <w:gridSpan w:val="2"/>
            <w:vAlign w:val="center"/>
          </w:tcPr>
          <w:p w14:paraId="3655067D" w14:textId="03E08A41" w:rsidR="00A42E04" w:rsidRPr="00560F26" w:rsidDel="00D61A33" w:rsidRDefault="00A42E04"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Pr>
                <w:rFonts w:ascii="Tahoma" w:eastAsia="Arial Unicode MS" w:hAnsi="Tahoma" w:cs="Tahoma"/>
                <w:sz w:val="20"/>
                <w:bdr w:val="nil"/>
                <w:lang w:eastAsia="en-US"/>
              </w:rPr>
              <w:t>3.</w:t>
            </w:r>
            <w:r w:rsidR="00086713">
              <w:rPr>
                <w:rFonts w:ascii="Tahoma" w:eastAsia="Arial Unicode MS" w:hAnsi="Tahoma" w:cs="Tahoma"/>
                <w:sz w:val="20"/>
                <w:bdr w:val="nil"/>
                <w:lang w:eastAsia="en-US"/>
              </w:rPr>
              <w:t>3</w:t>
            </w:r>
            <w:r>
              <w:rPr>
                <w:rFonts w:ascii="Tahoma" w:eastAsia="Arial Unicode MS" w:hAnsi="Tahoma" w:cs="Tahoma"/>
                <w:sz w:val="20"/>
                <w:bdr w:val="nil"/>
                <w:lang w:eastAsia="en-US"/>
              </w:rPr>
              <w:t xml:space="preserve">. </w:t>
            </w:r>
            <w:r>
              <w:rPr>
                <w:rFonts w:ascii="Tahoma" w:hAnsi="Tahoma" w:cs="Tahoma"/>
                <w:sz w:val="20"/>
              </w:rPr>
              <w:t xml:space="preserve">Paslaugos teikiamos iki </w:t>
            </w:r>
            <w:r w:rsidR="00073F06">
              <w:rPr>
                <w:rFonts w:ascii="Tahoma" w:hAnsi="Tahoma" w:cs="Tahoma"/>
                <w:sz w:val="20"/>
              </w:rPr>
              <w:t xml:space="preserve">Sutarties </w:t>
            </w:r>
            <w:r>
              <w:rPr>
                <w:rFonts w:ascii="Tahoma" w:hAnsi="Tahoma" w:cs="Tahoma"/>
                <w:sz w:val="20"/>
              </w:rPr>
              <w:t>3.1 p</w:t>
            </w:r>
            <w:r w:rsidR="00073F06">
              <w:rPr>
                <w:rFonts w:ascii="Tahoma" w:hAnsi="Tahoma" w:cs="Tahoma"/>
                <w:sz w:val="20"/>
              </w:rPr>
              <w:t>unkte</w:t>
            </w:r>
            <w:r>
              <w:rPr>
                <w:rFonts w:ascii="Tahoma" w:hAnsi="Tahoma" w:cs="Tahoma"/>
                <w:sz w:val="20"/>
              </w:rPr>
              <w:t xml:space="preserv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 xml:space="preserve">arba kol bus pasiekta Sutartyje nurodyta Sutarties </w:t>
            </w:r>
            <w:r>
              <w:rPr>
                <w:rFonts w:ascii="Tahoma" w:eastAsia="Arial Unicode MS" w:hAnsi="Tahoma" w:cs="Tahoma"/>
                <w:sz w:val="20"/>
                <w:bdr w:val="nil"/>
                <w:lang w:eastAsia="en-US"/>
              </w:rPr>
              <w:t>kaina</w:t>
            </w:r>
            <w:r w:rsidRPr="002A683C">
              <w:rPr>
                <w:rFonts w:ascii="Tahoma" w:eastAsia="Arial Unicode MS" w:hAnsi="Tahoma" w:cs="Tahoma"/>
                <w:sz w:val="20"/>
                <w:bdr w:val="nil"/>
                <w:lang w:eastAsia="en-US"/>
              </w:rPr>
              <w:t>, priklausomai nuo to, kuri iš šių sąlygų įvyks anksčiau.</w:t>
            </w:r>
          </w:p>
        </w:tc>
      </w:tr>
      <w:tr w:rsidR="0070793A" w:rsidRPr="009258C1" w14:paraId="18859A3A" w14:textId="77777777" w:rsidTr="42DE751D">
        <w:tc>
          <w:tcPr>
            <w:tcW w:w="2568"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5A96FE0B"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560F26">
                  <w:rPr>
                    <w:rFonts w:ascii="Tahoma" w:eastAsia="Arial Unicode MS" w:hAnsi="Tahoma" w:cs="Tahoma"/>
                    <w:sz w:val="20"/>
                    <w:bdr w:val="nil"/>
                    <w:lang w:eastAsia="en-US"/>
                  </w:rPr>
                  <w:t>Netaikoma.</w:t>
                </w:r>
              </w:sdtContent>
            </w:sdt>
          </w:p>
        </w:tc>
      </w:tr>
      <w:tr w:rsidR="0070793A" w:rsidRPr="009258C1" w14:paraId="068EA46F" w14:textId="77777777" w:rsidTr="42DE751D">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Subtiekimas</w:t>
            </w:r>
          </w:p>
        </w:tc>
        <w:tc>
          <w:tcPr>
            <w:tcW w:w="7119" w:type="dxa"/>
            <w:gridSpan w:val="2"/>
          </w:tcPr>
          <w:p w14:paraId="1BAE3E09" w14:textId="63C661AA"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560F26">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42DE751D">
        <w:tc>
          <w:tcPr>
            <w:tcW w:w="2568" w:type="dxa"/>
            <w:vAlign w:val="center"/>
          </w:tcPr>
          <w:p w14:paraId="5E7F176A" w14:textId="77777777"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560F26">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4C9DAE31"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shd w:val="clear" w:color="auto" w:fill="FFFFFF" w:themeFill="background1"/>
          </w:tcPr>
          <w:p w14:paraId="7F1253A7" w14:textId="3818C105" w:rsidR="00631537" w:rsidRPr="00B205E7" w:rsidRDefault="00560F26" w:rsidP="42DE751D">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42DE751D">
              <w:rPr>
                <w:rFonts w:ascii="Tahoma" w:hAnsi="Tahoma" w:cs="Tahoma"/>
                <w:sz w:val="20"/>
              </w:rPr>
              <w:t xml:space="preserve">6.1. Pirkėjas, pasirašydamas </w:t>
            </w:r>
            <w:r w:rsidR="00B205E7" w:rsidRPr="42DE751D">
              <w:rPr>
                <w:rFonts w:ascii="Tahoma" w:hAnsi="Tahoma" w:cs="Tahoma"/>
                <w:sz w:val="20"/>
              </w:rPr>
              <w:t>S</w:t>
            </w:r>
            <w:r w:rsidRPr="42DE751D">
              <w:rPr>
                <w:rFonts w:ascii="Tahoma" w:hAnsi="Tahoma" w:cs="Tahoma"/>
                <w:sz w:val="20"/>
              </w:rPr>
              <w:t>utartį, sutinka su Pardavėjo viešai paskelbtomis visiems jo klientams taikomomis standartinėmis paslaugos teikimo sąlygomis tiek kiek jos neprieštarauja Sutarčiai</w:t>
            </w:r>
            <w:r w:rsidR="00B205E7" w:rsidRPr="42DE751D">
              <w:rPr>
                <w:rFonts w:ascii="Tahoma" w:hAnsi="Tahoma" w:cs="Tahoma"/>
                <w:sz w:val="20"/>
              </w:rPr>
              <w:t>,</w:t>
            </w:r>
            <w:r w:rsidRPr="42DE751D">
              <w:rPr>
                <w:rFonts w:ascii="Tahoma" w:hAnsi="Tahoma" w:cs="Tahoma"/>
                <w:sz w:val="20"/>
              </w:rPr>
              <w:t xml:space="preserve"> Pirkimo dokumentams ir Pirkimo metu Pardavėjo pateiktam pasiūly</w:t>
            </w:r>
            <w:r w:rsidR="00B205E7" w:rsidRPr="42DE751D">
              <w:rPr>
                <w:rFonts w:ascii="Tahoma" w:hAnsi="Tahoma" w:cs="Tahoma"/>
                <w:sz w:val="20"/>
              </w:rPr>
              <w:t>mui.</w:t>
            </w:r>
            <w:r w:rsidRPr="42DE751D">
              <w:rPr>
                <w:rFonts w:ascii="Tahoma" w:hAnsi="Tahoma" w:cs="Tahoma"/>
                <w:sz w:val="20"/>
              </w:rPr>
              <w:t xml:space="preserve">   </w:t>
            </w:r>
          </w:p>
          <w:p w14:paraId="3F43C433" w14:textId="789E1FD7"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6.2. Bendrųjų Sutarties sąlygų 1.1 punktas papildomas m) papunkčiu:</w:t>
            </w:r>
          </w:p>
          <w:p w14:paraId="4FB7B354" w14:textId="6874EAAB"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6.2.1. „m) Draudžiama kilmė – Pardavėjo, subtiekėjo ar juos kontroliuojančių asmenų, taip pat prekių (įskaitant jų sudedamąsias dalis), Paslaugų kilmė yra iš Viešųjų pirkimų įstatymo 92 straipsnio 14 ir (ar) 15 dalyje numatytame sąraše nurodytų valstybių ar teritorijų.“.</w:t>
            </w:r>
          </w:p>
          <w:p w14:paraId="7509BF12" w14:textId="75277252"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6.3. Bendrųjų Sutarties sąlygų 3.1 punktas papildomas 3.1.4 papunkčiu:</w:t>
            </w:r>
          </w:p>
          <w:p w14:paraId="3CBE077C" w14:textId="61969F2F"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lastRenderedPageBreak/>
              <w:t>6.3.1. „3.1.4.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0DF63481" w14:textId="279305AF"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6.4. Bendrųjų Sutarties sąlygų 4.2.3 punktas papildomas m) ir n) papunkčiais:</w:t>
            </w:r>
          </w:p>
          <w:p w14:paraId="68847ADC" w14:textId="525D4ABF"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6.4.1. „m) Pirkimų įstatymo 98 straipsnio 1 dalyje nurodytais atvejais.“.</w:t>
            </w:r>
          </w:p>
          <w:p w14:paraId="5F46B172" w14:textId="7962CDC8"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6.4.2. „n) jeigu tiekiamos prekės ir (ar) teikiamos Paslaugos yra Draudžiamos kilmės.“.</w:t>
            </w:r>
          </w:p>
          <w:p w14:paraId="597D0FE2" w14:textId="5CC42F60"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6.5. Pakeisti Bendrųjų Sutarties sąlygų 5.10.1 punktą:</w:t>
            </w:r>
          </w:p>
          <w:p w14:paraId="3B88CFFD" w14:textId="03B11208"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6.5.1. „5.10.1. Visos prekės turi atitikti Pirkėjo 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4CFA6713" w14:textId="3845FDD6"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6.6. Bendrųjų Sutarties sąlygų 5.10 punktas papildomas 5.10.2, 5.10.3 ir 5.10.4 punktais:</w:t>
            </w:r>
          </w:p>
          <w:p w14:paraId="06342773" w14:textId="52036DC6"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6.6.1. „5.10.2.</w:t>
            </w:r>
            <w:r w:rsidR="00560F26">
              <w:tab/>
            </w:r>
            <w:r w:rsidRPr="42DE751D">
              <w:rPr>
                <w:rFonts w:ascii="Tahoma" w:eastAsia="Tahoma" w:hAnsi="Tahoma" w:cs="Tahoma"/>
                <w:sz w:val="20"/>
              </w:rPr>
              <w:t>Pardavėjas privalo nedelsiant informuoti Pirkėją apie Pardavėjo, jo tiekėjo, subtiekėjo, ūkio subjekto, kurio pajėgumais yra remiamasi ar juos kontroliuojančių asmenų</w:t>
            </w:r>
            <w:r w:rsidR="00160DC1">
              <w:rPr>
                <w:rStyle w:val="FootnoteReference"/>
                <w:rFonts w:ascii="Tahoma" w:eastAsia="Tahoma" w:hAnsi="Tahoma" w:cs="Tahoma"/>
                <w:sz w:val="20"/>
              </w:rPr>
              <w:footnoteReference w:id="1"/>
            </w:r>
            <w:r w:rsidRPr="42DE751D">
              <w:rPr>
                <w:rFonts w:ascii="Tahoma" w:eastAsia="Tahoma" w:hAnsi="Tahoma" w:cs="Tahoma"/>
                <w:sz w:val="20"/>
              </w:rPr>
              <w:t xml:space="preserve"> ir/arba gamintojo ar jį kontroliuojančio asmens registracijos vietos (jeigu gamintojas ar jį kontroliuojantis asmuo yra fizinis asmuo, nuolat gyvenantis ar turintis pilietybę) pasikeitimus, jeigu tokia vieta patenka į Viešųjų pirkimų įstatymo 92 straipsnio 14 ir (ar) 15 dalyje numatytame sąraše nurodytas valstybes ar teritorijas.“.</w:t>
            </w:r>
          </w:p>
          <w:p w14:paraId="3691753B" w14:textId="195A22C1"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6.6.2. „5.10.3.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554D9859" w14:textId="78E1B13A"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6.6.3. „5.10.4. Tuo atveju, kai nustatoma, kad Pardavėjo siūlomos prekės</w:t>
            </w:r>
            <w:r w:rsidRPr="42DE751D">
              <w:rPr>
                <w:rFonts w:ascii="Tahoma" w:eastAsia="Tahoma" w:hAnsi="Tahoma" w:cs="Tahoma"/>
                <w:sz w:val="20"/>
                <w:highlight w:val="yellow"/>
              </w:rPr>
              <w:t xml:space="preserve"> </w:t>
            </w:r>
            <w:r w:rsidRPr="42DE751D">
              <w:rPr>
                <w:rFonts w:ascii="Tahoma" w:eastAsia="Tahoma" w:hAnsi="Tahoma" w:cs="Tahoma"/>
                <w:sz w:val="20"/>
              </w:rPr>
              <w:t>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6FEDF6EE" w14:textId="04F54FCF" w:rsidR="00631537" w:rsidRPr="00B205E7" w:rsidRDefault="42DE751D" w:rsidP="00B205E7">
            <w:pPr>
              <w:pBdr>
                <w:top w:val="nil"/>
                <w:left w:val="nil"/>
                <w:bottom w:val="nil"/>
                <w:right w:val="nil"/>
                <w:between w:val="nil"/>
                <w:bar w:val="nil"/>
              </w:pBdr>
              <w:autoSpaceDN/>
              <w:spacing w:before="120" w:after="120" w:line="276" w:lineRule="auto"/>
              <w:contextualSpacing/>
              <w:jc w:val="both"/>
              <w:textAlignment w:val="auto"/>
            </w:pPr>
            <w:r w:rsidRPr="42DE751D">
              <w:rPr>
                <w:rFonts w:ascii="Tahoma" w:eastAsia="Tahoma" w:hAnsi="Tahoma" w:cs="Tahoma"/>
                <w:sz w:val="20"/>
              </w:rPr>
              <w:t xml:space="preserve">6.7. Pirkimams pagal BVPŽ kodą iš Vyriausybės sąrašo - Pardavėjas taip pat privalo nedelsiant informuoti Pirkėją apie asmenų, vykdančių įrangos priežiūrą ar palaikymą, ar juos kontroliuojančių asmenų pasikeitimus arba techninės ar programinės įrangos priežiūros ar palaikymas vietos pasikeitimus, jeigu tokia vieta patenka į Viešųjų pirkimų įstatymo 92 straipsnio 14 dalyje numatytame sąraše nurodytas valstybes ar teritorijas. </w:t>
            </w:r>
          </w:p>
        </w:tc>
      </w:tr>
      <w:tr w:rsidR="0070793A" w:rsidRPr="009258C1" w14:paraId="5ED9F26B" w14:textId="274EBADC" w:rsidTr="42DE751D">
        <w:tc>
          <w:tcPr>
            <w:tcW w:w="2568" w:type="dxa"/>
            <w:vAlign w:val="center"/>
          </w:tcPr>
          <w:p w14:paraId="5A48C263" w14:textId="77777777" w:rsidR="0070793A"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697507CB"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39E4770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7</w:t>
            </w:r>
            <w:r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08302412"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7</w:t>
            </w:r>
            <w:r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11C6E912"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26343FF" w14:textId="680DA1E4" w:rsidR="00631537" w:rsidRPr="001248B5" w:rsidRDefault="0070793A" w:rsidP="42DE751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42DE751D">
              <w:rPr>
                <w:rFonts w:ascii="Tahoma" w:eastAsia="Arial Unicode MS" w:hAnsi="Tahoma" w:cs="Tahoma"/>
                <w:sz w:val="20"/>
                <w:bdr w:val="nil"/>
                <w:lang w:eastAsia="en-US"/>
              </w:rPr>
              <w:t>7.4. Trišalė</w:t>
            </w:r>
            <w:r w:rsidR="00F64485" w:rsidRPr="42DE751D">
              <w:rPr>
                <w:rFonts w:ascii="Tahoma" w:eastAsia="Arial Unicode MS" w:hAnsi="Tahoma" w:cs="Tahoma"/>
                <w:sz w:val="20"/>
                <w:bdr w:val="nil"/>
                <w:lang w:eastAsia="en-US"/>
              </w:rPr>
              <w:t>s</w:t>
            </w:r>
            <w:r w:rsidRPr="42DE751D">
              <w:rPr>
                <w:rFonts w:ascii="Tahoma" w:eastAsia="Arial Unicode MS" w:hAnsi="Tahoma" w:cs="Tahoma"/>
                <w:sz w:val="20"/>
                <w:bdr w:val="nil"/>
                <w:lang w:eastAsia="en-US"/>
              </w:rPr>
              <w:t xml:space="preserve"> sutarti</w:t>
            </w:r>
            <w:r w:rsidR="00F64485" w:rsidRPr="42DE751D">
              <w:rPr>
                <w:rFonts w:ascii="Tahoma" w:eastAsia="Arial Unicode MS" w:hAnsi="Tahoma" w:cs="Tahoma"/>
                <w:sz w:val="20"/>
                <w:bdr w:val="nil"/>
                <w:lang w:eastAsia="en-US"/>
              </w:rPr>
              <w:t>e</w:t>
            </w:r>
            <w:r w:rsidRPr="42DE751D">
              <w:rPr>
                <w:rFonts w:ascii="Tahoma" w:eastAsia="Arial Unicode MS" w:hAnsi="Tahoma" w:cs="Tahoma"/>
                <w:sz w:val="20"/>
                <w:bdr w:val="nil"/>
                <w:lang w:eastAsia="en-US"/>
              </w:rPr>
              <w:t>s</w:t>
            </w:r>
            <w:r w:rsidR="00F64485" w:rsidRPr="42DE751D">
              <w:rPr>
                <w:rFonts w:ascii="Tahoma" w:eastAsia="Arial Unicode MS" w:hAnsi="Tahoma" w:cs="Tahoma"/>
                <w:sz w:val="20"/>
                <w:bdr w:val="nil"/>
                <w:lang w:eastAsia="en-US"/>
              </w:rPr>
              <w:t xml:space="preserve"> projektas</w:t>
            </w:r>
            <w:r w:rsidR="00126BF6" w:rsidRPr="42DE751D">
              <w:rPr>
                <w:rFonts w:ascii="Tahoma" w:eastAsia="Arial Unicode MS" w:hAnsi="Tahoma" w:cs="Tahoma"/>
                <w:sz w:val="20"/>
                <w:bdr w:val="nil"/>
                <w:lang w:eastAsia="en-US"/>
              </w:rPr>
              <w:t>.</w:t>
            </w:r>
          </w:p>
        </w:tc>
      </w:tr>
      <w:tr w:rsidR="0070793A" w:rsidRPr="009258C1" w14:paraId="723DA305" w14:textId="77777777" w:rsidTr="42DE751D">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1A778CC"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howingPlcHdr/>
              </w:sdtPr>
              <w:sdtEndPr/>
              <w:sdtContent>
                <w:r w:rsidRPr="00E859B3">
                  <w:rPr>
                    <w:rStyle w:val="PlaceholderText"/>
                  </w:rPr>
                  <w:t>Click or tap here to enter text.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777777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20___-____-____</w:t>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t>20___-____-____</w:t>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1"/>
      <w:footerReference w:type="first" r:id="rId12"/>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83BD" w14:textId="77777777" w:rsidR="009C1BDD" w:rsidRDefault="009C1BDD">
      <w:r>
        <w:separator/>
      </w:r>
    </w:p>
  </w:endnote>
  <w:endnote w:type="continuationSeparator" w:id="0">
    <w:p w14:paraId="064109DF" w14:textId="77777777" w:rsidR="009C1BDD" w:rsidRDefault="009C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EC21" w14:textId="77777777" w:rsidR="009C1BDD" w:rsidRDefault="009C1BDD">
      <w:r>
        <w:rPr>
          <w:color w:val="000000"/>
        </w:rPr>
        <w:separator/>
      </w:r>
    </w:p>
  </w:footnote>
  <w:footnote w:type="continuationSeparator" w:id="0">
    <w:p w14:paraId="600073FE" w14:textId="77777777" w:rsidR="009C1BDD" w:rsidRDefault="009C1BDD">
      <w:r>
        <w:continuationSeparator/>
      </w:r>
    </w:p>
  </w:footnote>
  <w:footnote w:id="1">
    <w:p w14:paraId="6579AD67" w14:textId="217E0E52" w:rsidR="00160DC1" w:rsidRDefault="00160DC1">
      <w:pPr>
        <w:pStyle w:val="FootnoteText"/>
      </w:pPr>
      <w:r>
        <w:rPr>
          <w:rStyle w:val="FootnoteReference"/>
        </w:rPr>
        <w:footnoteRef/>
      </w:r>
      <w:r>
        <w:t xml:space="preserve"> </w:t>
      </w:r>
      <w:r w:rsidRPr="42DE751D">
        <w:rPr>
          <w:rFonts w:ascii="Tahoma" w:eastAsia="Tahoma" w:hAnsi="Tahoma" w:cs="Tahoma"/>
          <w:sz w:val="14"/>
          <w:szCs w:val="14"/>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5553779">
    <w:abstractNumId w:val="0"/>
  </w:num>
  <w:num w:numId="2" w16cid:durableId="1592009818">
    <w:abstractNumId w:val="2"/>
  </w:num>
  <w:num w:numId="3" w16cid:durableId="1923568028">
    <w:abstractNumId w:val="4"/>
  </w:num>
  <w:num w:numId="4" w16cid:durableId="793141216">
    <w:abstractNumId w:val="6"/>
  </w:num>
  <w:num w:numId="5" w16cid:durableId="1414355761">
    <w:abstractNumId w:val="1"/>
  </w:num>
  <w:num w:numId="6" w16cid:durableId="375130194">
    <w:abstractNumId w:val="5"/>
  </w:num>
  <w:num w:numId="7" w16cid:durableId="1041857613">
    <w:abstractNumId w:val="3"/>
  </w:num>
  <w:num w:numId="8" w16cid:durableId="196238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04827"/>
    <w:rsid w:val="00014EE2"/>
    <w:rsid w:val="000232BA"/>
    <w:rsid w:val="00030AE5"/>
    <w:rsid w:val="000316BD"/>
    <w:rsid w:val="00031AE7"/>
    <w:rsid w:val="00031D18"/>
    <w:rsid w:val="00042701"/>
    <w:rsid w:val="00054E0D"/>
    <w:rsid w:val="000566E4"/>
    <w:rsid w:val="00057DBE"/>
    <w:rsid w:val="00063B8B"/>
    <w:rsid w:val="000665E2"/>
    <w:rsid w:val="00070ACE"/>
    <w:rsid w:val="00073F06"/>
    <w:rsid w:val="0008503D"/>
    <w:rsid w:val="00086713"/>
    <w:rsid w:val="00094664"/>
    <w:rsid w:val="00096A13"/>
    <w:rsid w:val="00097344"/>
    <w:rsid w:val="00097567"/>
    <w:rsid w:val="000A4789"/>
    <w:rsid w:val="000B737D"/>
    <w:rsid w:val="000D4F7A"/>
    <w:rsid w:val="000E3E98"/>
    <w:rsid w:val="000E4B07"/>
    <w:rsid w:val="000E5B4E"/>
    <w:rsid w:val="000E7457"/>
    <w:rsid w:val="00106A9A"/>
    <w:rsid w:val="00113308"/>
    <w:rsid w:val="0012244B"/>
    <w:rsid w:val="001248B5"/>
    <w:rsid w:val="00125CFE"/>
    <w:rsid w:val="00126BF6"/>
    <w:rsid w:val="00127864"/>
    <w:rsid w:val="001311A5"/>
    <w:rsid w:val="0013248A"/>
    <w:rsid w:val="00132540"/>
    <w:rsid w:val="00135317"/>
    <w:rsid w:val="00135720"/>
    <w:rsid w:val="001443B7"/>
    <w:rsid w:val="00151592"/>
    <w:rsid w:val="0015253A"/>
    <w:rsid w:val="00160DC1"/>
    <w:rsid w:val="00162610"/>
    <w:rsid w:val="00167A52"/>
    <w:rsid w:val="001824CC"/>
    <w:rsid w:val="00187D4F"/>
    <w:rsid w:val="001914B6"/>
    <w:rsid w:val="00195751"/>
    <w:rsid w:val="001A18AA"/>
    <w:rsid w:val="001A5630"/>
    <w:rsid w:val="001B04C2"/>
    <w:rsid w:val="001B3789"/>
    <w:rsid w:val="001B5054"/>
    <w:rsid w:val="001C5208"/>
    <w:rsid w:val="001C5A04"/>
    <w:rsid w:val="001C7156"/>
    <w:rsid w:val="001D12B9"/>
    <w:rsid w:val="001E4A6B"/>
    <w:rsid w:val="001F46EB"/>
    <w:rsid w:val="0020188C"/>
    <w:rsid w:val="002021B1"/>
    <w:rsid w:val="00205CE6"/>
    <w:rsid w:val="00210487"/>
    <w:rsid w:val="0021629B"/>
    <w:rsid w:val="002245DB"/>
    <w:rsid w:val="00227DBA"/>
    <w:rsid w:val="00230E3D"/>
    <w:rsid w:val="00230E85"/>
    <w:rsid w:val="0023261B"/>
    <w:rsid w:val="0023368A"/>
    <w:rsid w:val="00236BEA"/>
    <w:rsid w:val="00237C17"/>
    <w:rsid w:val="00240F6F"/>
    <w:rsid w:val="00253288"/>
    <w:rsid w:val="002775F6"/>
    <w:rsid w:val="00281ABC"/>
    <w:rsid w:val="00283634"/>
    <w:rsid w:val="00284BA1"/>
    <w:rsid w:val="00294CD6"/>
    <w:rsid w:val="002A42A2"/>
    <w:rsid w:val="002B4E41"/>
    <w:rsid w:val="002C4F2A"/>
    <w:rsid w:val="002D33F0"/>
    <w:rsid w:val="002E235C"/>
    <w:rsid w:val="002E7EF3"/>
    <w:rsid w:val="002F64E9"/>
    <w:rsid w:val="002F6853"/>
    <w:rsid w:val="003030BF"/>
    <w:rsid w:val="0030579A"/>
    <w:rsid w:val="00310854"/>
    <w:rsid w:val="00312EE5"/>
    <w:rsid w:val="00313AEE"/>
    <w:rsid w:val="00321D81"/>
    <w:rsid w:val="003236D5"/>
    <w:rsid w:val="00323F3D"/>
    <w:rsid w:val="0032538B"/>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41D24"/>
    <w:rsid w:val="00441E58"/>
    <w:rsid w:val="0045359C"/>
    <w:rsid w:val="004548E5"/>
    <w:rsid w:val="00460B52"/>
    <w:rsid w:val="004671A6"/>
    <w:rsid w:val="00476915"/>
    <w:rsid w:val="00476DAC"/>
    <w:rsid w:val="0048206C"/>
    <w:rsid w:val="00497C06"/>
    <w:rsid w:val="004A1B32"/>
    <w:rsid w:val="004A2038"/>
    <w:rsid w:val="004A619F"/>
    <w:rsid w:val="004D1CE4"/>
    <w:rsid w:val="004D20BC"/>
    <w:rsid w:val="004E37B1"/>
    <w:rsid w:val="004E44FC"/>
    <w:rsid w:val="004F149C"/>
    <w:rsid w:val="00500690"/>
    <w:rsid w:val="00500D41"/>
    <w:rsid w:val="0050209B"/>
    <w:rsid w:val="005022D6"/>
    <w:rsid w:val="00505018"/>
    <w:rsid w:val="00507B6E"/>
    <w:rsid w:val="00515C9E"/>
    <w:rsid w:val="00520858"/>
    <w:rsid w:val="005228BE"/>
    <w:rsid w:val="00526825"/>
    <w:rsid w:val="005336F0"/>
    <w:rsid w:val="00533F53"/>
    <w:rsid w:val="0054593B"/>
    <w:rsid w:val="00547C98"/>
    <w:rsid w:val="00560F26"/>
    <w:rsid w:val="00570574"/>
    <w:rsid w:val="00571F7D"/>
    <w:rsid w:val="00581CC8"/>
    <w:rsid w:val="00582B74"/>
    <w:rsid w:val="005866E5"/>
    <w:rsid w:val="005954ED"/>
    <w:rsid w:val="005A3B87"/>
    <w:rsid w:val="005A46B3"/>
    <w:rsid w:val="005B01AD"/>
    <w:rsid w:val="005B4AD8"/>
    <w:rsid w:val="005C1CB1"/>
    <w:rsid w:val="005D2602"/>
    <w:rsid w:val="005D37A9"/>
    <w:rsid w:val="005D6695"/>
    <w:rsid w:val="005E0E0C"/>
    <w:rsid w:val="005E0EBF"/>
    <w:rsid w:val="005E1611"/>
    <w:rsid w:val="005E18E3"/>
    <w:rsid w:val="005E3253"/>
    <w:rsid w:val="005E522A"/>
    <w:rsid w:val="005F08E2"/>
    <w:rsid w:val="005F1E30"/>
    <w:rsid w:val="005F3CFA"/>
    <w:rsid w:val="00600CC3"/>
    <w:rsid w:val="00611B9B"/>
    <w:rsid w:val="00611CC7"/>
    <w:rsid w:val="00612EAB"/>
    <w:rsid w:val="00613C72"/>
    <w:rsid w:val="00621A93"/>
    <w:rsid w:val="00622F41"/>
    <w:rsid w:val="00625558"/>
    <w:rsid w:val="006306CD"/>
    <w:rsid w:val="00631537"/>
    <w:rsid w:val="00634CB2"/>
    <w:rsid w:val="00637D96"/>
    <w:rsid w:val="00650378"/>
    <w:rsid w:val="0065065B"/>
    <w:rsid w:val="00660555"/>
    <w:rsid w:val="006621DE"/>
    <w:rsid w:val="00662B42"/>
    <w:rsid w:val="00665FBA"/>
    <w:rsid w:val="006668CA"/>
    <w:rsid w:val="00672222"/>
    <w:rsid w:val="00675774"/>
    <w:rsid w:val="006870E1"/>
    <w:rsid w:val="006920BA"/>
    <w:rsid w:val="006A37CA"/>
    <w:rsid w:val="006A6ECA"/>
    <w:rsid w:val="006B3A4C"/>
    <w:rsid w:val="006B52D2"/>
    <w:rsid w:val="006B550A"/>
    <w:rsid w:val="006B7678"/>
    <w:rsid w:val="006C0041"/>
    <w:rsid w:val="006C2460"/>
    <w:rsid w:val="006C4254"/>
    <w:rsid w:val="006D2C2A"/>
    <w:rsid w:val="006D6B51"/>
    <w:rsid w:val="006E45F3"/>
    <w:rsid w:val="006E7167"/>
    <w:rsid w:val="006F7EFC"/>
    <w:rsid w:val="00706C36"/>
    <w:rsid w:val="0070793A"/>
    <w:rsid w:val="007230D2"/>
    <w:rsid w:val="00724331"/>
    <w:rsid w:val="00724427"/>
    <w:rsid w:val="0072443B"/>
    <w:rsid w:val="00725E94"/>
    <w:rsid w:val="00737C5B"/>
    <w:rsid w:val="0074145B"/>
    <w:rsid w:val="007451AF"/>
    <w:rsid w:val="007453B9"/>
    <w:rsid w:val="00746B30"/>
    <w:rsid w:val="00747621"/>
    <w:rsid w:val="00754C31"/>
    <w:rsid w:val="00757726"/>
    <w:rsid w:val="00761250"/>
    <w:rsid w:val="007679EF"/>
    <w:rsid w:val="0077283E"/>
    <w:rsid w:val="00774FE2"/>
    <w:rsid w:val="007771C7"/>
    <w:rsid w:val="00777BEB"/>
    <w:rsid w:val="00786264"/>
    <w:rsid w:val="00790A9F"/>
    <w:rsid w:val="007959D5"/>
    <w:rsid w:val="007A223B"/>
    <w:rsid w:val="007A600A"/>
    <w:rsid w:val="007B2AEA"/>
    <w:rsid w:val="007B584C"/>
    <w:rsid w:val="007C2554"/>
    <w:rsid w:val="007D40F2"/>
    <w:rsid w:val="007E0068"/>
    <w:rsid w:val="007E5F3B"/>
    <w:rsid w:val="007E6AC0"/>
    <w:rsid w:val="007F72F8"/>
    <w:rsid w:val="00822BCC"/>
    <w:rsid w:val="00823368"/>
    <w:rsid w:val="00825AB6"/>
    <w:rsid w:val="00826361"/>
    <w:rsid w:val="008303E2"/>
    <w:rsid w:val="00841842"/>
    <w:rsid w:val="00841DC1"/>
    <w:rsid w:val="0084390C"/>
    <w:rsid w:val="00845A6E"/>
    <w:rsid w:val="0084721B"/>
    <w:rsid w:val="00850903"/>
    <w:rsid w:val="008741F8"/>
    <w:rsid w:val="00892463"/>
    <w:rsid w:val="00895557"/>
    <w:rsid w:val="008A009D"/>
    <w:rsid w:val="008A6B5B"/>
    <w:rsid w:val="008B251A"/>
    <w:rsid w:val="008D0A16"/>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7042"/>
    <w:rsid w:val="00933A87"/>
    <w:rsid w:val="0094617A"/>
    <w:rsid w:val="00955D45"/>
    <w:rsid w:val="00956241"/>
    <w:rsid w:val="00956C32"/>
    <w:rsid w:val="009634FE"/>
    <w:rsid w:val="00964351"/>
    <w:rsid w:val="009659E8"/>
    <w:rsid w:val="009718E2"/>
    <w:rsid w:val="00980883"/>
    <w:rsid w:val="0098258E"/>
    <w:rsid w:val="009974E7"/>
    <w:rsid w:val="00997F1A"/>
    <w:rsid w:val="009A5252"/>
    <w:rsid w:val="009B0D8B"/>
    <w:rsid w:val="009B5CC3"/>
    <w:rsid w:val="009C002C"/>
    <w:rsid w:val="009C0230"/>
    <w:rsid w:val="009C1BDD"/>
    <w:rsid w:val="009C3822"/>
    <w:rsid w:val="009D2468"/>
    <w:rsid w:val="009D5440"/>
    <w:rsid w:val="009D5872"/>
    <w:rsid w:val="009D6BA7"/>
    <w:rsid w:val="009E09A6"/>
    <w:rsid w:val="009E4B9F"/>
    <w:rsid w:val="009E60E7"/>
    <w:rsid w:val="009F789A"/>
    <w:rsid w:val="00A02789"/>
    <w:rsid w:val="00A048CC"/>
    <w:rsid w:val="00A112CB"/>
    <w:rsid w:val="00A129CA"/>
    <w:rsid w:val="00A13F92"/>
    <w:rsid w:val="00A14DD2"/>
    <w:rsid w:val="00A150FC"/>
    <w:rsid w:val="00A25100"/>
    <w:rsid w:val="00A255D1"/>
    <w:rsid w:val="00A33A6E"/>
    <w:rsid w:val="00A34136"/>
    <w:rsid w:val="00A42E04"/>
    <w:rsid w:val="00A439B1"/>
    <w:rsid w:val="00A441A1"/>
    <w:rsid w:val="00A458CD"/>
    <w:rsid w:val="00A54DA2"/>
    <w:rsid w:val="00A85C2C"/>
    <w:rsid w:val="00A871BA"/>
    <w:rsid w:val="00A8723D"/>
    <w:rsid w:val="00A962D4"/>
    <w:rsid w:val="00AA4054"/>
    <w:rsid w:val="00AA5B60"/>
    <w:rsid w:val="00AB460E"/>
    <w:rsid w:val="00AB6A5C"/>
    <w:rsid w:val="00AC19EF"/>
    <w:rsid w:val="00AC2372"/>
    <w:rsid w:val="00AD07CF"/>
    <w:rsid w:val="00AD1767"/>
    <w:rsid w:val="00AD1D30"/>
    <w:rsid w:val="00AD55A3"/>
    <w:rsid w:val="00AE0DD8"/>
    <w:rsid w:val="00AE0FFC"/>
    <w:rsid w:val="00AF2AAB"/>
    <w:rsid w:val="00AF455A"/>
    <w:rsid w:val="00AF5D2B"/>
    <w:rsid w:val="00AF5E27"/>
    <w:rsid w:val="00B03EAB"/>
    <w:rsid w:val="00B12C48"/>
    <w:rsid w:val="00B13878"/>
    <w:rsid w:val="00B163E6"/>
    <w:rsid w:val="00B205E7"/>
    <w:rsid w:val="00B20EC1"/>
    <w:rsid w:val="00B2606F"/>
    <w:rsid w:val="00B31C63"/>
    <w:rsid w:val="00B339EE"/>
    <w:rsid w:val="00B52E13"/>
    <w:rsid w:val="00B52F08"/>
    <w:rsid w:val="00B57B2E"/>
    <w:rsid w:val="00B64EBB"/>
    <w:rsid w:val="00B67424"/>
    <w:rsid w:val="00B7240D"/>
    <w:rsid w:val="00B739D1"/>
    <w:rsid w:val="00B77ED6"/>
    <w:rsid w:val="00B81B07"/>
    <w:rsid w:val="00B9580B"/>
    <w:rsid w:val="00BA007B"/>
    <w:rsid w:val="00BA7031"/>
    <w:rsid w:val="00BA7FC6"/>
    <w:rsid w:val="00BC0739"/>
    <w:rsid w:val="00BC36BD"/>
    <w:rsid w:val="00BD39C5"/>
    <w:rsid w:val="00BD41FC"/>
    <w:rsid w:val="00BD4F28"/>
    <w:rsid w:val="00BD7DF7"/>
    <w:rsid w:val="00BE6B30"/>
    <w:rsid w:val="00BF2999"/>
    <w:rsid w:val="00BF5B81"/>
    <w:rsid w:val="00C071F5"/>
    <w:rsid w:val="00C07985"/>
    <w:rsid w:val="00C11976"/>
    <w:rsid w:val="00C14658"/>
    <w:rsid w:val="00C1513D"/>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81B36"/>
    <w:rsid w:val="00C835A0"/>
    <w:rsid w:val="00C8555E"/>
    <w:rsid w:val="00C87F5C"/>
    <w:rsid w:val="00C92701"/>
    <w:rsid w:val="00CA06B2"/>
    <w:rsid w:val="00CA4BA0"/>
    <w:rsid w:val="00CB17B7"/>
    <w:rsid w:val="00CB1C2E"/>
    <w:rsid w:val="00CB3BC3"/>
    <w:rsid w:val="00CB5B21"/>
    <w:rsid w:val="00CC56B8"/>
    <w:rsid w:val="00CC7621"/>
    <w:rsid w:val="00CD49E4"/>
    <w:rsid w:val="00CE1C2B"/>
    <w:rsid w:val="00CE318E"/>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15F9"/>
    <w:rsid w:val="00D33795"/>
    <w:rsid w:val="00D343CF"/>
    <w:rsid w:val="00D35827"/>
    <w:rsid w:val="00D36CE3"/>
    <w:rsid w:val="00D41034"/>
    <w:rsid w:val="00D42982"/>
    <w:rsid w:val="00D44D8E"/>
    <w:rsid w:val="00D45AC6"/>
    <w:rsid w:val="00D47856"/>
    <w:rsid w:val="00D5605B"/>
    <w:rsid w:val="00D61A33"/>
    <w:rsid w:val="00D70E3E"/>
    <w:rsid w:val="00D7711E"/>
    <w:rsid w:val="00D83FDE"/>
    <w:rsid w:val="00D8572A"/>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7B67"/>
    <w:rsid w:val="00E03B60"/>
    <w:rsid w:val="00E12B1C"/>
    <w:rsid w:val="00E1490B"/>
    <w:rsid w:val="00E24DBF"/>
    <w:rsid w:val="00E26E16"/>
    <w:rsid w:val="00E47C8A"/>
    <w:rsid w:val="00E55EF9"/>
    <w:rsid w:val="00E63B1C"/>
    <w:rsid w:val="00E65B56"/>
    <w:rsid w:val="00E72EFD"/>
    <w:rsid w:val="00E73C3E"/>
    <w:rsid w:val="00E7638E"/>
    <w:rsid w:val="00E92FF9"/>
    <w:rsid w:val="00E945E5"/>
    <w:rsid w:val="00E9485A"/>
    <w:rsid w:val="00EA77FA"/>
    <w:rsid w:val="00EA78C5"/>
    <w:rsid w:val="00EB1003"/>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7639"/>
    <w:rsid w:val="00F2309D"/>
    <w:rsid w:val="00F24A4F"/>
    <w:rsid w:val="00F32745"/>
    <w:rsid w:val="00F378DC"/>
    <w:rsid w:val="00F46A9E"/>
    <w:rsid w:val="00F50F8B"/>
    <w:rsid w:val="00F51039"/>
    <w:rsid w:val="00F60ACE"/>
    <w:rsid w:val="00F62662"/>
    <w:rsid w:val="00F64485"/>
    <w:rsid w:val="00F64C38"/>
    <w:rsid w:val="00F705FF"/>
    <w:rsid w:val="00F81742"/>
    <w:rsid w:val="00F82E1A"/>
    <w:rsid w:val="00F8364E"/>
    <w:rsid w:val="00F860B0"/>
    <w:rsid w:val="00F92B73"/>
    <w:rsid w:val="00FB418E"/>
    <w:rsid w:val="00FC5F8D"/>
    <w:rsid w:val="00FD396B"/>
    <w:rsid w:val="00FD7FDB"/>
    <w:rsid w:val="00FE300A"/>
    <w:rsid w:val="00FE59E4"/>
    <w:rsid w:val="00FF086A"/>
    <w:rsid w:val="00FF4B48"/>
    <w:rsid w:val="00FF6820"/>
    <w:rsid w:val="255954A8"/>
    <w:rsid w:val="3ED067AA"/>
    <w:rsid w:val="4208086C"/>
    <w:rsid w:val="42DE751D"/>
    <w:rsid w:val="4B06DD44"/>
    <w:rsid w:val="555DBA7E"/>
    <w:rsid w:val="58955B40"/>
    <w:rsid w:val="5B3890E8"/>
    <w:rsid w:val="6AA6A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uiPriority w:val="99"/>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uiPriority w:val="1"/>
    <w:qFormat/>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styleId="FootnoteText">
    <w:name w:val="footnote text"/>
    <w:basedOn w:val="Normal"/>
    <w:link w:val="FootnoteTextChar"/>
    <w:uiPriority w:val="99"/>
    <w:semiHidden/>
    <w:unhideWhenUsed/>
    <w:rsid w:val="00160DC1"/>
    <w:rPr>
      <w:sz w:val="20"/>
    </w:rPr>
  </w:style>
  <w:style w:type="character" w:customStyle="1" w:styleId="FootnoteTextChar">
    <w:name w:val="Footnote Text Char"/>
    <w:basedOn w:val="DefaultParagraphFont"/>
    <w:link w:val="FootnoteText"/>
    <w:uiPriority w:val="99"/>
    <w:semiHidden/>
    <w:rsid w:val="00160DC1"/>
    <w:rPr>
      <w:lang w:val="lt-LT" w:eastAsia="lt-LT"/>
    </w:rPr>
  </w:style>
  <w:style w:type="character" w:styleId="FootnoteReference">
    <w:name w:val="footnote reference"/>
    <w:basedOn w:val="DefaultParagraphFont"/>
    <w:uiPriority w:val="99"/>
    <w:semiHidden/>
    <w:unhideWhenUsed/>
    <w:rsid w:val="00160D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CC5F421EEA754F4E8B4FB82CAC2F306C"/>
        <w:category>
          <w:name w:val="General"/>
          <w:gallery w:val="placeholder"/>
        </w:category>
        <w:types>
          <w:type w:val="bbPlcHdr"/>
        </w:types>
        <w:behaviors>
          <w:behavior w:val="content"/>
        </w:behaviors>
        <w:guid w:val="{DA417BA1-7612-4A9F-B542-922A38BF4F18}"/>
      </w:docPartPr>
      <w:docPartBody>
        <w:p w:rsidR="00A13F92" w:rsidRDefault="00B77ED6" w:rsidP="00B77ED6">
          <w:pPr>
            <w:pStyle w:val="CC5F421EEA754F4E8B4FB82CAC2F306C"/>
          </w:pPr>
          <w:r w:rsidRPr="00905FC1">
            <w:rPr>
              <w:rFonts w:ascii="Tahoma" w:hAnsi="Tahoma" w:cs="Tahoma"/>
              <w:sz w:val="20"/>
              <w:highlight w:val="lightGray"/>
            </w:rPr>
            <w:t>pasirinkti</w:t>
          </w:r>
        </w:p>
      </w:docPartBody>
    </w:docPart>
    <w:docPart>
      <w:docPartPr>
        <w:name w:val="A794B80C5545458186B814E0256C9388"/>
        <w:category>
          <w:name w:val="General"/>
          <w:gallery w:val="placeholder"/>
        </w:category>
        <w:types>
          <w:type w:val="bbPlcHdr"/>
        </w:types>
        <w:behaviors>
          <w:behavior w:val="content"/>
        </w:behaviors>
        <w:guid w:val="{FD58261F-9280-42B2-9DB7-6686DC778D0E}"/>
      </w:docPartPr>
      <w:docPartBody>
        <w:p w:rsidR="00A13F92" w:rsidRDefault="00B77ED6" w:rsidP="00B77ED6">
          <w:pPr>
            <w:pStyle w:val="A794B80C5545458186B814E0256C9388"/>
          </w:pPr>
          <w:r w:rsidRPr="00905FC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A0F09"/>
    <w:rsid w:val="00270E10"/>
    <w:rsid w:val="002A2961"/>
    <w:rsid w:val="002B4253"/>
    <w:rsid w:val="00354338"/>
    <w:rsid w:val="00373985"/>
    <w:rsid w:val="00435FB7"/>
    <w:rsid w:val="004539FE"/>
    <w:rsid w:val="00466A53"/>
    <w:rsid w:val="004D7884"/>
    <w:rsid w:val="00502B87"/>
    <w:rsid w:val="00507B6E"/>
    <w:rsid w:val="00521469"/>
    <w:rsid w:val="00586112"/>
    <w:rsid w:val="005A151F"/>
    <w:rsid w:val="005E6E16"/>
    <w:rsid w:val="00660049"/>
    <w:rsid w:val="006C2D4B"/>
    <w:rsid w:val="006F6AFA"/>
    <w:rsid w:val="0070157B"/>
    <w:rsid w:val="00741FEB"/>
    <w:rsid w:val="00754C31"/>
    <w:rsid w:val="007B7A19"/>
    <w:rsid w:val="0080307B"/>
    <w:rsid w:val="00816888"/>
    <w:rsid w:val="00901270"/>
    <w:rsid w:val="00932F3A"/>
    <w:rsid w:val="009378CE"/>
    <w:rsid w:val="00951465"/>
    <w:rsid w:val="009D2E54"/>
    <w:rsid w:val="009E296A"/>
    <w:rsid w:val="00A068E1"/>
    <w:rsid w:val="00A06EA4"/>
    <w:rsid w:val="00A13F92"/>
    <w:rsid w:val="00A14241"/>
    <w:rsid w:val="00A23804"/>
    <w:rsid w:val="00A507F7"/>
    <w:rsid w:val="00B77ED6"/>
    <w:rsid w:val="00BE6E30"/>
    <w:rsid w:val="00C14A70"/>
    <w:rsid w:val="00C1513D"/>
    <w:rsid w:val="00C257CA"/>
    <w:rsid w:val="00C64829"/>
    <w:rsid w:val="00CA52EB"/>
    <w:rsid w:val="00CB7E92"/>
    <w:rsid w:val="00CC4CDE"/>
    <w:rsid w:val="00D47081"/>
    <w:rsid w:val="00DB5835"/>
    <w:rsid w:val="00E12B1C"/>
    <w:rsid w:val="00E27210"/>
    <w:rsid w:val="00E34D2A"/>
    <w:rsid w:val="00ED00CF"/>
    <w:rsid w:val="00EF134E"/>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C31"/>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C5F421EEA754F4E8B4FB82CAC2F306C">
    <w:name w:val="CC5F421EEA754F4E8B4FB82CAC2F306C"/>
    <w:rsid w:val="00B77ED6"/>
    <w:rPr>
      <w:lang w:val="lt-LT" w:eastAsia="lt-LT"/>
    </w:rPr>
  </w:style>
  <w:style w:type="paragraph" w:customStyle="1" w:styleId="A794B80C5545458186B814E0256C9388">
    <w:name w:val="A794B80C5545458186B814E0256C9388"/>
    <w:rsid w:val="00B77ED6"/>
    <w:rPr>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9692888B7BE04498B73A53CEAE69AB44">
    <w:name w:val="9692888B7BE04498B73A53CEAE69AB44"/>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eb82c-ce31-4553-8204-6e8d7d5c73e1" xsi:nil="true"/>
    <lcf76f155ced4ddcb4097134ff3c332f xmlns="f0b0b3c8-4d08-41cd-b1f1-67342adebb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91299C0D6DC4429BF205F49FF8FA1B" ma:contentTypeVersion="8" ma:contentTypeDescription="Kurkite naują dokumentą." ma:contentTypeScope="" ma:versionID="955d7aee3cc4246f892405f307b349f6">
  <xsd:schema xmlns:xsd="http://www.w3.org/2001/XMLSchema" xmlns:xs="http://www.w3.org/2001/XMLSchema" xmlns:p="http://schemas.microsoft.com/office/2006/metadata/properties" xmlns:ns2="f0b0b3c8-4d08-41cd-b1f1-67342adebb0d" xmlns:ns3="a7eeb82c-ce31-4553-8204-6e8d7d5c73e1" targetNamespace="http://schemas.microsoft.com/office/2006/metadata/properties" ma:root="true" ma:fieldsID="6f7fa20a964e21a6141e094743c5a50b" ns2:_="" ns3:_="">
    <xsd:import namespace="f0b0b3c8-4d08-41cd-b1f1-67342adebb0d"/>
    <xsd:import namespace="a7eeb82c-ce31-4553-8204-6e8d7d5c73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0b3c8-4d08-41cd-b1f1-67342adeb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82c-ce31-4553-8204-6e8d7d5c73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d6e782-29ff-4927-ae55-be0faf906277}" ma:internalName="TaxCatchAll" ma:showField="CatchAllData" ma:web="a7eeb82c-ce31-4553-8204-6e8d7d5c7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 ds:uri="a7eeb82c-ce31-4553-8204-6e8d7d5c73e1"/>
    <ds:schemaRef ds:uri="f0b0b3c8-4d08-41cd-b1f1-67342adebb0d"/>
  </ds:schemaRefs>
</ds:datastoreItem>
</file>

<file path=customXml/itemProps2.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3.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4.xml><?xml version="1.0" encoding="utf-8"?>
<ds:datastoreItem xmlns:ds="http://schemas.openxmlformats.org/officeDocument/2006/customXml" ds:itemID="{600C37CA-F0AC-49CF-AC0F-F53E72E1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0b3c8-4d08-41cd-b1f1-67342adebb0d"/>
    <ds:schemaRef ds:uri="a7eeb82c-ce31-4553-8204-6e8d7d5c7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Albert Narvoiš</cp:lastModifiedBy>
  <cp:revision>2</cp:revision>
  <cp:lastPrinted>2019-09-30T10:29:00Z</cp:lastPrinted>
  <dcterms:created xsi:type="dcterms:W3CDTF">2025-03-05T11:13:00Z</dcterms:created>
  <dcterms:modified xsi:type="dcterms:W3CDTF">2025-03-05T11:13:00Z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0x0101005791299C0D6DC4429BF205F49FF8FA1B</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2022-07-27T07:24:57Z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86812544-0ea6-4e8c-926d-83ab5a2cf738</vt:lpwstr>
  </property>
  <property fmtid="{D5CDD505-2E9C-101B-9397-08002B2CF9AE}" pid="18" name="MSIP_Label_32ae7b5d-0aac-474b-ae2b-02c331ef2874_ContentBits">
    <vt:lpwstr>0</vt:lpwstr>
  </property>
  <property fmtid="{D5CDD505-2E9C-101B-9397-08002B2CF9AE}" pid="19" name="MediaServiceImageTags">
    <vt:lpwstr/>
  </property>
</Properties>
</file>