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0" w:before="0" w:after="120"/>
        <w:contextualSpacing/>
        <w:jc w:val="center"/>
        <w:rPr>
          <w:rFonts w:ascii="Times New Roman" w:hAnsi="Times New Roman" w:cs="Times New Roman"/>
          <w:b/>
          <w:bCs/>
          <w:color w:val="00B050"/>
          <w:sz w:val="24"/>
          <w:szCs w:val="24"/>
        </w:rPr>
      </w:pPr>
      <w:r>
        <w:rPr>
          <w:rFonts w:cs="Times New Roman" w:ascii="Times New Roman" w:hAnsi="Times New Roman"/>
          <w:b/>
          <w:bCs/>
          <w:color w:val="00B050"/>
          <w:sz w:val="24"/>
          <w:szCs w:val="24"/>
        </w:rPr>
      </w:r>
    </w:p>
    <w:sdt>
      <w:sdtPr>
        <w:docPartObj>
          <w:docPartGallery w:val="Table of Contents"/>
          <w:docPartUnique w:val="true"/>
        </w:docPartObj>
      </w:sdtPr>
      <w:sdtContent>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b/>
              <w:bCs/>
              <w:sz w:val="24"/>
              <w:szCs w:val="24"/>
            </w:rPr>
            <w:t>HIGIENOS INSTITUTAS</w:t>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245"/>
            <w:contextualSpacing/>
            <w:rPr>
              <w:rFonts w:ascii="Times New Roman" w:hAnsi="Times New Roman" w:cs="Times New Roman"/>
              <w:sz w:val="24"/>
              <w:szCs w:val="24"/>
            </w:rPr>
          </w:pPr>
          <w:r>
            <w:rPr>
              <w:rFonts w:cs="Times New Roman" w:ascii="Times New Roman" w:hAnsi="Times New Roman"/>
              <w:sz w:val="24"/>
              <w:szCs w:val="24"/>
            </w:rPr>
            <w:t xml:space="preserve">PATVIRTINTA </w:t>
          </w:r>
        </w:p>
        <w:p>
          <w:pPr>
            <w:pStyle w:val="Normal"/>
            <w:spacing w:lineRule="auto" w:line="240" w:before="0" w:after="0"/>
            <w:ind w:left="5245"/>
            <w:contextualSpacing/>
            <w:rPr>
              <w:rFonts w:ascii="Times New Roman" w:hAnsi="Times New Roman" w:cs="Times New Roman"/>
              <w:sz w:val="24"/>
              <w:szCs w:val="24"/>
            </w:rPr>
          </w:pPr>
          <w:r>
            <w:rPr>
              <w:rFonts w:cs="Times New Roman" w:ascii="Times New Roman" w:hAnsi="Times New Roman"/>
              <w:sz w:val="24"/>
              <w:szCs w:val="24"/>
            </w:rPr>
            <w:t xml:space="preserve">Perkančiosios </w:t>
          </w:r>
          <w:r>
            <w:rPr>
              <w:rFonts w:cs="Times New Roman" w:ascii="Times New Roman" w:hAnsi="Times New Roman"/>
              <w:sz w:val="24"/>
              <w:szCs w:val="24"/>
              <w:shd w:fill="FFFFFF" w:val="clear"/>
            </w:rPr>
            <w:t>organizacijos Viešųjų pirkimų komisijos 2025-04-01 pro</w:t>
          </w:r>
          <w:r>
            <w:rPr>
              <w:rFonts w:cs="Times New Roman" w:ascii="Times New Roman" w:hAnsi="Times New Roman"/>
              <w:sz w:val="24"/>
              <w:szCs w:val="24"/>
            </w:rPr>
            <w:t xml:space="preserve">tokolu </w:t>
          </w:r>
        </w:p>
        <w:p>
          <w:pPr>
            <w:pStyle w:val="Normal"/>
            <w:spacing w:lineRule="atLeast" w:line="2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0" w:before="0" w:after="12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center"/>
            <w:textAlignment w:val="baseline"/>
            <w:rPr>
              <w:rFonts w:ascii="Times New Roman" w:hAnsi="Times New Roman" w:cs="Times New Roman"/>
              <w:b/>
              <w:bCs/>
              <w:smallCaps/>
              <w:sz w:val="24"/>
              <w:szCs w:val="24"/>
            </w:rPr>
          </w:pPr>
          <w:r>
            <w:rPr>
              <w:rFonts w:cs="Times New Roman" w:ascii="Times New Roman" w:hAnsi="Times New Roman"/>
              <w:b/>
              <w:bCs/>
              <w:sz w:val="24"/>
              <w:szCs w:val="24"/>
            </w:rPr>
            <w:t>TARPTAUTINIO VIEŠOJO PIRKIMO „</w:t>
          </w:r>
          <w:r>
            <w:rPr>
              <w:rFonts w:cs="Times New Roman" w:ascii="Times New Roman" w:hAnsi="Times New Roman"/>
              <w:b/>
              <w:bCs/>
              <w:smallCaps/>
              <w:sz w:val="28"/>
              <w:szCs w:val="28"/>
            </w:rPr>
            <w:t xml:space="preserve">Mokymo programos/medžiagos parengimo nuotoliniam mokymuisi virtualioje mokymosi aplinkoje </w:t>
          </w:r>
          <w:r>
            <w:rPr>
              <w:rStyle w:val="Strong"/>
              <w:rFonts w:cs="Times New Roman" w:ascii="Times New Roman" w:hAnsi="Times New Roman"/>
              <w:smallCaps/>
              <w:sz w:val="28"/>
              <w:szCs w:val="28"/>
            </w:rPr>
            <w:t>paslaugų pirkimas</w:t>
          </w:r>
          <w:r>
            <w:rPr>
              <w:rFonts w:cs="Times New Roman" w:ascii="Times New Roman" w:hAnsi="Times New Roman"/>
              <w:b/>
              <w:bCs/>
              <w:smallCaps/>
              <w:sz w:val="28"/>
              <w:szCs w:val="28"/>
            </w:rPr>
            <w:t>“</w:t>
          </w:r>
          <w:r>
            <w:rPr>
              <w:rFonts w:cs="Times New Roman" w:ascii="Times New Roman" w:hAnsi="Times New Roman"/>
              <w:b/>
              <w:bCs/>
              <w:smallCaps/>
              <w:sz w:val="24"/>
              <w:szCs w:val="24"/>
            </w:rPr>
            <w:t xml:space="preserve"> </w:t>
          </w:r>
        </w:p>
        <w:p>
          <w:pPr>
            <w:pStyle w:val="Normal"/>
            <w:spacing w:lineRule="auto" w:line="240" w:before="0" w:after="120"/>
            <w:contextualSpacing/>
            <w:jc w:val="center"/>
            <w:rPr>
              <w:rFonts w:ascii="Times New Roman" w:hAnsi="Times New Roman" w:cs="Times New Roman"/>
              <w:b/>
              <w:bCs/>
              <w:sz w:val="28"/>
              <w:szCs w:val="28"/>
              <w:lang w:val="en-GB"/>
            </w:rPr>
          </w:pPr>
          <w:r>
            <w:rPr>
              <w:rFonts w:cs="Times New Roman" w:ascii="Times New Roman" w:hAnsi="Times New Roman"/>
              <w:b/>
              <w:bCs/>
              <w:sz w:val="28"/>
              <w:szCs w:val="28"/>
            </w:rPr>
            <w:t xml:space="preserve">ATVIRO KONKURSO SPECIALIOSIOS SĄLYGOS </w:t>
          </w:r>
        </w:p>
        <w:p>
          <w:pPr>
            <w:pStyle w:val="Normal"/>
            <w:spacing w:lineRule="atLeast" w:line="20" w:before="0" w:after="120"/>
            <w:contextualSpacing/>
            <w:jc w:val="center"/>
            <w:rPr>
              <w:rFonts w:ascii="Times New Roman" w:hAnsi="Times New Roman" w:cs="Times New Roman"/>
              <w:b/>
              <w:bCs/>
              <w:color w:val="0070C0"/>
              <w:sz w:val="24"/>
              <w:szCs w:val="24"/>
            </w:rPr>
          </w:pPr>
          <w:r>
            <w:rPr>
              <w:rFonts w:cs="Times New Roman" w:ascii="Times New Roman" w:hAnsi="Times New Roman"/>
              <w:b/>
              <w:bCs/>
              <w:sz w:val="24"/>
              <w:szCs w:val="24"/>
            </w:rPr>
            <w:t>Versija Nr. 1</w:t>
          </w:r>
        </w:p>
        <w:p>
          <w:pPr>
            <w:pStyle w:val="Normal"/>
            <w:spacing w:lineRule="atLeast" w:line="20" w:before="0" w:after="120"/>
            <w:contextualSpacing/>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0" w:before="0" w:after="120"/>
            <w:contextualSpacing/>
            <w:rPr>
              <w:rFonts w:ascii="Times New Roman" w:hAnsi="Times New Roman" w:cs="Times New Roman"/>
            </w:rPr>
          </w:pPr>
          <w:r>
            <w:rPr>
              <w:rFonts w:cs="Times New Roman" w:ascii="Times New Roman" w:hAnsi="Times New Roman"/>
            </w:rPr>
          </w:r>
          <w:r>
            <w:br w:type="page"/>
          </w:r>
        </w:p>
        <w:p>
          <w:pPr>
            <w:pStyle w:val="TOCHeading"/>
            <w:spacing w:lineRule="atLeast" w:line="20" w:before="0" w:after="120"/>
            <w:ind w:hanging="432" w:left="432"/>
            <w:contextualSpacing/>
            <w:rPr>
              <w:rFonts w:ascii="Times New Roman" w:hAnsi="Times New Roman" w:cs="Times New Roman"/>
            </w:rPr>
          </w:pPr>
          <w:r>
            <w:rPr>
              <w:rFonts w:cs="Times New Roman" w:ascii="Times New Roman" w:hAnsi="Times New Roman"/>
            </w:rPr>
            <w:t>TURINYS</w:t>
          </w:r>
        </w:p>
        <w:p>
          <w:pPr>
            <w:pStyle w:val="TOC1"/>
            <w:tabs>
              <w:tab w:val="left" w:pos="142" w:leader="none"/>
              <w:tab w:val="left" w:pos="720" w:leader="none"/>
              <w:tab w:val="right" w:pos="9962" w:leader="dot"/>
            </w:tabs>
            <w:rPr>
              <w:kern w:val="2"/>
              <w:sz w:val="24"/>
              <w:szCs w:val="24"/>
              <w14:ligatures w14:val="standardContextual"/>
            </w:rPr>
          </w:pPr>
          <w:r>
            <w:fldChar w:fldCharType="begin"/>
          </w:r>
          <w:r>
            <w:rPr>
              <w:webHidden/>
              <w:rStyle w:val="IndexLink"/>
              <w:vanish w:val="false"/>
              <w:rFonts w:cs="Times New Roman" w:ascii="Times New Roman" w:hAnsi="Times New Roman"/>
            </w:rPr>
            <w:instrText xml:space="preserve"> TOC \z \o "1-3" \u \h</w:instrText>
          </w:r>
          <w:r>
            <w:rPr>
              <w:webHidden/>
              <w:rStyle w:val="IndexLink"/>
              <w:vanish w:val="false"/>
              <w:rFonts w:cs="Times New Roman" w:ascii="Times New Roman" w:hAnsi="Times New Roman"/>
            </w:rPr>
            <w:fldChar w:fldCharType="separate"/>
          </w:r>
          <w:hyperlink w:anchor="_Toc185177401">
            <w:r>
              <w:rPr>
                <w:webHidden/>
                <w:rStyle w:val="IndexLink"/>
                <w:rFonts w:cs="Times New Roman" w:ascii="Times New Roman" w:hAnsi="Times New Roman"/>
                <w:vanish w:val="false"/>
              </w:rPr>
              <w:t>1.</w:t>
            </w:r>
            <w:r>
              <w:rPr>
                <w:rStyle w:val="IndexLink"/>
                <w:kern w:val="2"/>
                <w:sz w:val="24"/>
                <w:szCs w:val="24"/>
                <w14:ligatures w14:val="standardContextual"/>
              </w:rPr>
              <w:tab/>
            </w:r>
            <w:r>
              <w:rPr>
                <w:rStyle w:val="IndexLink"/>
                <w:rFonts w:cs="Times New Roman" w:ascii="Times New Roman" w:hAnsi="Times New Roman"/>
              </w:rPr>
              <w:t>Bendra informacija</w:t>
            </w:r>
            <w:r>
              <w:rPr>
                <w:webHidden/>
              </w:rPr>
              <w:fldChar w:fldCharType="begin"/>
            </w:r>
            <w:r>
              <w:rPr>
                <w:webHidden/>
              </w:rPr>
              <w:instrText xml:space="preserve">PAGEREF _Toc185177401 \h</w:instrText>
            </w:r>
            <w:r>
              <w:rPr>
                <w:webHidden/>
              </w:rPr>
              <w:fldChar w:fldCharType="separate"/>
            </w:r>
            <w:r>
              <w:rPr>
                <w:rStyle w:val="IndexLink"/>
              </w:rPr>
              <w:tab/>
              <w:t>2</w:t>
            </w:r>
            <w:r>
              <w:rPr>
                <w:webHidden/>
              </w:rPr>
              <w:fldChar w:fldCharType="end"/>
            </w:r>
          </w:hyperlink>
        </w:p>
        <w:p>
          <w:pPr>
            <w:pStyle w:val="TOC1"/>
            <w:rPr>
              <w:kern w:val="2"/>
              <w:sz w:val="24"/>
              <w:szCs w:val="24"/>
              <w14:ligatures w14:val="standardContextual"/>
            </w:rPr>
          </w:pPr>
          <w:hyperlink w:anchor="_Toc185177402">
            <w:r>
              <w:rPr>
                <w:webHidden/>
                <w:rStyle w:val="IndexLink"/>
                <w:rFonts w:cs="Times New Roman" w:ascii="Times New Roman" w:hAnsi="Times New Roman"/>
                <w:vanish w:val="false"/>
              </w:rPr>
              <w:t>2. Pirkimo objektas</w:t>
            </w:r>
            <w:r>
              <w:rPr>
                <w:webHidden/>
              </w:rPr>
              <w:fldChar w:fldCharType="begin"/>
            </w:r>
            <w:r>
              <w:rPr>
                <w:webHidden/>
              </w:rPr>
              <w:instrText xml:space="preserve">PAGEREF _Toc185177402 \h</w:instrText>
            </w:r>
            <w:r>
              <w:rPr>
                <w:webHidden/>
              </w:rPr>
              <w:fldChar w:fldCharType="separate"/>
            </w:r>
            <w:r>
              <w:rPr>
                <w:rStyle w:val="IndexLink"/>
              </w:rPr>
              <w:tab/>
              <w:t>2</w:t>
            </w:r>
            <w:r>
              <w:rPr>
                <w:webHidden/>
              </w:rPr>
              <w:fldChar w:fldCharType="end"/>
            </w:r>
          </w:hyperlink>
        </w:p>
        <w:p>
          <w:pPr>
            <w:pStyle w:val="TOC1"/>
            <w:rPr>
              <w:kern w:val="2"/>
              <w:sz w:val="24"/>
              <w:szCs w:val="24"/>
              <w14:ligatures w14:val="standardContextual"/>
            </w:rPr>
          </w:pPr>
          <w:hyperlink w:anchor="_Toc185177403">
            <w:r>
              <w:rPr>
                <w:webHidden/>
                <w:rStyle w:val="IndexLink"/>
                <w:rFonts w:cs="Times New Roman" w:ascii="Times New Roman" w:hAnsi="Times New Roman"/>
                <w:vanish w:val="false"/>
              </w:rPr>
              <w:t>3. Susitikimai su tiekėjais ir objekto apžiūra</w:t>
            </w:r>
            <w:r>
              <w:rPr>
                <w:webHidden/>
              </w:rPr>
              <w:fldChar w:fldCharType="begin"/>
            </w:r>
            <w:r>
              <w:rPr>
                <w:webHidden/>
              </w:rPr>
              <w:instrText xml:space="preserve">PAGEREF _Toc185177403 \h</w:instrText>
            </w:r>
            <w:r>
              <w:rPr>
                <w:webHidden/>
              </w:rPr>
              <w:fldChar w:fldCharType="separate"/>
            </w:r>
            <w:r>
              <w:rPr>
                <w:rStyle w:val="IndexLink"/>
              </w:rPr>
              <w:tab/>
              <w:t>3</w:t>
            </w:r>
            <w:r>
              <w:rPr>
                <w:webHidden/>
              </w:rPr>
              <w:fldChar w:fldCharType="end"/>
            </w:r>
          </w:hyperlink>
        </w:p>
        <w:p>
          <w:pPr>
            <w:pStyle w:val="TOC1"/>
            <w:rPr>
              <w:kern w:val="2"/>
              <w:sz w:val="24"/>
              <w:szCs w:val="24"/>
              <w14:ligatures w14:val="standardContextual"/>
            </w:rPr>
          </w:pPr>
          <w:hyperlink w:anchor="_Toc185177404">
            <w:r>
              <w:rPr>
                <w:webHidden/>
                <w:rStyle w:val="IndexLink"/>
                <w:rFonts w:cs="Times New Roman" w:ascii="Times New Roman" w:hAnsi="Times New Roman"/>
                <w:vanish w:val="false"/>
              </w:rPr>
              <w:t>4. Tiekėjų pašalinimo pagrindai ir kvalifikacijos reikalavimai</w:t>
            </w:r>
            <w:r>
              <w:rPr>
                <w:webHidden/>
              </w:rPr>
              <w:fldChar w:fldCharType="begin"/>
            </w:r>
            <w:r>
              <w:rPr>
                <w:webHidden/>
              </w:rPr>
              <w:instrText xml:space="preserve">PAGEREF _Toc185177404 \h</w:instrText>
            </w:r>
            <w:r>
              <w:rPr>
                <w:webHidden/>
              </w:rPr>
              <w:fldChar w:fldCharType="separate"/>
            </w:r>
            <w:r>
              <w:rPr>
                <w:rStyle w:val="IndexLink"/>
              </w:rPr>
              <w:tab/>
              <w:t>3</w:t>
            </w:r>
            <w:r>
              <w:rPr>
                <w:webHidden/>
              </w:rPr>
              <w:fldChar w:fldCharType="end"/>
            </w:r>
          </w:hyperlink>
        </w:p>
        <w:p>
          <w:pPr>
            <w:pStyle w:val="TOC1"/>
            <w:rPr>
              <w:kern w:val="2"/>
              <w:sz w:val="24"/>
              <w:szCs w:val="24"/>
              <w14:ligatures w14:val="standardContextual"/>
            </w:rPr>
          </w:pPr>
          <w:hyperlink w:anchor="_Toc185177405">
            <w:r>
              <w:rPr>
                <w:webHidden/>
                <w:rStyle w:val="IndexLink"/>
                <w:rFonts w:cs="Times New Roman" w:ascii="Times New Roman" w:hAnsi="Times New Roman"/>
                <w:vanish w:val="false"/>
              </w:rPr>
              <w:t>5.Reikalavimai, susiję su nacionaliniu saugumu</w:t>
            </w:r>
            <w:r>
              <w:rPr>
                <w:webHidden/>
              </w:rPr>
              <w:fldChar w:fldCharType="begin"/>
            </w:r>
            <w:r>
              <w:rPr>
                <w:webHidden/>
              </w:rPr>
              <w:instrText xml:space="preserve">PAGEREF _Toc185177405 \h</w:instrText>
            </w:r>
            <w:r>
              <w:rPr>
                <w:webHidden/>
              </w:rPr>
              <w:fldChar w:fldCharType="separate"/>
            </w:r>
            <w:r>
              <w:rPr>
                <w:rStyle w:val="IndexLink"/>
              </w:rPr>
              <w:tab/>
              <w:t>4</w:t>
            </w:r>
            <w:r>
              <w:rPr>
                <w:webHidden/>
              </w:rPr>
              <w:fldChar w:fldCharType="end"/>
            </w:r>
          </w:hyperlink>
        </w:p>
        <w:p>
          <w:pPr>
            <w:pStyle w:val="TOC1"/>
            <w:rPr>
              <w:kern w:val="2"/>
              <w:sz w:val="24"/>
              <w:szCs w:val="24"/>
              <w14:ligatures w14:val="standardContextual"/>
            </w:rPr>
          </w:pPr>
          <w:hyperlink w:anchor="_Toc185177406">
            <w:r>
              <w:rPr>
                <w:webHidden/>
                <w:rStyle w:val="IndexLink"/>
                <w:rFonts w:cs="Times New Roman" w:ascii="Times New Roman" w:hAnsi="Times New Roman"/>
                <w:vanish w:val="false"/>
              </w:rPr>
              <w:t>6. Specialieji reikalavimai pasiūlymų rengimui ir pateikimui</w:t>
            </w:r>
            <w:r>
              <w:rPr>
                <w:webHidden/>
              </w:rPr>
              <w:fldChar w:fldCharType="begin"/>
            </w:r>
            <w:r>
              <w:rPr>
                <w:webHidden/>
              </w:rPr>
              <w:instrText xml:space="preserve">PAGEREF _Toc185177406 \h</w:instrText>
            </w:r>
            <w:r>
              <w:rPr>
                <w:webHidden/>
              </w:rPr>
              <w:fldChar w:fldCharType="separate"/>
            </w:r>
            <w:r>
              <w:rPr>
                <w:rStyle w:val="IndexLink"/>
              </w:rPr>
              <w:tab/>
              <w:t>5</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185177407">
            <w:r>
              <w:rPr>
                <w:webHidden/>
                <w:rStyle w:val="IndexLink"/>
                <w:rFonts w:eastAsia="Calibri" w:cs="Times New Roman" w:ascii="Times New Roman" w:hAnsi="Times New Roman"/>
                <w:vanish w:val="false"/>
              </w:rPr>
              <w:t>7.</w:t>
            </w:r>
            <w:r>
              <w:rPr>
                <w:rStyle w:val="IndexLink"/>
                <w:kern w:val="2"/>
                <w:sz w:val="24"/>
                <w:szCs w:val="24"/>
                <w14:ligatures w14:val="standardContextual"/>
              </w:rPr>
              <w:tab/>
            </w:r>
            <w:r>
              <w:rPr>
                <w:rStyle w:val="IndexLink"/>
                <w:rFonts w:cs="Times New Roman" w:ascii="Times New Roman" w:hAnsi="Times New Roman"/>
              </w:rPr>
              <w:t>Pasiūlymo galiojimo užtikrinimas</w:t>
            </w:r>
            <w:r>
              <w:rPr>
                <w:webHidden/>
              </w:rPr>
              <w:fldChar w:fldCharType="begin"/>
            </w:r>
            <w:r>
              <w:rPr>
                <w:webHidden/>
              </w:rPr>
              <w:instrText xml:space="preserve">PAGEREF _Toc185177407 \h</w:instrText>
            </w:r>
            <w:r>
              <w:rPr>
                <w:webHidden/>
              </w:rPr>
              <w:fldChar w:fldCharType="separate"/>
            </w:r>
            <w:r>
              <w:rPr>
                <w:rStyle w:val="IndexLink"/>
              </w:rPr>
              <w:tab/>
              <w:t>6</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185177408">
            <w:r>
              <w:rPr>
                <w:webHidden/>
                <w:rStyle w:val="IndexLink"/>
                <w:rFonts w:eastAsia="Calibri" w:cs="Times New Roman" w:ascii="Times New Roman" w:hAnsi="Times New Roman"/>
                <w:vanish w:val="false"/>
              </w:rPr>
              <w:t>8.</w:t>
            </w:r>
            <w:r>
              <w:rPr>
                <w:rStyle w:val="IndexLink"/>
                <w:kern w:val="2"/>
                <w:sz w:val="24"/>
                <w:szCs w:val="24"/>
                <w14:ligatures w14:val="standardContextual"/>
              </w:rPr>
              <w:tab/>
            </w:r>
            <w:r>
              <w:rPr>
                <w:rStyle w:val="IndexLink"/>
                <w:rFonts w:cs="Times New Roman" w:ascii="Times New Roman" w:hAnsi="Times New Roman"/>
              </w:rPr>
              <w:t>Elektroninis aukcionas</w:t>
            </w:r>
            <w:r>
              <w:rPr>
                <w:webHidden/>
              </w:rPr>
              <w:fldChar w:fldCharType="begin"/>
            </w:r>
            <w:r>
              <w:rPr>
                <w:webHidden/>
              </w:rPr>
              <w:instrText xml:space="preserve">PAGEREF _Toc185177408 \h</w:instrText>
            </w:r>
            <w:r>
              <w:rPr>
                <w:webHidden/>
              </w:rPr>
              <w:fldChar w:fldCharType="separate"/>
            </w:r>
            <w:r>
              <w:rPr>
                <w:rStyle w:val="IndexLink"/>
              </w:rPr>
              <w:tab/>
              <w:t>6</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185177409">
            <w:r>
              <w:rPr>
                <w:webHidden/>
                <w:rStyle w:val="IndexLink"/>
                <w:rFonts w:eastAsia="Calibri" w:cs="Times New Roman" w:ascii="Times New Roman" w:hAnsi="Times New Roman"/>
                <w:vanish w:val="false"/>
              </w:rPr>
              <w:t>9.</w:t>
            </w:r>
            <w:r>
              <w:rPr>
                <w:rStyle w:val="IndexLink"/>
                <w:kern w:val="2"/>
                <w:sz w:val="24"/>
                <w:szCs w:val="24"/>
                <w14:ligatures w14:val="standardContextual"/>
              </w:rPr>
              <w:tab/>
            </w:r>
            <w:r>
              <w:rPr>
                <w:rStyle w:val="IndexLink"/>
                <w:rFonts w:cs="Times New Roman" w:ascii="Times New Roman" w:hAnsi="Times New Roman"/>
              </w:rPr>
              <w:t>Pasiūlymų vertinimas</w:t>
            </w:r>
            <w:r>
              <w:rPr>
                <w:webHidden/>
              </w:rPr>
              <w:fldChar w:fldCharType="begin"/>
            </w:r>
            <w:r>
              <w:rPr>
                <w:webHidden/>
              </w:rPr>
              <w:instrText xml:space="preserve">PAGEREF _Toc185177409 \h</w:instrText>
            </w:r>
            <w:r>
              <w:rPr>
                <w:webHidden/>
              </w:rPr>
              <w:fldChar w:fldCharType="separate"/>
            </w:r>
            <w:r>
              <w:rPr>
                <w:rStyle w:val="IndexLink"/>
              </w:rPr>
              <w:tab/>
              <w:t>6</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185177410">
            <w:r>
              <w:rPr>
                <w:webHidden/>
                <w:rStyle w:val="IndexLink"/>
                <w:rFonts w:cs="Times New Roman" w:ascii="Times New Roman" w:hAnsi="Times New Roman"/>
                <w:vanish w:val="false"/>
              </w:rPr>
              <w:t>10.</w:t>
            </w:r>
            <w:r>
              <w:rPr>
                <w:rStyle w:val="IndexLink"/>
                <w:kern w:val="2"/>
                <w:sz w:val="24"/>
                <w:szCs w:val="24"/>
                <w14:ligatures w14:val="standardContextual"/>
              </w:rPr>
              <w:tab/>
            </w:r>
            <w:r>
              <w:rPr>
                <w:rStyle w:val="IndexLink"/>
                <w:rFonts w:cs="Times New Roman" w:ascii="Times New Roman" w:hAnsi="Times New Roman"/>
              </w:rPr>
              <w:t>Sutarties sudarymas</w:t>
            </w:r>
            <w:r>
              <w:rPr>
                <w:webHidden/>
              </w:rPr>
              <w:fldChar w:fldCharType="begin"/>
            </w:r>
            <w:r>
              <w:rPr>
                <w:webHidden/>
              </w:rPr>
              <w:instrText xml:space="preserve">PAGEREF _Toc185177410 \h</w:instrText>
            </w:r>
            <w:r>
              <w:rPr>
                <w:webHidden/>
              </w:rPr>
              <w:fldChar w:fldCharType="separate"/>
            </w:r>
            <w:r>
              <w:rPr>
                <w:rStyle w:val="IndexLink"/>
              </w:rPr>
              <w:tab/>
              <w:t>6</w:t>
            </w:r>
            <w:r>
              <w:rPr>
                <w:webHidden/>
              </w:rPr>
              <w:fldChar w:fldCharType="end"/>
            </w:r>
          </w:hyperlink>
        </w:p>
        <w:p>
          <w:pPr>
            <w:pStyle w:val="TOC1"/>
            <w:tabs>
              <w:tab w:val="left" w:pos="142" w:leader="none"/>
              <w:tab w:val="left" w:pos="720" w:leader="none"/>
              <w:tab w:val="right" w:pos="9962" w:leader="dot"/>
            </w:tabs>
            <w:rPr>
              <w:kern w:val="2"/>
              <w:sz w:val="24"/>
              <w:szCs w:val="24"/>
              <w14:ligatures w14:val="standardContextual"/>
            </w:rPr>
          </w:pPr>
          <w:hyperlink w:anchor="_Toc185177411">
            <w:r>
              <w:rPr>
                <w:webHidden/>
                <w:rStyle w:val="IndexLink"/>
                <w:rFonts w:cs="Times New Roman" w:ascii="Times New Roman" w:hAnsi="Times New Roman"/>
                <w:vanish w:val="false"/>
              </w:rPr>
              <w:t>10.</w:t>
            </w:r>
            <w:r>
              <w:rPr>
                <w:rStyle w:val="IndexLink"/>
                <w:kern w:val="2"/>
                <w:sz w:val="24"/>
                <w:szCs w:val="24"/>
                <w14:ligatures w14:val="standardContextual"/>
              </w:rPr>
              <w:tab/>
            </w:r>
            <w:r>
              <w:rPr>
                <w:rStyle w:val="IndexLink"/>
                <w:rFonts w:cs="Times New Roman" w:ascii="Times New Roman" w:hAnsi="Times New Roman"/>
              </w:rPr>
              <w:t>Kitos sąlygos</w:t>
            </w:r>
            <w:r>
              <w:rPr>
                <w:webHidden/>
              </w:rPr>
              <w:fldChar w:fldCharType="begin"/>
            </w:r>
            <w:r>
              <w:rPr>
                <w:webHidden/>
              </w:rPr>
              <w:instrText xml:space="preserve">PAGEREF _Toc185177411 \h</w:instrText>
            </w:r>
            <w:r>
              <w:rPr>
                <w:webHidden/>
              </w:rPr>
              <w:fldChar w:fldCharType="separate"/>
            </w:r>
            <w:r>
              <w:rPr>
                <w:rStyle w:val="IndexLink"/>
              </w:rPr>
              <w:tab/>
              <w:t>6</w:t>
            </w:r>
            <w:r>
              <w:rPr>
                <w:webHidden/>
              </w:rPr>
              <w:fldChar w:fldCharType="end"/>
            </w:r>
          </w:hyperlink>
        </w:p>
        <w:p>
          <w:pPr>
            <w:pStyle w:val="TOC1"/>
            <w:rPr>
              <w:kern w:val="2"/>
              <w:sz w:val="24"/>
              <w:szCs w:val="24"/>
              <w14:ligatures w14:val="standardContextual"/>
            </w:rPr>
          </w:pPr>
          <w:hyperlink w:anchor="_Toc185177412">
            <w:r>
              <w:rPr>
                <w:webHidden/>
                <w:rStyle w:val="IndexLink"/>
                <w:rFonts w:cs="Times New Roman" w:ascii="Times New Roman" w:hAnsi="Times New Roman"/>
                <w:vanish w:val="false"/>
              </w:rPr>
              <w:t>Pirkimo sąlygų 1 priedas „Terminai“</w:t>
            </w:r>
            <w:r>
              <w:rPr>
                <w:webHidden/>
              </w:rPr>
              <w:fldChar w:fldCharType="begin"/>
            </w:r>
            <w:r>
              <w:rPr>
                <w:webHidden/>
              </w:rPr>
              <w:instrText xml:space="preserve">PAGEREF _Toc185177412 \h</w:instrText>
            </w:r>
            <w:r>
              <w:rPr>
                <w:webHidden/>
              </w:rPr>
              <w:fldChar w:fldCharType="separate"/>
            </w:r>
            <w:r>
              <w:rPr>
                <w:rStyle w:val="IndexLink"/>
              </w:rPr>
              <w:tab/>
              <w:t>22</w:t>
            </w:r>
            <w:r>
              <w:rPr>
                <w:webHidden/>
              </w:rPr>
              <w:fldChar w:fldCharType="end"/>
            </w:r>
          </w:hyperlink>
        </w:p>
        <w:p>
          <w:pPr>
            <w:pStyle w:val="TOC2"/>
            <w:rPr>
              <w:kern w:val="2"/>
              <w:sz w:val="24"/>
              <w:szCs w:val="24"/>
              <w14:ligatures w14:val="standardContextual"/>
            </w:rPr>
          </w:pPr>
          <w:hyperlink w:anchor="_Toc185177413">
            <w:r>
              <w:rPr>
                <w:webHidden/>
                <w:rStyle w:val="IndexLink"/>
                <w:rFonts w:eastAsia="Calibri" w:cs="Times New Roman" w:ascii="Times New Roman" w:hAnsi="Times New Roman"/>
                <w:vanish w:val="false"/>
              </w:rPr>
              <w:t>Pirkimo sąlygų 2 priedas „Techninė specifikacija“</w:t>
            </w:r>
            <w:r>
              <w:rPr>
                <w:webHidden/>
              </w:rPr>
              <w:fldChar w:fldCharType="begin"/>
            </w:r>
            <w:r>
              <w:rPr>
                <w:webHidden/>
              </w:rPr>
              <w:instrText xml:space="preserve">PAGEREF _Toc185177413 \h</w:instrText>
            </w:r>
            <w:r>
              <w:rPr>
                <w:webHidden/>
              </w:rPr>
              <w:fldChar w:fldCharType="separate"/>
            </w:r>
            <w:r>
              <w:rPr>
                <w:rStyle w:val="IndexLink"/>
              </w:rPr>
              <w:tab/>
              <w:t>26</w:t>
            </w:r>
            <w:r>
              <w:rPr>
                <w:webHidden/>
              </w:rPr>
              <w:fldChar w:fldCharType="end"/>
            </w:r>
          </w:hyperlink>
        </w:p>
        <w:p>
          <w:pPr>
            <w:pStyle w:val="TOC2"/>
            <w:rPr>
              <w:kern w:val="2"/>
              <w:sz w:val="24"/>
              <w:szCs w:val="24"/>
              <w14:ligatures w14:val="standardContextual"/>
            </w:rPr>
          </w:pPr>
          <w:hyperlink w:anchor="_Toc185177414">
            <w:r>
              <w:rPr>
                <w:webHidden/>
                <w:rStyle w:val="IndexLink"/>
                <w:rFonts w:eastAsia="Calibri" w:cs="Times New Roman" w:ascii="Times New Roman" w:hAnsi="Times New Roman"/>
                <w:vanish w:val="false"/>
              </w:rPr>
              <w:t>Pirkimo sąlygų 3 priedas „Tiekėjų pašalinimo pagrindai“</w:t>
            </w:r>
            <w:r>
              <w:rPr>
                <w:webHidden/>
              </w:rPr>
              <w:fldChar w:fldCharType="begin"/>
            </w:r>
            <w:r>
              <w:rPr>
                <w:webHidden/>
              </w:rPr>
              <w:instrText xml:space="preserve">PAGEREF _Toc185177414 \h</w:instrText>
            </w:r>
            <w:r>
              <w:rPr>
                <w:webHidden/>
              </w:rPr>
              <w:fldChar w:fldCharType="separate"/>
            </w:r>
            <w:r>
              <w:rPr>
                <w:rStyle w:val="IndexLink"/>
              </w:rPr>
              <w:tab/>
              <w:t>27</w:t>
            </w:r>
            <w:r>
              <w:rPr>
                <w:webHidden/>
              </w:rPr>
              <w:fldChar w:fldCharType="end"/>
            </w:r>
          </w:hyperlink>
        </w:p>
        <w:p>
          <w:pPr>
            <w:pStyle w:val="TOC2"/>
            <w:rPr>
              <w:kern w:val="2"/>
              <w:sz w:val="24"/>
              <w:szCs w:val="24"/>
              <w14:ligatures w14:val="standardContextual"/>
            </w:rPr>
          </w:pPr>
          <w:hyperlink w:anchor="_Toc185177415">
            <w:r>
              <w:rPr>
                <w:webHidden/>
                <w:rStyle w:val="IndexLink"/>
                <w:rFonts w:eastAsia="Calibri" w:cs="Times New Roman" w:ascii="Times New Roman" w:hAnsi="Times New Roman"/>
                <w:vanish w:val="false"/>
              </w:rPr>
              <w:t>Pirkimo sąlygų 4 priedas „Tiekėjų kvalifikacijos reikalavimai ir reikalaujami kokybės bei aplinkos apsaugos vadybos sistemų standartai“</w:t>
            </w:r>
            <w:r>
              <w:rPr>
                <w:webHidden/>
              </w:rPr>
              <w:fldChar w:fldCharType="begin"/>
            </w:r>
            <w:r>
              <w:rPr>
                <w:webHidden/>
              </w:rPr>
              <w:instrText xml:space="preserve">PAGEREF _Toc185177415 \h</w:instrText>
            </w:r>
            <w:r>
              <w:rPr>
                <w:webHidden/>
              </w:rPr>
              <w:fldChar w:fldCharType="separate"/>
            </w:r>
            <w:r>
              <w:rPr>
                <w:rStyle w:val="IndexLink"/>
              </w:rPr>
              <w:tab/>
              <w:t>39</w:t>
            </w:r>
            <w:r>
              <w:rPr>
                <w:webHidden/>
              </w:rPr>
              <w:fldChar w:fldCharType="end"/>
            </w:r>
          </w:hyperlink>
        </w:p>
        <w:p>
          <w:pPr>
            <w:pStyle w:val="TOC2"/>
            <w:rPr>
              <w:kern w:val="2"/>
              <w:sz w:val="24"/>
              <w:szCs w:val="24"/>
              <w14:ligatures w14:val="standardContextual"/>
            </w:rPr>
          </w:pPr>
          <w:hyperlink w:anchor="_Toc185177416">
            <w:r>
              <w:rPr>
                <w:webHidden/>
                <w:rStyle w:val="IndexLink"/>
                <w:rFonts w:eastAsia="Calibri" w:cs="Times New Roman" w:ascii="Times New Roman" w:hAnsi="Times New Roman"/>
                <w:vanish w:val="false"/>
              </w:rPr>
              <w:t>Pirkimo sąlygų 5 priedas „EBVPD“</w:t>
            </w:r>
            <w:r>
              <w:rPr>
                <w:webHidden/>
              </w:rPr>
              <w:fldChar w:fldCharType="begin"/>
            </w:r>
            <w:r>
              <w:rPr>
                <w:webHidden/>
              </w:rPr>
              <w:instrText xml:space="preserve">PAGEREF _Toc185177416 \h</w:instrText>
            </w:r>
            <w:r>
              <w:rPr>
                <w:webHidden/>
              </w:rPr>
              <w:fldChar w:fldCharType="separate"/>
            </w:r>
            <w:r>
              <w:rPr>
                <w:rStyle w:val="IndexLink"/>
              </w:rPr>
              <w:tab/>
              <w:t>42</w:t>
            </w:r>
            <w:r>
              <w:rPr>
                <w:webHidden/>
              </w:rPr>
              <w:fldChar w:fldCharType="end"/>
            </w:r>
          </w:hyperlink>
        </w:p>
        <w:p>
          <w:pPr>
            <w:pStyle w:val="TOC2"/>
            <w:rPr>
              <w:kern w:val="2"/>
              <w:sz w:val="24"/>
              <w:szCs w:val="24"/>
              <w14:ligatures w14:val="standardContextual"/>
            </w:rPr>
          </w:pPr>
          <w:hyperlink w:anchor="_Toc185177417">
            <w:r>
              <w:rPr>
                <w:webHidden/>
                <w:rStyle w:val="IndexLink"/>
                <w:rFonts w:eastAsia="Calibri" w:cs="Times New Roman" w:ascii="Times New Roman" w:hAnsi="Times New Roman"/>
                <w:vanish w:val="false"/>
              </w:rPr>
              <w:t>Pirkimo sąlygų 6 priedas „Pasiūlymo forma“</w:t>
            </w:r>
            <w:r>
              <w:rPr>
                <w:webHidden/>
              </w:rPr>
              <w:fldChar w:fldCharType="begin"/>
            </w:r>
            <w:r>
              <w:rPr>
                <w:webHidden/>
              </w:rPr>
              <w:instrText xml:space="preserve">PAGEREF _Toc185177417 \h</w:instrText>
            </w:r>
            <w:r>
              <w:rPr>
                <w:webHidden/>
              </w:rPr>
              <w:fldChar w:fldCharType="separate"/>
            </w:r>
            <w:r>
              <w:rPr>
                <w:rStyle w:val="IndexLink"/>
              </w:rPr>
              <w:tab/>
              <w:t>43</w:t>
            </w:r>
            <w:r>
              <w:rPr>
                <w:webHidden/>
              </w:rPr>
              <w:fldChar w:fldCharType="end"/>
            </w:r>
          </w:hyperlink>
        </w:p>
        <w:p>
          <w:pPr>
            <w:pStyle w:val="TOC2"/>
            <w:rPr>
              <w:kern w:val="2"/>
              <w:sz w:val="24"/>
              <w:szCs w:val="24"/>
              <w14:ligatures w14:val="standardContextual"/>
            </w:rPr>
          </w:pPr>
          <w:hyperlink w:anchor="_Toc185177418">
            <w:r>
              <w:rPr>
                <w:webHidden/>
                <w:rStyle w:val="IndexLink"/>
                <w:rFonts w:eastAsia="Calibri" w:cs="Times New Roman" w:ascii="Times New Roman" w:hAnsi="Times New Roman"/>
                <w:vanish w:val="false"/>
              </w:rPr>
              <w:t>Pirkimo sąlygų 7 priedas „Pasiūlymų vertinimo kriterijai ir sąlygos“</w:t>
            </w:r>
            <w:r>
              <w:rPr>
                <w:webHidden/>
              </w:rPr>
              <w:fldChar w:fldCharType="begin"/>
            </w:r>
            <w:r>
              <w:rPr>
                <w:webHidden/>
              </w:rPr>
              <w:instrText xml:space="preserve">PAGEREF _Toc185177418 \h</w:instrText>
            </w:r>
            <w:r>
              <w:rPr>
                <w:webHidden/>
              </w:rPr>
              <w:fldChar w:fldCharType="separate"/>
            </w:r>
            <w:r>
              <w:rPr>
                <w:rStyle w:val="IndexLink"/>
              </w:rPr>
              <w:tab/>
              <w:t>44</w:t>
            </w:r>
            <w:r>
              <w:rPr>
                <w:webHidden/>
              </w:rPr>
              <w:fldChar w:fldCharType="end"/>
            </w:r>
          </w:hyperlink>
        </w:p>
        <w:p>
          <w:pPr>
            <w:pStyle w:val="TOC2"/>
            <w:rPr>
              <w:kern w:val="2"/>
              <w:sz w:val="24"/>
              <w:szCs w:val="24"/>
              <w14:ligatures w14:val="standardContextual"/>
            </w:rPr>
          </w:pPr>
          <w:hyperlink w:anchor="_Toc185177419">
            <w:r>
              <w:rPr>
                <w:webHidden/>
                <w:rStyle w:val="IndexLink"/>
                <w:rFonts w:cs="Times New Roman" w:ascii="Times New Roman" w:hAnsi="Times New Roman"/>
                <w:vanish w:val="false"/>
              </w:rPr>
              <w:t>Pirkimo sąlygų 8 priedas „Sutarties projektas“</w:t>
            </w:r>
            <w:r>
              <w:rPr>
                <w:webHidden/>
              </w:rPr>
              <w:fldChar w:fldCharType="begin"/>
            </w:r>
            <w:r>
              <w:rPr>
                <w:webHidden/>
              </w:rPr>
              <w:instrText xml:space="preserve">PAGEREF _Toc185177419 \h</w:instrText>
            </w:r>
            <w:r>
              <w:rPr>
                <w:webHidden/>
              </w:rPr>
              <w:fldChar w:fldCharType="separate"/>
            </w:r>
            <w:r>
              <w:rPr>
                <w:rStyle w:val="IndexLink"/>
              </w:rPr>
              <w:tab/>
              <w:t>47</w:t>
            </w:r>
            <w:r>
              <w:rPr>
                <w:webHidden/>
              </w:rPr>
              <w:fldChar w:fldCharType="end"/>
            </w:r>
          </w:hyperlink>
        </w:p>
        <w:p>
          <w:pPr>
            <w:pStyle w:val="TOC2"/>
            <w:rPr>
              <w:kern w:val="2"/>
              <w:sz w:val="24"/>
              <w:szCs w:val="24"/>
              <w14:ligatures w14:val="standardContextual"/>
            </w:rPr>
          </w:pPr>
          <w:r>
            <w:rPr>
              <w:kern w:val="2"/>
              <w:sz w:val="24"/>
              <w:szCs w:val="24"/>
              <w14:ligatures w14:val="standardContextual"/>
            </w:rPr>
          </w:r>
        </w:p>
        <w:p>
          <w:pPr>
            <w:pStyle w:val="Normal"/>
            <w:spacing w:lineRule="atLeast" w:line="20" w:before="0" w:after="120"/>
            <w:contextualSpacing/>
            <w:rPr>
              <w:rFonts w:ascii="Times New Roman" w:hAnsi="Times New Roman" w:cs="Times New Roman"/>
            </w:rPr>
          </w:pPr>
          <w:r>
            <w:rPr>
              <w:rFonts w:cs="Times New Roman" w:ascii="Times New Roman" w:hAnsi="Times New Roman"/>
            </w:rPr>
          </w:r>
          <w:r>
            <w:rPr>
              <w:rFonts w:cs="Times New Roman" w:ascii="Times New Roman" w:hAnsi="Times New Roman"/>
            </w:rPr>
            <w:fldChar w:fldCharType="end"/>
          </w:r>
        </w:p>
      </w:sdtContent>
    </w:sdt>
    <w:p>
      <w:pPr>
        <w:pStyle w:val="Normal"/>
        <w:spacing w:lineRule="atLeast" w:line="20" w:before="0" w:after="120"/>
        <w:contextualSpacing/>
        <w:rPr>
          <w:rFonts w:ascii="Times New Roman" w:hAnsi="Times New Roman" w:cs="Times New Roman"/>
        </w:rPr>
      </w:pPr>
      <w:r>
        <w:rPr>
          <w:rFonts w:cs="Times New Roman" w:ascii="Times New Roman" w:hAnsi="Times New Roman"/>
        </w:rPr>
      </w:r>
      <w:r>
        <w:br w:type="page"/>
      </w:r>
    </w:p>
    <w:p>
      <w:pPr>
        <w:pStyle w:val="Heading1"/>
        <w:numPr>
          <w:ilvl w:val="0"/>
          <w:numId w:val="1"/>
        </w:numPr>
        <w:spacing w:lineRule="atLeast" w:line="20" w:before="0" w:after="120"/>
        <w:ind w:hanging="567" w:left="567"/>
        <w:contextualSpacing/>
        <w:rPr>
          <w:rFonts w:ascii="Times New Roman" w:hAnsi="Times New Roman" w:cs="Times New Roman"/>
        </w:rPr>
      </w:pPr>
      <w:bookmarkStart w:id="0" w:name="_Toc185177401"/>
      <w:bookmarkStart w:id="1" w:name="_Toc147739116"/>
      <w:bookmarkStart w:id="2" w:name="_Toc335201954"/>
      <w:bookmarkEnd w:id="1"/>
      <w:bookmarkEnd w:id="2"/>
      <w:r>
        <w:rPr>
          <w:rFonts w:cs="Times New Roman" w:ascii="Times New Roman" w:hAnsi="Times New Roman"/>
        </w:rPr>
        <w:t>Bendra informacija</w:t>
      </w:r>
      <w:bookmarkEnd w:id="0"/>
    </w:p>
    <w:p>
      <w:pPr>
        <w:pStyle w:val="ListParagraph"/>
        <w:numPr>
          <w:ilvl w:val="1"/>
          <w:numId w:val="1"/>
        </w:numPr>
        <w:spacing w:lineRule="auto" w:line="240" w:before="0" w:after="0"/>
        <w:ind w:firstLine="567" w:left="0"/>
        <w:contextualSpacing/>
        <w:jc w:val="both"/>
        <w:rPr>
          <w:rFonts w:ascii="Times New Roman" w:hAnsi="Times New Roman" w:eastAsia="Calibri" w:cs="Times New Roman"/>
          <w:sz w:val="24"/>
          <w:szCs w:val="24"/>
        </w:rPr>
      </w:pPr>
      <w:r>
        <w:rPr>
          <w:rFonts w:cs="Times New Roman" w:ascii="Times New Roman" w:hAnsi="Times New Roman"/>
          <w:sz w:val="24"/>
          <w:szCs w:val="24"/>
        </w:rPr>
        <w:t>Perkančioji organizacija – Higienos institutas</w:t>
      </w:r>
      <w:r>
        <w:rPr>
          <w:rFonts w:eastAsia="Calibri" w:cs="Times New Roman" w:ascii="Times New Roman" w:hAnsi="Times New Roman"/>
          <w:sz w:val="24"/>
          <w:szCs w:val="24"/>
        </w:rPr>
        <w:t xml:space="preserve">, juridinio asmens kodas 111958286, adresas Studentų g. 45A, Vilnius. </w:t>
      </w:r>
      <w:r>
        <w:rPr>
          <w:rFonts w:eastAsia="Calibri" w:cs="Times New Roman" w:ascii="Times New Roman" w:hAnsi="Times New Roman" w:eastAsiaTheme="minorHAnsi"/>
          <w:sz w:val="24"/>
          <w:szCs w:val="24"/>
          <w:lang w:eastAsia="en-US"/>
        </w:rPr>
        <w:t>Perkančioji organizacija nėra PVM mokėtoja</w:t>
      </w:r>
      <w:r>
        <w:rPr>
          <w:rFonts w:eastAsia="Calibri" w:cs="Times New Roman" w:ascii="Times New Roman" w:hAnsi="Times New Roman"/>
          <w:sz w:val="24"/>
          <w:szCs w:val="24"/>
        </w:rPr>
        <w:t>.</w:t>
      </w:r>
    </w:p>
    <w:p>
      <w:pPr>
        <w:pStyle w:val="ListParagraph"/>
        <w:spacing w:lineRule="auto" w:line="240" w:before="0" w:after="0"/>
        <w:ind w:firstLine="567" w:left="0"/>
        <w:contextualSpacing/>
        <w:jc w:val="both"/>
        <w:rPr>
          <w:rFonts w:ascii="Times New Roman" w:hAnsi="Times New Roman" w:eastAsia="Calibri" w:cs="Times New Roman"/>
          <w:sz w:val="24"/>
          <w:szCs w:val="24"/>
        </w:rPr>
      </w:pPr>
      <w:r>
        <w:rPr>
          <w:rFonts w:cs="Times New Roman" w:ascii="Times New Roman" w:hAnsi="Times New Roman"/>
          <w:color w:themeColor="text1" w:val="000000"/>
          <w:sz w:val="24"/>
          <w:szCs w:val="24"/>
        </w:rPr>
        <w:t xml:space="preserve">1.2. Pirkimas neatliekamas naudojantis centralizuotų pirkimų katalogu, nes </w:t>
      </w:r>
      <w:r>
        <w:rPr>
          <w:rFonts w:cs="Times New Roman" w:ascii="Times New Roman" w:hAnsi="Times New Roman"/>
          <w:sz w:val="24"/>
          <w:szCs w:val="24"/>
        </w:rPr>
        <w:t>kataloge nėra Perkančiosios poreikius atitinkančių paslaugų.</w:t>
      </w:r>
    </w:p>
    <w:p>
      <w:pPr>
        <w:pStyle w:val="Normal"/>
        <w:spacing w:lineRule="auto" w:line="240" w:before="0" w:after="0"/>
        <w:ind w:firstLine="567"/>
        <w:jc w:val="both"/>
        <w:rPr>
          <w:rFonts w:ascii="Times New Roman" w:hAnsi="Times New Roman" w:cs="Times New Roman"/>
          <w:color w:val="FF0000"/>
          <w:sz w:val="24"/>
          <w:szCs w:val="24"/>
        </w:rPr>
      </w:pPr>
      <w:r>
        <w:rPr>
          <w:rFonts w:cs="Times New Roman" w:ascii="Times New Roman" w:hAnsi="Times New Roman"/>
          <w:sz w:val="24"/>
          <w:szCs w:val="24"/>
        </w:rPr>
        <w:t xml:space="preserve">1.3.  </w:t>
      </w:r>
      <w:r>
        <w:rPr>
          <w:rFonts w:eastAsia="Times New Roman" w:cs="Times New Roman" w:ascii="Times New Roman" w:hAnsi="Times New Roman"/>
          <w:sz w:val="24"/>
          <w:szCs w:val="24"/>
        </w:rPr>
        <w:t>Perkančioji organizacija nerezervuoja teisės dalyvauti pirkime.</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1.4. Stebėtojai dalyvauti Komisijos posėdžiuose nėra kviečiami.</w:t>
      </w:r>
    </w:p>
    <w:p>
      <w:pPr>
        <w:pStyle w:val="Normal"/>
        <w:tabs>
          <w:tab w:val="clear" w:pos="1296"/>
          <w:tab w:val="left" w:pos="567" w:leader="none"/>
          <w:tab w:val="left" w:pos="993" w:leader="none"/>
          <w:tab w:val="left" w:pos="127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Atliekamas žaliasis pirkimas. Pirkimas vykdomas vadovaujantis Lietuvos Respublikos aplinkos ministro 2011 m. birželio 28 d. įsakymo Nr. D1-508 „</w:t>
      </w:r>
      <w:hyperlink r:id="rId2">
        <w:r>
          <w:rPr>
            <w:rStyle w:val="Hyperlink"/>
            <w:rFonts w:cs="Times New Roman" w:ascii="Times New Roman" w:hAnsi="Times New Roman"/>
            <w:color w:val="0070C0"/>
            <w:sz w:val="24"/>
            <w:szCs w:val="24"/>
            <w:u w:val="single"/>
          </w:rPr>
          <w:t>Dėl Aplinkos apsaugos kriterijų taikymo, vykdant žaliuosius pirkimus, tvarkos aprašo patvirtinimo</w:t>
        </w:r>
      </w:hyperlink>
      <w:r>
        <w:rPr>
          <w:rFonts w:cs="Times New Roman" w:ascii="Times New Roman" w:hAnsi="Times New Roman"/>
          <w:sz w:val="24"/>
          <w:szCs w:val="24"/>
        </w:rPr>
        <w:t>“  (toliau – Tvarkos aprašas) 4.4.3 ir 4.4.4.1 papunkčiais:</w:t>
      </w:r>
    </w:p>
    <w:p>
      <w:pPr>
        <w:pStyle w:val="ListParagraph"/>
        <w:numPr>
          <w:ilvl w:val="2"/>
          <w:numId w:val="10"/>
        </w:numPr>
        <w:tabs>
          <w:tab w:val="clear" w:pos="1296"/>
          <w:tab w:val="left" w:pos="1134" w:leader="none"/>
          <w:tab w:val="left" w:pos="1276" w:leader="none"/>
          <w:tab w:val="left" w:pos="1710"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pPr>
        <w:pStyle w:val="NoSpacing"/>
        <w:numPr>
          <w:ilvl w:val="2"/>
          <w:numId w:val="10"/>
        </w:numPr>
        <w:ind w:firstLine="568" w:left="0"/>
        <w:jc w:val="both"/>
        <w:rPr>
          <w:rFonts w:ascii="Times New Roman" w:hAnsi="Times New Roman"/>
          <w:sz w:val="24"/>
          <w:szCs w:val="24"/>
        </w:rPr>
      </w:pPr>
      <w:r>
        <w:rPr>
          <w:rFonts w:ascii="Times New Roman" w:hAnsi="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Pr>
          <w:rStyle w:val="FootnoteReference"/>
          <w:rFonts w:ascii="Times New Roman" w:hAnsi="Times New Roman"/>
          <w:sz w:val="24"/>
          <w:szCs w:val="24"/>
        </w:rPr>
        <w:footnoteReference w:id="2"/>
      </w:r>
      <w:r>
        <w:rPr>
          <w:rFonts w:ascii="Times New Roman" w:hAnsi="Times New Roman"/>
          <w:sz w:val="24"/>
          <w:szCs w:val="24"/>
        </w:rPr>
        <w:t>.</w:t>
      </w:r>
    </w:p>
    <w:p>
      <w:pPr>
        <w:pStyle w:val="ListParagraph"/>
        <w:numPr>
          <w:ilvl w:val="1"/>
          <w:numId w:val="5"/>
        </w:numPr>
        <w:tabs>
          <w:tab w:val="clear" w:pos="1296"/>
          <w:tab w:val="left" w:pos="993" w:leader="none"/>
        </w:tabs>
        <w:spacing w:lineRule="auto" w:line="240" w:before="0" w:after="0"/>
        <w:ind w:firstLine="540" w:left="0"/>
        <w:contextualSpacing/>
        <w:jc w:val="both"/>
        <w:rPr>
          <w:rFonts w:ascii="Times New Roman" w:hAnsi="Times New Roman" w:eastAsia="Arial" w:cs="Times New Roman"/>
          <w:sz w:val="24"/>
          <w:szCs w:val="24"/>
        </w:rPr>
      </w:pPr>
      <w:r>
        <w:rPr>
          <w:rFonts w:eastAsia="Arial" w:cs="Times New Roman" w:ascii="Times New Roman" w:hAnsi="Times New Roman"/>
          <w:sz w:val="24"/>
          <w:szCs w:val="24"/>
        </w:rPr>
        <w:t xml:space="preserve">Išankstinis skelbimas apie pirkimą nebuvo paskelbtas </w:t>
      </w:r>
    </w:p>
    <w:p>
      <w:pPr>
        <w:pStyle w:val="ListParagraph"/>
        <w:numPr>
          <w:ilvl w:val="1"/>
          <w:numId w:val="5"/>
        </w:numPr>
        <w:tabs>
          <w:tab w:val="clear" w:pos="1296"/>
          <w:tab w:val="left" w:pos="851" w:leader="none"/>
          <w:tab w:val="left" w:pos="993"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lang w:eastAsia="en-US"/>
        </w:rPr>
        <w:t>Pirkime</w:t>
      </w:r>
      <w:r>
        <w:rPr>
          <w:rFonts w:cs="Times New Roman" w:ascii="Times New Roman" w:hAnsi="Times New Roman"/>
          <w:sz w:val="24"/>
          <w:szCs w:val="24"/>
        </w:rPr>
        <w:t xml:space="preserve"> perkančioji organizacija</w:t>
      </w:r>
      <w:r>
        <w:rPr>
          <w:rFonts w:cs="Times New Roman" w:ascii="Times New Roman" w:hAnsi="Times New Roman"/>
          <w:sz w:val="24"/>
          <w:szCs w:val="24"/>
          <w:lang w:eastAsia="en-US"/>
        </w:rPr>
        <w:t xml:space="preserve"> nenumato skelbti pranešimo dėl savanoriško </w:t>
      </w:r>
      <w:r>
        <w:rPr>
          <w:rFonts w:cs="Times New Roman" w:ascii="Times New Roman" w:hAnsi="Times New Roman"/>
          <w:i/>
          <w:iCs/>
          <w:sz w:val="24"/>
          <w:szCs w:val="24"/>
          <w:lang w:eastAsia="en-US"/>
        </w:rPr>
        <w:t>ex ante</w:t>
      </w:r>
      <w:r>
        <w:rPr>
          <w:rFonts w:cs="Times New Roman" w:ascii="Times New Roman" w:hAnsi="Times New Roman"/>
          <w:sz w:val="24"/>
          <w:szCs w:val="24"/>
          <w:lang w:eastAsia="en-US"/>
        </w:rPr>
        <w:t xml:space="preserve"> skaidrumo.</w:t>
      </w:r>
    </w:p>
    <w:p>
      <w:pPr>
        <w:pStyle w:val="ListParagraph"/>
        <w:numPr>
          <w:ilvl w:val="1"/>
          <w:numId w:val="5"/>
        </w:numPr>
        <w:tabs>
          <w:tab w:val="clear" w:pos="1296"/>
          <w:tab w:val="left" w:pos="851" w:leader="none"/>
          <w:tab w:val="left" w:pos="993" w:leader="none"/>
        </w:tabs>
        <w:spacing w:lineRule="auto" w:line="240" w:before="0" w:after="0"/>
        <w:ind w:firstLine="567" w:left="0"/>
        <w:contextualSpacing/>
        <w:jc w:val="both"/>
        <w:rPr>
          <w:rFonts w:ascii="Times New Roman" w:hAnsi="Times New Roman" w:cs="Times New Roman"/>
          <w:color w:val="7030A0"/>
          <w:sz w:val="24"/>
          <w:szCs w:val="24"/>
        </w:rPr>
      </w:pPr>
      <w:r>
        <w:rPr>
          <w:rFonts w:cs="Times New Roman" w:ascii="Times New Roman" w:hAnsi="Times New Roman"/>
          <w:sz w:val="24"/>
          <w:szCs w:val="24"/>
        </w:rPr>
        <w:t xml:space="preserve">Pirkime neleidžiama pateikti alternatyvių pasiūlymų. </w:t>
      </w:r>
    </w:p>
    <w:p>
      <w:pPr>
        <w:pStyle w:val="ListParagraph"/>
        <w:numPr>
          <w:ilvl w:val="1"/>
          <w:numId w:val="5"/>
        </w:numPr>
        <w:tabs>
          <w:tab w:val="clear" w:pos="1296"/>
          <w:tab w:val="left" w:pos="851" w:leader="none"/>
          <w:tab w:val="left" w:pos="993" w:leader="none"/>
        </w:tabs>
        <w:spacing w:lineRule="auto" w:line="240" w:before="0" w:after="0"/>
        <w:ind w:firstLine="207" w:left="720"/>
        <w:contextualSpacing/>
        <w:jc w:val="both"/>
        <w:rPr>
          <w:rFonts w:ascii="Times New Roman" w:hAnsi="Times New Roman" w:cs="Times New Roman"/>
          <w:sz w:val="24"/>
          <w:szCs w:val="24"/>
        </w:rPr>
      </w:pPr>
      <w:r>
        <w:rPr>
          <w:rFonts w:cs="Times New Roman" w:ascii="Times New Roman" w:hAnsi="Times New Roman"/>
          <w:color w:val="7030A0"/>
          <w:sz w:val="24"/>
          <w:szCs w:val="24"/>
        </w:rPr>
        <w:t xml:space="preserve"> </w:t>
      </w:r>
      <w:r>
        <w:rPr>
          <w:rFonts w:eastAsia="Arial" w:cs="Times New Roman" w:ascii="Times New Roman" w:hAnsi="Times New Roman"/>
          <w:color w:val="333333"/>
          <w:sz w:val="24"/>
          <w:szCs w:val="24"/>
        </w:rPr>
        <w:t>Bendrosios pirkimo sąlygos yra neatskiriama šių pirkimo sąlygų dalis.</w:t>
      </w:r>
    </w:p>
    <w:p>
      <w:pPr>
        <w:pStyle w:val="Heading1"/>
        <w:spacing w:lineRule="atLeast" w:line="20" w:before="360" w:after="120"/>
        <w:contextualSpacing/>
        <w:rPr>
          <w:rFonts w:ascii="Times New Roman" w:hAnsi="Times New Roman" w:cs="Times New Roman"/>
        </w:rPr>
      </w:pPr>
      <w:bookmarkStart w:id="3" w:name="_Toc185177402"/>
      <w:bookmarkStart w:id="4" w:name="_Ref39426338"/>
      <w:bookmarkStart w:id="5" w:name="_Ref39426332"/>
      <w:bookmarkStart w:id="6" w:name="_Toc335201954_Copy_1"/>
      <w:bookmarkEnd w:id="6"/>
      <w:r>
        <w:rPr>
          <w:rFonts w:cs="Times New Roman" w:ascii="Times New Roman" w:hAnsi="Times New Roman"/>
        </w:rPr>
        <w:t>2. Pirkimo objektas</w:t>
      </w:r>
      <w:bookmarkEnd w:id="3"/>
      <w:bookmarkEnd w:id="4"/>
      <w:bookmarkEnd w:id="5"/>
    </w:p>
    <w:p>
      <w:pPr>
        <w:pStyle w:val="NoSpacing"/>
        <w:numPr>
          <w:ilvl w:val="1"/>
          <w:numId w:val="3"/>
        </w:numPr>
        <w:spacing w:before="0" w:after="120"/>
        <w:ind w:firstLine="709" w:left="0"/>
        <w:contextualSpacing/>
        <w:jc w:val="both"/>
        <w:rPr>
          <w:rFonts w:ascii="Times New Roman" w:hAnsi="Times New Roman" w:cs="Times New Roman"/>
          <w:color w:val="FF0000"/>
          <w:sz w:val="24"/>
          <w:szCs w:val="24"/>
        </w:rPr>
      </w:pPr>
      <w:r>
        <w:rPr>
          <w:rFonts w:eastAsia="Calibri" w:cs="Times New Roman" w:ascii="Times New Roman" w:hAnsi="Times New Roman"/>
          <w:sz w:val="24"/>
          <w:szCs w:val="24"/>
        </w:rPr>
        <w:t xml:space="preserve">Perkančioji organizacija, numato įsigyti Mokymo programos/medžiagos parengimo nuotoliniam mokymuisi virtualioje mokymosi aplinkoje „Moodle“ paslaugas. </w:t>
      </w:r>
      <w:r>
        <w:rPr>
          <w:rFonts w:cs="Times New Roman" w:ascii="Times New Roman" w:hAnsi="Times New Roman"/>
          <w:sz w:val="24"/>
          <w:szCs w:val="24"/>
        </w:rPr>
        <w:t>Reikalavimai pirkimo objektui nustatyti specialiųjų pirkimo sąlygų 2</w:t>
      </w:r>
      <w:r>
        <w:rPr>
          <w:rFonts w:cs="Times New Roman" w:ascii="Times New Roman" w:hAnsi="Times New Roman"/>
          <w:color w:val="00B050"/>
          <w:sz w:val="24"/>
          <w:szCs w:val="24"/>
        </w:rPr>
        <w:t xml:space="preserve"> </w:t>
      </w:r>
      <w:r>
        <w:rPr>
          <w:rFonts w:cs="Times New Roman" w:ascii="Times New Roman" w:hAnsi="Times New Roman"/>
          <w:sz w:val="24"/>
          <w:szCs w:val="24"/>
        </w:rPr>
        <w:t>priede.</w:t>
      </w:r>
    </w:p>
    <w:p>
      <w:pPr>
        <w:pStyle w:val="NoSpacing"/>
        <w:ind w:firstLine="709"/>
        <w:jc w:val="both"/>
        <w:rPr>
          <w:rFonts w:ascii="Times New Roman" w:hAnsi="Times New Roman" w:cs="Times New Roman"/>
          <w:sz w:val="24"/>
          <w:szCs w:val="24"/>
        </w:rPr>
      </w:pPr>
      <w:r>
        <w:rPr>
          <w:rFonts w:cs="Times New Roman" w:ascii="Times New Roman" w:hAnsi="Times New Roman"/>
          <w:sz w:val="24"/>
          <w:szCs w:val="24"/>
        </w:rPr>
        <w:t>2.2.Pirkimo objektas skaidomas į dalis:</w:t>
      </w:r>
    </w:p>
    <w:p>
      <w:pPr>
        <w:pStyle w:val="NoSpacing"/>
        <w:ind w:firstLine="709"/>
        <w:jc w:val="both"/>
        <w:rPr>
          <w:rFonts w:ascii="Times New Roman" w:hAnsi="Times New Roman" w:cs="Times New Roman"/>
          <w:sz w:val="24"/>
          <w:szCs w:val="24"/>
        </w:rPr>
      </w:pPr>
      <w:r>
        <w:rPr>
          <w:rFonts w:cs="Times New Roman" w:ascii="Times New Roman" w:hAnsi="Times New Roman"/>
          <w:sz w:val="24"/>
          <w:szCs w:val="24"/>
        </w:rPr>
        <w:t>I dalis – Nuotolinių mokymu tema „Užkrečiamųjų ligų valdymas skiepijamais ir pasitikėjimo skiepais didinimas“, parengimo paslaugos;</w:t>
      </w:r>
    </w:p>
    <w:p>
      <w:pPr>
        <w:pStyle w:val="NoSpacing"/>
        <w:ind w:firstLine="709"/>
        <w:jc w:val="both"/>
        <w:rPr>
          <w:rFonts w:ascii="Times New Roman" w:hAnsi="Times New Roman" w:cs="Times New Roman"/>
          <w:sz w:val="24"/>
          <w:szCs w:val="24"/>
        </w:rPr>
      </w:pPr>
      <w:r>
        <w:rPr>
          <w:rFonts w:cs="Times New Roman" w:ascii="Times New Roman" w:hAnsi="Times New Roman"/>
          <w:sz w:val="24"/>
          <w:szCs w:val="24"/>
        </w:rPr>
        <w:t>II dalis - Nuotolinių mokymu tema „Asmens sveikatos priežiūros paslaugų sauga: infekcijų kontrolės reikalavimai“, parengimo paslaugos</w:t>
      </w:r>
    </w:p>
    <w:p>
      <w:pPr>
        <w:pStyle w:val="NoSpacing"/>
        <w:ind w:firstLine="709"/>
        <w:jc w:val="both"/>
        <w:rPr>
          <w:rFonts w:ascii="Times New Roman" w:hAnsi="Times New Roman" w:cs="Times New Roman"/>
          <w:sz w:val="24"/>
          <w:szCs w:val="24"/>
        </w:rPr>
      </w:pPr>
      <w:r>
        <w:rPr>
          <w:rFonts w:cs="Times New Roman" w:ascii="Times New Roman" w:hAnsi="Times New Roman"/>
          <w:sz w:val="24"/>
          <w:szCs w:val="24"/>
        </w:rPr>
        <w:t xml:space="preserve">Pirkimo objekto apimtys ir dalykas, reikalavimai ir techninė specifikacija apibrėžti </w:t>
      </w:r>
      <w:bookmarkStart w:id="7" w:name="_Hlk91152632"/>
      <w:r>
        <w:rPr>
          <w:rFonts w:cs="Times New Roman" w:ascii="Times New Roman" w:hAnsi="Times New Roman"/>
          <w:sz w:val="24"/>
          <w:szCs w:val="24"/>
        </w:rPr>
        <w:t>pirkimo sąlygų 2 priede</w:t>
      </w:r>
      <w:bookmarkEnd w:id="7"/>
      <w:r>
        <w:rPr>
          <w:rFonts w:cs="Times New Roman" w:ascii="Times New Roman" w:hAnsi="Times New Roman"/>
          <w:sz w:val="24"/>
          <w:szCs w:val="24"/>
        </w:rPr>
        <w:t xml:space="preserve">. </w:t>
      </w:r>
    </w:p>
    <w:p>
      <w:pPr>
        <w:pStyle w:val="NoSpacing"/>
        <w:ind w:firstLine="709"/>
        <w:jc w:val="both"/>
        <w:rPr>
          <w:rFonts w:ascii="Times New Roman" w:hAnsi="Times New Roman" w:cs="Times New Roman"/>
          <w:sz w:val="24"/>
          <w:szCs w:val="24"/>
        </w:rPr>
      </w:pPr>
      <w:r>
        <w:rPr>
          <w:rFonts w:cs="Times New Roman" w:ascii="Times New Roman" w:hAnsi="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before="0" w:after="0"/>
        <w:ind w:firstLine="709" w:left="0"/>
        <w:contextualSpacing/>
        <w:jc w:val="both"/>
        <w:rPr>
          <w:rFonts w:ascii="Times New Roman" w:hAnsi="Times New Roman" w:cs="Times New Roman"/>
          <w:sz w:val="24"/>
          <w:szCs w:val="24"/>
        </w:rPr>
      </w:pPr>
      <w:r>
        <w:rPr>
          <w:rFonts w:cs="Times New Roman" w:ascii="Times New Roman" w:hAnsi="Times New Roman"/>
          <w:sz w:val="24"/>
          <w:szCs w:val="24"/>
        </w:rPr>
        <w:t xml:space="preserve">2.4. Jeigu apibūdinant pirkimo objektą techninėje specifikacijoje nurodytas standartas, </w:t>
      </w:r>
      <w:r>
        <w:rPr>
          <w:rFonts w:cs="Times New Roman"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imes New Roman" w:ascii="Times New Roman" w:hAnsi="Times New Roman"/>
          <w:sz w:val="24"/>
          <w:szCs w:val="24"/>
        </w:rPr>
        <w:t xml:space="preserve">turi būti laikoma, kad kiekviena tokia nuoroda yra pateikta su žodžiais „arba lygiavertis“. </w:t>
      </w:r>
    </w:p>
    <w:p>
      <w:pPr>
        <w:pStyle w:val="Heading1"/>
        <w:spacing w:lineRule="atLeast" w:line="20" w:before="360" w:after="120"/>
        <w:contextualSpacing/>
        <w:rPr>
          <w:rFonts w:ascii="Times New Roman" w:hAnsi="Times New Roman" w:cs="Times New Roman"/>
        </w:rPr>
      </w:pPr>
      <w:bookmarkStart w:id="8" w:name="_Toc185177403"/>
      <w:r>
        <w:rPr>
          <w:rFonts w:cs="Times New Roman" w:ascii="Times New Roman" w:hAnsi="Times New Roman"/>
        </w:rPr>
        <w:t xml:space="preserve">3. </w:t>
      </w:r>
      <w:bookmarkStart w:id="9" w:name="_Ref39740354"/>
      <w:bookmarkStart w:id="10" w:name="_Ref39427927"/>
      <w:bookmarkStart w:id="11" w:name="_Ref39427921"/>
      <w:r>
        <w:rPr>
          <w:rFonts w:cs="Times New Roman" w:ascii="Times New Roman" w:hAnsi="Times New Roman"/>
        </w:rPr>
        <w:t>Susitikimai su tiekėjais</w:t>
      </w:r>
      <w:bookmarkEnd w:id="10"/>
      <w:bookmarkEnd w:id="11"/>
      <w:r>
        <w:rPr>
          <w:rFonts w:cs="Times New Roman" w:ascii="Times New Roman" w:hAnsi="Times New Roman"/>
        </w:rPr>
        <w:t xml:space="preserve"> ir objekto apžiūra</w:t>
      </w:r>
      <w:bookmarkEnd w:id="8"/>
      <w:bookmarkEnd w:id="9"/>
    </w:p>
    <w:p>
      <w:pPr>
        <w:pStyle w:val="ListParagraph"/>
        <w:spacing w:before="0" w:after="0"/>
        <w:ind w:firstLine="567" w:left="0"/>
        <w:contextualSpacing/>
        <w:jc w:val="both"/>
        <w:rPr>
          <w:rFonts w:ascii="Times New Roman" w:hAnsi="Times New Roman" w:cs="Times New Roman"/>
          <w:sz w:val="24"/>
          <w:szCs w:val="24"/>
        </w:rPr>
      </w:pPr>
      <w:r>
        <w:rPr>
          <w:rFonts w:cs="Times New Roman" w:ascii="Times New Roman" w:hAnsi="Times New Roman"/>
          <w:iCs/>
          <w:sz w:val="24"/>
          <w:szCs w:val="24"/>
        </w:rPr>
        <w:t>3.1.</w:t>
      </w:r>
      <w:r>
        <w:rPr>
          <w:rFonts w:cs="Times New Roman" w:ascii="Times New Roman" w:hAnsi="Times New Roman"/>
          <w:i/>
          <w:color w:val="FF0000"/>
          <w:sz w:val="24"/>
          <w:szCs w:val="24"/>
        </w:rPr>
        <w:t xml:space="preserve"> </w:t>
      </w:r>
      <w:r>
        <w:rPr>
          <w:rFonts w:cs="Times New Roman" w:ascii="Times New Roman" w:hAnsi="Times New Roman"/>
          <w:sz w:val="24"/>
          <w:szCs w:val="24"/>
        </w:rPr>
        <w:t>Perkančioji organizacija nerengs susitikimo su tiekėjais dėl pirkimo sąlygų paaiškinimo.</w:t>
      </w:r>
    </w:p>
    <w:p>
      <w:pPr>
        <w:pStyle w:val="ListParagraph"/>
        <w:spacing w:lineRule="auto" w:line="240" w:before="0" w:after="0"/>
        <w:ind w:left="567"/>
        <w:contextualSpacing/>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3.2. P</w:t>
      </w:r>
      <w:r>
        <w:rPr>
          <w:rFonts w:cs="Times New Roman" w:ascii="Times New Roman" w:hAnsi="Times New Roman"/>
          <w:sz w:val="24"/>
          <w:szCs w:val="24"/>
        </w:rPr>
        <w:t>erkančioji organizacija nerengs objekto apžiūros.</w:t>
      </w:r>
    </w:p>
    <w:p>
      <w:pPr>
        <w:pStyle w:val="Heading1"/>
        <w:spacing w:lineRule="atLeast" w:line="20" w:before="360" w:after="120"/>
        <w:contextualSpacing/>
        <w:rPr>
          <w:rFonts w:ascii="Times New Roman" w:hAnsi="Times New Roman" w:cs="Times New Roman"/>
        </w:rPr>
      </w:pPr>
      <w:bookmarkStart w:id="12" w:name="_Toc185177404"/>
      <w:bookmarkStart w:id="13" w:name="_Ref39474188"/>
      <w:bookmarkStart w:id="14" w:name="_Ref39473761"/>
      <w:bookmarkStart w:id="15" w:name="_Ref39473754"/>
      <w:r>
        <w:rPr>
          <w:rFonts w:cs="Times New Roman" w:ascii="Times New Roman" w:hAnsi="Times New Roman"/>
        </w:rPr>
        <w:t>4. Tiekėjų pašalinimo pagrindai</w:t>
      </w:r>
      <w:bookmarkEnd w:id="13"/>
      <w:bookmarkEnd w:id="14"/>
      <w:bookmarkEnd w:id="15"/>
      <w:r>
        <w:rPr>
          <w:rFonts w:cs="Times New Roman" w:ascii="Times New Roman" w:hAnsi="Times New Roman"/>
        </w:rPr>
        <w:t xml:space="preserve"> ir kvalifikacijos reikalavimai</w:t>
      </w:r>
      <w:bookmarkEnd w:id="12"/>
    </w:p>
    <w:p>
      <w:pPr>
        <w:pStyle w:val="ListParagraph"/>
        <w:spacing w:lineRule="atLeast" w:line="20" w:before="0" w:after="12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4.1. Reikalavimai dėl tiekėjo ir</w:t>
      </w:r>
      <w:bookmarkStart w:id="16" w:name="_Hlk41039660"/>
      <w:r>
        <w:rPr>
          <w:rFonts w:cs="Times New Roman" w:ascii="Times New Roman" w:hAnsi="Times New Roman"/>
          <w:sz w:val="24"/>
          <w:szCs w:val="24"/>
        </w:rPr>
        <w:t xml:space="preserve"> subtiekėjų (jei taikoma), ūkio subjektų, kurių pajėgumais tiekėjas remiasi, </w:t>
      </w:r>
      <w:bookmarkEnd w:id="16"/>
      <w:r>
        <w:rPr>
          <w:rFonts w:cs="Times New Roman" w:ascii="Times New Roman" w:hAnsi="Times New Roman"/>
          <w:sz w:val="24"/>
          <w:szCs w:val="24"/>
        </w:rPr>
        <w:t xml:space="preserve">pašalinimo pagrindų nebuvimo bei jų nebuvimą patvirtinantys dokumentai nurodyti specialiųjų </w:t>
      </w:r>
      <w:r>
        <w:rPr>
          <w:rFonts w:eastAsia="Calibri" w:cs="Times New Roman" w:ascii="Times New Roman" w:hAnsi="Times New Roman"/>
          <w:sz w:val="24"/>
          <w:szCs w:val="24"/>
        </w:rPr>
        <w:t xml:space="preserve">pirkimo sąlygų </w:t>
      </w:r>
      <w:r>
        <w:rPr>
          <w:rFonts w:cs="Times New Roman" w:ascii="Times New Roman" w:hAnsi="Times New Roman"/>
          <w:sz w:val="24"/>
          <w:szCs w:val="24"/>
        </w:rPr>
        <w:t>3</w:t>
      </w:r>
      <w:r>
        <w:rPr>
          <w:rFonts w:cs="Times New Roman" w:ascii="Times New Roman" w:hAnsi="Times New Roman"/>
          <w:color w:val="00B050"/>
          <w:sz w:val="24"/>
          <w:szCs w:val="24"/>
        </w:rPr>
        <w:t xml:space="preserve"> </w:t>
      </w:r>
      <w:r>
        <w:rPr>
          <w:rFonts w:eastAsia="Calibri" w:cs="Times New Roman" w:ascii="Times New Roman" w:hAnsi="Times New Roman"/>
          <w:sz w:val="24"/>
          <w:szCs w:val="24"/>
        </w:rPr>
        <w:t>priede</w:t>
      </w:r>
      <w:r>
        <w:rPr>
          <w:rFonts w:cs="Times New Roman" w:ascii="Times New Roman" w:hAnsi="Times New Roman"/>
          <w:sz w:val="24"/>
          <w:szCs w:val="24"/>
        </w:rPr>
        <w:t xml:space="preserve">. </w:t>
      </w:r>
    </w:p>
    <w:p>
      <w:pPr>
        <w:pStyle w:val="Heading1"/>
        <w:tabs>
          <w:tab w:val="clear" w:pos="1296"/>
          <w:tab w:val="left" w:pos="567" w:leader="none"/>
        </w:tabs>
        <w:spacing w:before="360" w:after="0"/>
        <w:contextualSpacing/>
        <w:jc w:val="both"/>
        <w:rPr>
          <w:rFonts w:ascii="Times New Roman" w:hAnsi="Times New Roman" w:cs="Times New Roman"/>
        </w:rPr>
      </w:pPr>
      <w:bookmarkStart w:id="17" w:name="_Toc185177405"/>
      <w:r>
        <w:rPr>
          <w:rFonts w:cs="Times New Roman" w:ascii="Times New Roman" w:hAnsi="Times New Roman"/>
        </w:rPr>
        <w:t>5.Reikalavimai, susiję su nacionaliniu saugumu</w:t>
      </w:r>
      <w:bookmarkEnd w:id="17"/>
      <w:r>
        <w:rPr>
          <w:rFonts w:cs="Times New Roman" w:ascii="Times New Roman" w:hAnsi="Times New Roman"/>
        </w:rPr>
        <w:t xml:space="preserve"> </w:t>
      </w:r>
    </w:p>
    <w:p>
      <w:pPr>
        <w:pStyle w:val="Normal"/>
        <w:spacing w:lineRule="auto" w:line="240" w:before="0" w:after="0"/>
        <w:ind w:firstLine="567"/>
        <w:jc w:val="both"/>
        <w:rPr>
          <w:rFonts w:ascii="Times New Roman" w:hAnsi="Times New Roman" w:cs="Times New Roman"/>
          <w:color w:themeColor="text1" w:val="000000"/>
          <w:sz w:val="24"/>
          <w:szCs w:val="24"/>
        </w:rPr>
      </w:pPr>
      <w:r>
        <w:rPr>
          <w:rFonts w:cs="Times New Roman" w:ascii="Times New Roman" w:hAnsi="Times New Roman"/>
          <w:color w:themeColor="text1" w:val="000000"/>
        </w:rPr>
        <w:t>5.1</w:t>
      </w:r>
      <w:r>
        <w:rPr>
          <w:rFonts w:cs="Times New Roman" w:ascii="Times New Roman" w:hAnsi="Times New Roman"/>
          <w:color w:themeColor="text1" w:val="000000"/>
          <w:sz w:val="24"/>
          <w:szCs w:val="24"/>
        </w:rPr>
        <w:t>. Pirkimui netaikomos Reglamento nuostatos.</w:t>
      </w:r>
    </w:p>
    <w:p>
      <w:pPr>
        <w:pStyle w:val="ListParagraph"/>
        <w:spacing w:lineRule="auto" w:line="240" w:before="0" w:after="0"/>
        <w:ind w:firstLine="567" w:left="0"/>
        <w:contextualSpacing/>
        <w:jc w:val="both"/>
        <w:rPr>
          <w:rFonts w:ascii="Times New Roman" w:hAnsi="Times New Roman" w:cs="Times New Roman"/>
        </w:rPr>
      </w:pPr>
      <w:r>
        <w:rPr>
          <w:rFonts w:cs="Times New Roman" w:ascii="Times New Roman" w:hAnsi="Times New Roman"/>
        </w:rPr>
      </w:r>
    </w:p>
    <w:p>
      <w:pPr>
        <w:pStyle w:val="Heading1"/>
        <w:spacing w:lineRule="atLeast" w:line="20" w:before="360" w:after="120"/>
        <w:contextualSpacing/>
        <w:rPr>
          <w:rFonts w:ascii="Times New Roman" w:hAnsi="Times New Roman" w:cs="Times New Roman"/>
        </w:rPr>
      </w:pPr>
      <w:bookmarkStart w:id="18" w:name="_Toc185177406"/>
      <w:bookmarkStart w:id="19" w:name="_Ref39666796"/>
      <w:bookmarkStart w:id="20" w:name="_Ref39666794"/>
      <w:r>
        <w:rPr>
          <w:rFonts w:cs="Times New Roman" w:ascii="Times New Roman" w:hAnsi="Times New Roman"/>
        </w:rPr>
        <w:t>6. Specialieji reikalavimai pasiūlymų rengimui ir pateikimui</w:t>
      </w:r>
      <w:bookmarkEnd w:id="18"/>
      <w:bookmarkEnd w:id="19"/>
      <w:bookmarkEnd w:id="20"/>
    </w:p>
    <w:p>
      <w:pPr>
        <w:pStyle w:val="Normal"/>
        <w:spacing w:lineRule="atLeast" w:line="20" w:before="0" w:after="0"/>
        <w:ind w:firstLine="567"/>
        <w:jc w:val="both"/>
        <w:rPr>
          <w:rFonts w:ascii="Times New Roman" w:hAnsi="Times New Roman" w:cs="Times New Roman"/>
          <w:i/>
          <w:i/>
          <w:iCs/>
          <w:color w:val="7030A0"/>
          <w:sz w:val="24"/>
          <w:szCs w:val="24"/>
        </w:rPr>
      </w:pPr>
      <w:r>
        <w:rPr>
          <w:rFonts w:cs="Times New Roman" w:ascii="Times New Roman" w:hAnsi="Times New Roman"/>
          <w:sz w:val="24"/>
          <w:szCs w:val="24"/>
        </w:rPr>
        <w:t>6.1. Tiekėjo pasiūlymą sudaro CVP IS pateikiamų ir žemiau nurodytų dokumentų visuma:</w:t>
      </w:r>
    </w:p>
    <w:p>
      <w:pPr>
        <w:pStyle w:val="ListParagraph"/>
        <w:numPr>
          <w:ilvl w:val="2"/>
          <w:numId w:val="6"/>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tiekėjo pasirašytas pasiūlymas, parengtas pagal specialiųjų pirkimo sąlygų </w:t>
      </w:r>
      <w:r>
        <w:rPr>
          <w:rFonts w:cs="Times New Roman" w:ascii="Times New Roman" w:hAnsi="Times New Roman"/>
          <w:sz w:val="24"/>
          <w:szCs w:val="24"/>
          <w:shd w:fill="FFFFFF" w:val="clear"/>
        </w:rPr>
        <w:t xml:space="preserve">6 </w:t>
      </w:r>
      <w:r>
        <w:rPr>
          <w:rFonts w:cs="Times New Roman" w:ascii="Times New Roman" w:hAnsi="Times New Roman"/>
          <w:sz w:val="24"/>
          <w:szCs w:val="24"/>
        </w:rPr>
        <w:t>priede pateiktą pasiūlymo formą.</w:t>
      </w:r>
    </w:p>
    <w:p>
      <w:pPr>
        <w:pStyle w:val="ListParagraph"/>
        <w:numPr>
          <w:ilvl w:val="2"/>
          <w:numId w:val="6"/>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užpildytas ir pasirašytas EBVPD</w:t>
      </w:r>
      <w:r>
        <w:rPr>
          <w:rStyle w:val="FootnoteReference"/>
          <w:rFonts w:cs="Times New Roman" w:ascii="Times New Roman" w:hAnsi="Times New Roman"/>
          <w:sz w:val="24"/>
          <w:szCs w:val="24"/>
        </w:rPr>
        <w:footnoteReference w:id="3"/>
      </w:r>
      <w:r>
        <w:rPr>
          <w:rFonts w:cs="Times New Roman" w:ascii="Times New Roman" w:hAnsi="Times New Roman"/>
          <w:sz w:val="24"/>
          <w:szCs w:val="24"/>
        </w:rPr>
        <w:t xml:space="preserve"> (specialiųjų pirkimo sąlygų 5</w:t>
      </w:r>
      <w:r>
        <w:rPr>
          <w:rFonts w:cs="Times New Roman" w:ascii="Times New Roman" w:hAnsi="Times New Roman"/>
          <w:color w:val="00B050"/>
          <w:sz w:val="24"/>
          <w:szCs w:val="24"/>
        </w:rPr>
        <w:t xml:space="preserve"> </w:t>
      </w:r>
      <w:r>
        <w:rPr>
          <w:rFonts w:cs="Times New Roman" w:ascii="Times New Roman" w:hAnsi="Times New Roman"/>
          <w:sz w:val="24"/>
          <w:szCs w:val="24"/>
        </w:rPr>
        <w:t>priedas).;</w:t>
      </w:r>
    </w:p>
    <w:p>
      <w:pPr>
        <w:pStyle w:val="ListParagraph"/>
        <w:numPr>
          <w:ilvl w:val="2"/>
          <w:numId w:val="6"/>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jungtinės veiklos sutarties kopija (jeigu pirkime dalyvauja ūkio subjektų grupė jungtinės veiklos sutarties pagrindu);</w:t>
      </w:r>
    </w:p>
    <w:p>
      <w:pPr>
        <w:pStyle w:val="ListParagraph"/>
        <w:numPr>
          <w:ilvl w:val="2"/>
          <w:numId w:val="6"/>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dokumentas, patvirtinantis, kad asmuo, kuris pasirašė pasiūlymą (jei jis ne tiekėjo vadovas), turėjo teisę jį pasirašyti;</w:t>
      </w:r>
    </w:p>
    <w:p>
      <w:pPr>
        <w:pStyle w:val="ListParagraph"/>
        <w:numPr>
          <w:ilvl w:val="2"/>
          <w:numId w:val="6"/>
        </w:numPr>
        <w:tabs>
          <w:tab w:val="clear" w:pos="1296"/>
          <w:tab w:val="left" w:pos="1276" w:leader="none"/>
        </w:tabs>
        <w:spacing w:lineRule="auto" w:line="240" w:before="0" w:after="0"/>
        <w:ind w:hanging="1431" w:left="2127"/>
        <w:contextualSpacing/>
        <w:jc w:val="both"/>
        <w:rPr>
          <w:rFonts w:ascii="Times New Roman" w:hAnsi="Times New Roman" w:cs="Times New Roman"/>
          <w:sz w:val="24"/>
          <w:szCs w:val="24"/>
          <w:u w:val="single"/>
        </w:rPr>
      </w:pPr>
      <w:r>
        <w:rPr>
          <w:rFonts w:cs="Times New Roman" w:ascii="Times New Roman" w:hAnsi="Times New Roman"/>
          <w:sz w:val="24"/>
          <w:szCs w:val="24"/>
        </w:rPr>
        <w:t>pasiūlymo galiojimą užtikrinantis dokumentas (jeigu reikalaujama);</w:t>
      </w:r>
    </w:p>
    <w:p>
      <w:pPr>
        <w:pStyle w:val="ListParagraph"/>
        <w:numPr>
          <w:ilvl w:val="2"/>
          <w:numId w:val="6"/>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jei tiekėjas pasitelkia ūkio subjektus, kurių pajėgumais remiasi, – įrodymai, kad šie ištekliai bus prieinami per visą sutartinių įsipareigojimų vykdymo laikotarpį;</w:t>
      </w:r>
    </w:p>
    <w:p>
      <w:pPr>
        <w:pStyle w:val="ListParagraph"/>
        <w:numPr>
          <w:ilvl w:val="2"/>
          <w:numId w:val="6"/>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 </w:t>
      </w:r>
      <w:r>
        <w:rPr>
          <w:rFonts w:cs="Times New Roman" w:ascii="Times New Roman" w:hAnsi="Times New Roman"/>
          <w:sz w:val="24"/>
          <w:szCs w:val="24"/>
        </w:rPr>
        <w:t>jei tiekėjas pasitelkia subtiekėjus, subtiekėjo deklaracija ar kitas dokumentas, patvirtinantis jo sutikimą būti subtiekėju pirkime;</w:t>
      </w:r>
    </w:p>
    <w:p>
      <w:pPr>
        <w:pStyle w:val="ListParagraph"/>
        <w:numPr>
          <w:ilvl w:val="2"/>
          <w:numId w:val="6"/>
        </w:numPr>
        <w:spacing w:lineRule="auto" w:line="240" w:before="0" w:after="0"/>
        <w:ind w:firstLine="709" w:left="0"/>
        <w:contextualSpacing/>
        <w:jc w:val="both"/>
        <w:rPr>
          <w:rFonts w:ascii="Times New Roman" w:hAnsi="Times New Roman" w:cs="Times New Roman"/>
          <w:sz w:val="24"/>
          <w:szCs w:val="24"/>
          <w:u w:val="single"/>
        </w:rPr>
      </w:pPr>
      <w:r>
        <w:rPr>
          <w:rFonts w:cs="Times New Roman" w:ascii="Times New Roman" w:hAnsi="Times New Roman"/>
          <w:sz w:val="24"/>
          <w:szCs w:val="24"/>
        </w:rPr>
        <w:t>dokumentai, patvirtinantys, kad ūkio subjektas, kurio pajėgumais tiekėjas remiasi, atsižvelgdamas į specialiųjų pirkimo sąlygų 4</w:t>
      </w:r>
      <w:r>
        <w:rPr>
          <w:rFonts w:cs="Times New Roman" w:ascii="Times New Roman" w:hAnsi="Times New Roman"/>
          <w:color w:val="00B050"/>
          <w:sz w:val="24"/>
          <w:szCs w:val="24"/>
        </w:rPr>
        <w:t xml:space="preserve"> </w:t>
      </w:r>
      <w:r>
        <w:rPr>
          <w:rFonts w:cs="Times New Roman" w:ascii="Times New Roman" w:hAnsi="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cs="Times New Roman" w:ascii="Times New Roman" w:hAnsi="Times New Roman"/>
          <w:i/>
          <w:iCs/>
          <w:color w:val="FF0000"/>
          <w:sz w:val="24"/>
          <w:szCs w:val="24"/>
        </w:rPr>
        <w:t xml:space="preserve"> </w:t>
      </w:r>
    </w:p>
    <w:p>
      <w:pPr>
        <w:pStyle w:val="ListParagraph"/>
        <w:numPr>
          <w:ilvl w:val="2"/>
          <w:numId w:val="6"/>
        </w:numPr>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deklaracijos dėl atitikties nacionalinio saugumo reikalavimams, susijusiems su Reglamento nuostatomis (8 priedas) ir </w:t>
      </w:r>
      <w:r>
        <w:rPr>
          <w:rFonts w:eastAsia="Times New Roman" w:cs="Times New Roman" w:ascii="Times New Roman" w:hAnsi="Times New Roman"/>
          <w:color w:themeColor="text1" w:val="000000"/>
          <w:sz w:val="24"/>
          <w:szCs w:val="24"/>
          <w:lang w:eastAsia="en-US"/>
        </w:rPr>
        <w:t>Viešųjų pirkimų tarnybos nustatytos formos atitikties deklaraciją</w:t>
      </w:r>
      <w:r>
        <w:rPr>
          <w:rFonts w:cs="Times New Roman" w:ascii="Times New Roman" w:hAnsi="Times New Roman"/>
          <w:sz w:val="24"/>
          <w:szCs w:val="24"/>
        </w:rPr>
        <w:t>;</w:t>
      </w:r>
    </w:p>
    <w:p>
      <w:pPr>
        <w:pStyle w:val="ListParagraph"/>
        <w:numPr>
          <w:ilvl w:val="2"/>
          <w:numId w:val="6"/>
        </w:numPr>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specialistų sąrašas, kuriame nurodoma: kokiai specialisto pozicijai yra siūlomas specialistas, kokiu pagrindu dirba (bendradarbiauja) kartu su Tiekėju (esama/ numatoma darbo sutartis ar subtiekimo susitarimas) (9 priedas);</w:t>
      </w:r>
    </w:p>
    <w:p>
      <w:pPr>
        <w:pStyle w:val="ListParagraph"/>
        <w:numPr>
          <w:ilvl w:val="2"/>
          <w:numId w:val="6"/>
        </w:numPr>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pažyma apie siūlomų  specialistų, kurių kvalifikacija bus vertinama, suteikiant ekonominio naudingumo balus, patirtį (11 priedas). </w:t>
      </w:r>
      <w:r>
        <w:rPr>
          <w:rFonts w:cs="Times New Roman" w:ascii="Times New Roman" w:hAnsi="Times New Roman"/>
          <w:b/>
          <w:sz w:val="24"/>
          <w:szCs w:val="24"/>
        </w:rPr>
        <w:t>Su pasiūlymu turi būti pateikti dokumentai dėl Specialisto minimalios patirties atitikties Viešojo pirkimo sąlygose nustatytiems reikalavimams ir papildomos patirties atitikties (jeigu siūlomas specialistas tokią patirtį turi ir už kurią suteikiami ekonominio naudingumo balai) kaip nurodyta Pirkimo sąlygų 7 priede;</w:t>
      </w:r>
    </w:p>
    <w:p>
      <w:pPr>
        <w:pStyle w:val="ListParagraph"/>
        <w:numPr>
          <w:ilvl w:val="2"/>
          <w:numId w:val="6"/>
        </w:numPr>
        <w:tabs>
          <w:tab w:val="clear" w:pos="1296"/>
          <w:tab w:val="left" w:pos="1560"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pPr>
        <w:pStyle w:val="Normal"/>
        <w:spacing w:lineRule="auto" w:line="240" w:before="0" w:after="0"/>
        <w:ind w:firstLine="709"/>
        <w:jc w:val="both"/>
        <w:rPr>
          <w:rFonts w:ascii="Times New Roman" w:hAnsi="Times New Roman" w:cs="Times New Roman"/>
          <w:sz w:val="24"/>
          <w:szCs w:val="24"/>
          <w:u w:val="single"/>
        </w:rPr>
      </w:pPr>
      <w:r>
        <w:rPr>
          <w:rFonts w:eastAsia="Calibri" w:cs="Times New Roman" w:ascii="Times New Roman" w:hAnsi="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cs="Times New Roman" w:ascii="Times New Roman" w:hAnsi="Times New Roman"/>
          <w:sz w:val="24"/>
          <w:szCs w:val="24"/>
        </w:rPr>
        <w:t>Perkančiajai organizacijai kilus abejonių dėl dokumentų tikrumo, ji turi teisę reikalauti pateikti dokumentų originalus.</w:t>
      </w:r>
      <w:r>
        <w:rPr>
          <w:rFonts w:eastAsia="Calibri" w:cs="Times New Roman" w:ascii="Times New Roman" w:hAnsi="Times New Roman"/>
          <w:sz w:val="24"/>
          <w:szCs w:val="24"/>
        </w:rPr>
        <w:t xml:space="preserve"> Gali būti:</w:t>
      </w:r>
    </w:p>
    <w:p>
      <w:pPr>
        <w:pStyle w:val="ListParagraph"/>
        <w:spacing w:lineRule="auto" w:line="240" w:before="0" w:after="0"/>
        <w:ind w:firstLine="851" w:left="0"/>
        <w:contextualSpacing/>
        <w:jc w:val="both"/>
        <w:rPr>
          <w:rFonts w:ascii="Times New Roman" w:hAnsi="Times New Roman" w:cs="Times New Roman"/>
          <w:bCs/>
          <w:iCs/>
          <w:sz w:val="24"/>
          <w:szCs w:val="24"/>
          <w:u w:val="single"/>
        </w:rPr>
      </w:pPr>
      <w:r>
        <w:rPr>
          <w:rFonts w:eastAsia="Calibri" w:cs="Times New Roman" w:ascii="Times New Roman" w:hAnsi="Times New Roman"/>
          <w:bCs/>
          <w:iCs/>
          <w:sz w:val="24"/>
          <w:szCs w:val="24"/>
        </w:rPr>
        <w:t>6.2.1 pateikiami kvalifikuotu elektroniniu parašu pasirašyti elektroninėmis priemonėmis suformuoti dokumentai;</w:t>
      </w:r>
    </w:p>
    <w:p>
      <w:pPr>
        <w:pStyle w:val="ListParagraph"/>
        <w:numPr>
          <w:ilvl w:val="2"/>
          <w:numId w:val="8"/>
        </w:numPr>
        <w:tabs>
          <w:tab w:val="clear" w:pos="1296"/>
          <w:tab w:val="left" w:pos="1418" w:leader="none"/>
        </w:tabs>
        <w:spacing w:lineRule="auto" w:line="240" w:before="0" w:after="0"/>
        <w:ind w:firstLine="851" w:left="0"/>
        <w:contextualSpacing/>
        <w:jc w:val="both"/>
        <w:rPr>
          <w:rFonts w:ascii="Times New Roman" w:hAnsi="Times New Roman" w:cs="Times New Roman"/>
          <w:bCs/>
          <w:iCs/>
          <w:sz w:val="24"/>
          <w:szCs w:val="24"/>
        </w:rPr>
      </w:pPr>
      <w:r>
        <w:rPr>
          <w:rFonts w:eastAsia="Calibri" w:cs="Times New Roman" w:ascii="Times New Roman" w:hAnsi="Times New Roman"/>
          <w:bCs/>
          <w:iCs/>
          <w:sz w:val="24"/>
          <w:szCs w:val="24"/>
        </w:rPr>
        <w:t>skaitmeninės dokumentų kopijos (</w:t>
      </w:r>
      <w:r>
        <w:rPr>
          <w:rFonts w:eastAsia="Calibri" w:cs="Times New Roman" w:ascii="Times New Roman" w:hAnsi="Times New Roman"/>
          <w:iCs/>
          <w:sz w:val="24"/>
          <w:szCs w:val="24"/>
        </w:rPr>
        <w:t>fiziniu parašu tvirtinami dokumentai turi būti pateikiami pasirašyti ir nuskenuoti)</w:t>
      </w:r>
      <w:r>
        <w:rPr>
          <w:rFonts w:eastAsia="Calibri" w:cs="Times New Roman" w:ascii="Times New Roman" w:hAnsi="Times New Roman"/>
          <w:bCs/>
          <w:iCs/>
          <w:sz w:val="24"/>
          <w:szCs w:val="24"/>
        </w:rPr>
        <w:t>.</w:t>
      </w:r>
    </w:p>
    <w:p>
      <w:pPr>
        <w:pStyle w:val="ListParagraph"/>
        <w:numPr>
          <w:ilvl w:val="1"/>
          <w:numId w:val="7"/>
        </w:numPr>
        <w:spacing w:lineRule="auto" w:line="240"/>
        <w:ind w:firstLine="709" w:left="0"/>
        <w:jc w:val="both"/>
        <w:rPr>
          <w:rFonts w:ascii="Times New Roman" w:hAnsi="Times New Roman" w:cs="Times New Roman"/>
          <w:sz w:val="24"/>
          <w:szCs w:val="24"/>
        </w:rPr>
      </w:pPr>
      <w:r>
        <w:rPr>
          <w:rFonts w:cs="Times New Roman" w:ascii="Times New Roman" w:hAnsi="Times New Roman"/>
          <w:sz w:val="24"/>
          <w:szCs w:val="24"/>
        </w:rPr>
        <w:t>Pasiūlymas turi būti parengtas lietuvių kalba</w:t>
      </w:r>
      <w:r>
        <w:rPr>
          <w:rFonts w:cs="Times New Roman" w:ascii="Times New Roman" w:hAnsi="Times New Roman"/>
          <w:color w:val="00B050"/>
          <w:sz w:val="24"/>
          <w:szCs w:val="24"/>
        </w:rPr>
        <w:t xml:space="preserve">. </w:t>
      </w:r>
      <w:r>
        <w:rPr>
          <w:rFonts w:eastAsia="Arial" w:cs="Times New Roman" w:ascii="Times New Roman" w:hAnsi="Times New Roman"/>
          <w:sz w:val="24"/>
          <w:szCs w:val="24"/>
        </w:rPr>
        <w:t xml:space="preserve">Jei kurie nors su pasiūlymu teikiami dokumentai parengti ne ta kalba, kuria reikalaujama, turi būti pateiktas tikslus vertimas į reikalaujamą kalbą. </w:t>
      </w:r>
      <w:r>
        <w:rPr>
          <w:rFonts w:cs="Times New Roman" w:ascii="Times New Roman" w:hAnsi="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pPr>
        <w:pStyle w:val="ListParagraph"/>
        <w:numPr>
          <w:ilvl w:val="1"/>
          <w:numId w:val="7"/>
        </w:numPr>
        <w:spacing w:lineRule="auto" w:line="240"/>
        <w:ind w:firstLine="710" w:left="0"/>
        <w:jc w:val="both"/>
        <w:rPr>
          <w:rFonts w:ascii="Times New Roman" w:hAnsi="Times New Roman" w:cs="Times New Roman"/>
          <w:sz w:val="24"/>
          <w:szCs w:val="24"/>
        </w:rPr>
      </w:pPr>
      <w:r>
        <w:rPr>
          <w:rFonts w:eastAsia="Arial" w:cs="Times New Roman" w:ascii="Times New Roman" w:hAnsi="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pPr>
        <w:pStyle w:val="ListParagraph"/>
        <w:numPr>
          <w:ilvl w:val="1"/>
          <w:numId w:val="7"/>
        </w:numPr>
        <w:spacing w:lineRule="auto" w:line="240"/>
        <w:ind w:firstLine="710" w:left="0"/>
        <w:jc w:val="both"/>
        <w:rPr>
          <w:rFonts w:ascii="Times New Roman" w:hAnsi="Times New Roman" w:cs="Times New Roman"/>
          <w:sz w:val="24"/>
          <w:szCs w:val="24"/>
        </w:rPr>
      </w:pPr>
      <w:r>
        <w:rPr>
          <w:rFonts w:eastAsia="Arial" w:cs="Times New Roman" w:ascii="Times New Roman" w:hAnsi="Times New Roman"/>
          <w:sz w:val="24"/>
          <w:szCs w:val="24"/>
        </w:rPr>
        <w:t xml:space="preserve">Tiekėjų pasiūlymuose nurodytos kainos bus vertinamos </w:t>
      </w:r>
      <w:r>
        <w:rPr>
          <w:rFonts w:cs="Times New Roman" w:ascii="Times New Roman" w:hAnsi="Times New Roman"/>
          <w:sz w:val="24"/>
          <w:szCs w:val="24"/>
        </w:rPr>
        <w:t xml:space="preserve">ir lyginamos su visais mokesčiais, įskaitant PVM. </w:t>
      </w:r>
    </w:p>
    <w:p>
      <w:pPr>
        <w:pStyle w:val="Heading1"/>
        <w:numPr>
          <w:ilvl w:val="0"/>
          <w:numId w:val="7"/>
        </w:numPr>
        <w:tabs>
          <w:tab w:val="clear" w:pos="1296"/>
          <w:tab w:val="left" w:pos="709" w:leader="none"/>
        </w:tabs>
        <w:rPr>
          <w:rFonts w:ascii="Times New Roman" w:hAnsi="Times New Roman" w:cs="Times New Roman"/>
        </w:rPr>
      </w:pPr>
      <w:bookmarkStart w:id="21" w:name="_Toc185177407"/>
      <w:bookmarkStart w:id="22" w:name="_Ref39430779"/>
      <w:bookmarkStart w:id="23" w:name="_Ref39430768"/>
      <w:bookmarkStart w:id="24" w:name="_Toc91497106"/>
      <w:bookmarkStart w:id="25" w:name="_Toc91497105"/>
      <w:bookmarkStart w:id="26" w:name="_Toc91497104"/>
      <w:bookmarkStart w:id="27" w:name="_Toc91497103"/>
      <w:bookmarkStart w:id="28" w:name="_Toc91497102"/>
      <w:bookmarkEnd w:id="24"/>
      <w:bookmarkEnd w:id="25"/>
      <w:bookmarkEnd w:id="26"/>
      <w:bookmarkEnd w:id="27"/>
      <w:bookmarkEnd w:id="28"/>
      <w:r>
        <w:rPr>
          <w:rFonts w:cs="Times New Roman" w:ascii="Times New Roman" w:hAnsi="Times New Roman"/>
        </w:rPr>
        <w:t>Pasiūlymo galiojimo užtikrinimas</w:t>
      </w:r>
      <w:bookmarkEnd w:id="21"/>
      <w:bookmarkEnd w:id="22"/>
      <w:bookmarkEnd w:id="23"/>
    </w:p>
    <w:p>
      <w:pPr>
        <w:pStyle w:val="ListParagraph"/>
        <w:spacing w:lineRule="auto" w:line="240" w:before="0" w:after="0"/>
        <w:ind w:firstLine="709" w:left="-142"/>
        <w:contextualSpacing/>
        <w:jc w:val="both"/>
        <w:rPr>
          <w:rFonts w:ascii="Times New Roman" w:hAnsi="Times New Roman" w:cs="Times New Roman"/>
          <w:sz w:val="24"/>
          <w:szCs w:val="24"/>
        </w:rPr>
      </w:pPr>
      <w:r>
        <w:rPr>
          <w:rFonts w:cs="Times New Roman" w:ascii="Times New Roman" w:hAnsi="Times New Roman"/>
        </w:rPr>
        <w:t>7.1</w:t>
      </w:r>
      <w:r>
        <w:rPr>
          <w:rFonts w:cs="Times New Roman" w:ascii="Times New Roman" w:hAnsi="Times New Roman"/>
          <w:sz w:val="24"/>
          <w:szCs w:val="24"/>
        </w:rPr>
        <w:t>. P</w:t>
      </w:r>
      <w:r>
        <w:rPr>
          <w:rFonts w:eastAsia="Calibri" w:cs="Times New Roman" w:ascii="Times New Roman" w:hAnsi="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pPr>
        <w:pStyle w:val="Heading1"/>
        <w:numPr>
          <w:ilvl w:val="0"/>
          <w:numId w:val="7"/>
        </w:numPr>
        <w:tabs>
          <w:tab w:val="clear" w:pos="1296"/>
          <w:tab w:val="left" w:pos="709" w:leader="none"/>
        </w:tabs>
        <w:spacing w:lineRule="atLeast" w:line="20" w:before="360" w:after="120"/>
        <w:contextualSpacing/>
        <w:rPr>
          <w:rFonts w:ascii="Times New Roman" w:hAnsi="Times New Roman" w:cs="Times New Roman"/>
        </w:rPr>
      </w:pPr>
      <w:bookmarkStart w:id="29" w:name="_Toc185177408"/>
      <w:bookmarkStart w:id="30" w:name="_Ref39658251"/>
      <w:bookmarkStart w:id="31" w:name="_Ref39658248"/>
      <w:bookmarkStart w:id="32" w:name="_Ref39658226"/>
      <w:bookmarkStart w:id="33" w:name="_Ref39658218"/>
      <w:r>
        <w:rPr>
          <w:rFonts w:cs="Times New Roman" w:ascii="Times New Roman" w:hAnsi="Times New Roman"/>
        </w:rPr>
        <w:t>Elektroninis aukcionas</w:t>
      </w:r>
      <w:bookmarkEnd w:id="29"/>
      <w:bookmarkEnd w:id="30"/>
      <w:bookmarkEnd w:id="31"/>
      <w:bookmarkEnd w:id="32"/>
      <w:bookmarkEnd w:id="33"/>
    </w:p>
    <w:p>
      <w:pPr>
        <w:pStyle w:val="Normal"/>
        <w:spacing w:lineRule="auto" w:line="240" w:before="0" w:after="0"/>
        <w:ind w:left="710"/>
        <w:rPr>
          <w:rFonts w:ascii="Times New Roman" w:hAnsi="Times New Roman" w:cs="Times New Roman"/>
          <w:sz w:val="24"/>
          <w:szCs w:val="24"/>
        </w:rPr>
      </w:pPr>
      <w:r>
        <w:rPr>
          <w:rFonts w:cs="Times New Roman" w:ascii="Times New Roman" w:hAnsi="Times New Roman"/>
          <w:sz w:val="24"/>
          <w:szCs w:val="24"/>
        </w:rPr>
        <w:t>8.1. Perkančioji organizacija pirkime netaikys elektroninio aukciono.</w:t>
      </w:r>
    </w:p>
    <w:p>
      <w:pPr>
        <w:pStyle w:val="Heading1"/>
        <w:numPr>
          <w:ilvl w:val="0"/>
          <w:numId w:val="7"/>
        </w:numPr>
        <w:tabs>
          <w:tab w:val="clear" w:pos="1296"/>
          <w:tab w:val="left" w:pos="709" w:leader="none"/>
        </w:tabs>
        <w:spacing w:lineRule="atLeast" w:line="20" w:before="360" w:after="120"/>
        <w:contextualSpacing/>
        <w:rPr>
          <w:rFonts w:ascii="Times New Roman" w:hAnsi="Times New Roman" w:cs="Times New Roman"/>
        </w:rPr>
      </w:pPr>
      <w:bookmarkStart w:id="34" w:name="_Ref39485258"/>
      <w:bookmarkStart w:id="35" w:name="_Ref39485250"/>
      <w:bookmarkStart w:id="36" w:name="_Toc185177409"/>
      <w:bookmarkStart w:id="37" w:name="_Ref39667308"/>
      <w:bookmarkStart w:id="38" w:name="_Ref39667303"/>
      <w:r>
        <w:rPr>
          <w:rFonts w:cs="Times New Roman" w:ascii="Times New Roman" w:hAnsi="Times New Roman"/>
        </w:rPr>
        <w:t>Pasiūlymų vertinimas</w:t>
      </w:r>
      <w:bookmarkEnd w:id="34"/>
      <w:bookmarkEnd w:id="35"/>
      <w:bookmarkEnd w:id="36"/>
      <w:bookmarkEnd w:id="37"/>
      <w:bookmarkEnd w:id="38"/>
    </w:p>
    <w:p>
      <w:pPr>
        <w:pStyle w:val="Normal"/>
        <w:spacing w:lineRule="auto" w:line="240" w:before="0" w:after="0"/>
        <w:ind w:firstLine="710"/>
        <w:jc w:val="both"/>
        <w:rPr>
          <w:rFonts w:ascii="Times New Roman" w:hAnsi="Times New Roman" w:eastAsia="Calibri" w:cs="Times New Roman"/>
          <w:sz w:val="24"/>
          <w:szCs w:val="24"/>
        </w:rPr>
      </w:pPr>
      <w:r>
        <w:rPr>
          <w:rFonts w:cs="Times New Roman" w:ascii="Times New Roman" w:hAnsi="Times New Roman"/>
          <w:sz w:val="24"/>
          <w:szCs w:val="24"/>
        </w:rPr>
        <w:t xml:space="preserve">9.1. </w:t>
      </w:r>
      <w:r>
        <w:rPr>
          <w:rFonts w:eastAsia="Calibri" w:cs="Times New Roman" w:ascii="Times New Roman" w:hAnsi="Times New Roman"/>
          <w:sz w:val="24"/>
          <w:szCs w:val="24"/>
        </w:rPr>
        <w:t xml:space="preserve">Perkančioji organizacija ekonomiškai naudingiausią pasiūlymą išrenka pagal kainą. Duomenys, kuriuos savo pasiūlyme turi pateikti tiekėjas, vertinimo kriterijai ir tvarka, pagal kuria vertinami tiekėjo pateikti duomenys, pateikiama specialiųjų pirkimo sąlygų </w:t>
      </w:r>
      <w:r>
        <w:rPr>
          <w:rFonts w:cs="Times New Roman" w:ascii="Times New Roman" w:hAnsi="Times New Roman"/>
          <w:sz w:val="24"/>
          <w:szCs w:val="24"/>
          <w:shd w:fill="FFFFFF" w:val="clear"/>
        </w:rPr>
        <w:t>7</w:t>
      </w:r>
      <w:r>
        <w:rPr>
          <w:rFonts w:eastAsia="Calibri" w:cs="Times New Roman" w:ascii="Times New Roman" w:hAnsi="Times New Roman"/>
          <w:sz w:val="24"/>
          <w:szCs w:val="24"/>
        </w:rPr>
        <w:t xml:space="preserve"> priede. </w:t>
      </w:r>
    </w:p>
    <w:p>
      <w:pPr>
        <w:pStyle w:val="ListParagraph"/>
        <w:spacing w:lineRule="atLeast" w:line="20" w:before="0" w:after="0"/>
        <w:ind w:firstLine="567" w:left="0"/>
        <w:contextualSpacing/>
        <w:jc w:val="both"/>
        <w:rPr>
          <w:rFonts w:ascii="Times New Roman" w:hAnsi="Times New Roman" w:eastAsia="Calibri" w:cs="Times New Roman" w:eastAsiaTheme="minorHAnsi"/>
          <w:bCs/>
          <w:iCs/>
          <w:sz w:val="24"/>
          <w:szCs w:val="24"/>
        </w:rPr>
      </w:pPr>
      <w:r>
        <w:rPr>
          <w:rFonts w:cs="Times New Roman" w:ascii="Times New Roman" w:hAnsi="Times New Roman"/>
          <w:color w:themeColor="text1" w:val="000000"/>
          <w:sz w:val="24"/>
          <w:szCs w:val="24"/>
        </w:rPr>
        <w:t xml:space="preserve">9.2. Laimėjusiu pasiūlymu galės būti pripažintas tik 1 (vienas) ekonomiškai naudingiausias pasiūlymas, esantis pasiūlymų eilės pirmojoje vietoje. </w:t>
      </w:r>
    </w:p>
    <w:p>
      <w:pPr>
        <w:pStyle w:val="NoSpacing"/>
        <w:numPr>
          <w:ilvl w:val="1"/>
          <w:numId w:val="11"/>
        </w:numPr>
        <w:spacing w:lineRule="atLeast" w:line="20" w:before="0" w:after="0"/>
        <w:ind w:firstLine="709" w:left="0"/>
        <w:contextualSpacing/>
        <w:jc w:val="both"/>
        <w:rPr>
          <w:rFonts w:ascii="Times New Roman" w:hAnsi="Times New Roman" w:eastAsia="Calibri" w:cs="Times New Roman" w:eastAsiaTheme="minorHAnsi"/>
          <w:bCs/>
          <w:i/>
          <w:i/>
          <w:iCs/>
          <w:color w:val="7030A0"/>
          <w:sz w:val="24"/>
          <w:szCs w:val="24"/>
        </w:rPr>
      </w:pPr>
      <w:r>
        <w:rPr>
          <w:rStyle w:val="Cf01"/>
          <w:rFonts w:cs="Times New Roman" w:ascii="Times New Roman" w:hAnsi="Times New Roman"/>
          <w:sz w:val="24"/>
          <w:szCs w:val="24"/>
        </w:rPr>
        <w:t>Perkančioji organizacija atmes tiekėjo pasiūlymą, jeigu kartu su pasiūlymu nebus pateikti šie pirkimo sąlygose reikalaujami pateikti dokumentai: pasiūlymo forma (6 priedas).</w:t>
      </w:r>
    </w:p>
    <w:p>
      <w:pPr>
        <w:pStyle w:val="Heading1"/>
        <w:numPr>
          <w:ilvl w:val="0"/>
          <w:numId w:val="11"/>
        </w:numPr>
        <w:tabs>
          <w:tab w:val="clear" w:pos="1296"/>
          <w:tab w:val="left" w:pos="567" w:leader="none"/>
        </w:tabs>
        <w:spacing w:lineRule="atLeast" w:line="20" w:before="360" w:after="120"/>
        <w:contextualSpacing/>
        <w:rPr>
          <w:rFonts w:ascii="Times New Roman" w:hAnsi="Times New Roman" w:cs="Times New Roman"/>
        </w:rPr>
      </w:pPr>
      <w:bookmarkStart w:id="39" w:name="_Toc185177410"/>
      <w:bookmarkStart w:id="40" w:name="_Ref39426005"/>
      <w:bookmarkStart w:id="41" w:name="_Ref39425999"/>
      <w:r>
        <w:rPr>
          <w:rFonts w:cs="Times New Roman" w:ascii="Times New Roman" w:hAnsi="Times New Roman"/>
        </w:rPr>
        <w:t>Sutarties sudarymas</w:t>
      </w:r>
      <w:bookmarkEnd w:id="39"/>
      <w:bookmarkEnd w:id="40"/>
      <w:bookmarkEnd w:id="41"/>
    </w:p>
    <w:p>
      <w:pPr>
        <w:pStyle w:val="ListParagraph"/>
        <w:spacing w:lineRule="auto" w:line="240" w:before="0" w:after="0"/>
        <w:ind w:firstLine="567" w:left="0"/>
        <w:contextualSpacing/>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10.1. Ši pirkimo procedūra atliekama siekiant sudaryti sutartį su tiekėju, kurio pasiūlymas, vadovaujantis pirkimo sąlygose</w:t>
      </w:r>
      <w:r>
        <w:rPr>
          <w:rFonts w:cs="Times New Roman" w:ascii="Times New Roman" w:hAnsi="Times New Roman"/>
          <w:color w:val="0070C0"/>
          <w:sz w:val="24"/>
          <w:szCs w:val="24"/>
        </w:rPr>
        <w:t xml:space="preserve"> </w:t>
      </w:r>
      <w:r>
        <w:rPr>
          <w:rFonts w:cs="Times New Roman" w:ascii="Times New Roman" w:hAnsi="Times New Roman"/>
          <w:color w:themeColor="text1" w:val="000000"/>
          <w:sz w:val="24"/>
          <w:szCs w:val="24"/>
        </w:rPr>
        <w:t xml:space="preserve">nustatyta tvarka, bus pripažintas laimėjęs, o jei pirkimas skaidomas į dalis – su tiekėjais, kurių pasiūlymai bus pripažinti laimėję. </w:t>
      </w:r>
      <w:r>
        <w:rPr>
          <w:rFonts w:cs="Times New Roman" w:ascii="Times New Roman" w:hAnsi="Times New Roman"/>
          <w:sz w:val="24"/>
          <w:szCs w:val="24"/>
        </w:rPr>
        <w:t>Sutarties sąlygos pateikiamos 9 Pirkimo sąlygų priede „Sutarties projektas“.</w:t>
      </w:r>
    </w:p>
    <w:p>
      <w:pPr>
        <w:pStyle w:val="Heading1"/>
        <w:numPr>
          <w:ilvl w:val="0"/>
          <w:numId w:val="9"/>
        </w:numPr>
        <w:tabs>
          <w:tab w:val="clear" w:pos="1296"/>
          <w:tab w:val="left" w:pos="567" w:leader="none"/>
        </w:tabs>
        <w:spacing w:lineRule="atLeast" w:line="20" w:before="360" w:after="120"/>
        <w:contextualSpacing/>
        <w:jc w:val="both"/>
        <w:rPr>
          <w:rFonts w:ascii="Times New Roman" w:hAnsi="Times New Roman" w:cs="Times New Roman"/>
          <w:b/>
          <w:bCs/>
        </w:rPr>
      </w:pPr>
      <w:bookmarkStart w:id="42" w:name="_Toc185177411"/>
      <w:bookmarkStart w:id="43" w:name="_Toc147739116_Copy_1"/>
      <w:bookmarkEnd w:id="43"/>
      <w:r>
        <w:rPr>
          <w:rFonts w:cs="Times New Roman" w:ascii="Times New Roman" w:hAnsi="Times New Roman"/>
        </w:rPr>
        <w:t>Kitos sąlygos</w:t>
      </w:r>
      <w:bookmarkEnd w:id="42"/>
    </w:p>
    <w:p>
      <w:pPr>
        <w:pStyle w:val="Normal"/>
        <w:shd w:val="clear" w:color="auto" w:fill="FFFFFF"/>
        <w:spacing w:lineRule="auto" w:line="240" w:before="0" w:after="0"/>
        <w:jc w:val="both"/>
        <w:rPr>
          <w:rFonts w:ascii="Times New Roman" w:hAnsi="Times New Roman" w:eastAsia="Times New Roman" w:cs="Times New Roman"/>
          <w:i/>
          <w:i/>
          <w:iCs/>
        </w:rPr>
      </w:pPr>
      <w:r>
        <w:rPr>
          <w:rFonts w:eastAsia="Times New Roman" w:cs="Times New Roman" w:ascii="Times New Roman" w:hAnsi="Times New Roman"/>
          <w:i/>
          <w:iCs/>
        </w:rPr>
        <w:t>netaikomos</w:t>
      </w:r>
    </w:p>
    <w:p>
      <w:pPr>
        <w:sectPr>
          <w:headerReference w:type="default" r:id="rId3"/>
          <w:footerReference w:type="default" r:id="rId4"/>
          <w:footerReference w:type="first" r:id="rId5"/>
          <w:footnotePr>
            <w:numFmt w:val="decimal"/>
          </w:footnotePr>
          <w:type w:val="nextPage"/>
          <w:pgSz w:w="12240" w:h="15840"/>
          <w:pgMar w:left="1701" w:right="567" w:gutter="0" w:header="720" w:top="1134" w:footer="720" w:bottom="1134"/>
          <w:pgNumType w:start="0" w:fmt="decimal"/>
          <w:formProt w:val="false"/>
          <w:titlePg/>
          <w:textDirection w:val="lrTb"/>
          <w:docGrid w:type="default" w:linePitch="360" w:charSpace="11877"/>
        </w:sectPr>
        <w:pStyle w:val="Normal"/>
        <w:shd w:val="clear" w:color="auto" w:fill="FFFFFF"/>
        <w:spacing w:lineRule="auto" w:line="240" w:before="0" w:after="0"/>
        <w:jc w:val="center"/>
        <w:rPr>
          <w:rFonts w:ascii="Times New Roman" w:hAnsi="Times New Roman" w:eastAsia="Calibri" w:cs="Times New Roman"/>
        </w:rPr>
      </w:pPr>
      <w:r>
        <w:rPr>
          <w:rFonts w:eastAsia="Calibri" w:cs="Times New Roman" w:ascii="Times New Roman" w:hAnsi="Times New Roman"/>
        </w:rPr>
        <w:t>__________</w:t>
      </w:r>
    </w:p>
    <w:p>
      <w:pPr>
        <w:pStyle w:val="Heading1"/>
        <w:jc w:val="right"/>
        <w:rPr>
          <w:rFonts w:ascii="Times New Roman" w:hAnsi="Times New Roman" w:cs="Times New Roman"/>
          <w:sz w:val="21"/>
          <w:szCs w:val="21"/>
        </w:rPr>
      </w:pPr>
      <w:bookmarkStart w:id="44" w:name="_Toc185177412"/>
      <w:r>
        <w:rPr>
          <w:rFonts w:cs="Times New Roman" w:ascii="Times New Roman" w:hAnsi="Times New Roman"/>
          <w:color w:val="0070C0"/>
          <w:sz w:val="21"/>
          <w:szCs w:val="21"/>
        </w:rPr>
        <w:t>Pirkimo sąlygų 1 priedas „Terminai“</w:t>
      </w:r>
      <w:bookmarkEnd w:id="44"/>
    </w:p>
    <w:p>
      <w:pPr>
        <w:pStyle w:val="Normal"/>
        <w:shd w:val="clear" w:color="auto" w:fill="FFFFFF"/>
        <w:spacing w:lineRule="auto" w:line="240" w:before="0" w:after="0"/>
        <w:jc w:val="right"/>
        <w:rPr>
          <w:rFonts w:ascii="Times New Roman" w:hAnsi="Times New Roman" w:eastAsia="Calibri" w:cs="Times New Roman"/>
          <w:color w:val="0070C0"/>
        </w:rPr>
      </w:pPr>
      <w:r>
        <w:rPr>
          <w:rFonts w:eastAsia="Calibri" w:cs="Times New Roman" w:ascii="Times New Roman" w:hAnsi="Times New Roman"/>
          <w:color w:val="0070C0"/>
        </w:rPr>
      </w:r>
    </w:p>
    <w:tbl>
      <w:tblPr>
        <w:tblW w:w="9854"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909"/>
        <w:gridCol w:w="2495"/>
        <w:gridCol w:w="3145"/>
        <w:gridCol w:w="3304"/>
      </w:tblGrid>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cs="Times New Roman"/>
                <w:b/>
                <w:bCs/>
                <w:sz w:val="24"/>
                <w:szCs w:val="24"/>
              </w:rPr>
            </w:pPr>
            <w:r>
              <w:rPr>
                <w:rFonts w:cs="Times New Roman" w:ascii="Times New Roman" w:hAnsi="Times New Roman"/>
                <w:b/>
                <w:bCs/>
                <w:sz w:val="24"/>
                <w:szCs w:val="24"/>
              </w:rPr>
              <w:t>Eil.Nr.</w:t>
            </w:r>
          </w:p>
        </w:tc>
        <w:tc>
          <w:tcPr>
            <w:tcW w:w="249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cs="Times New Roman"/>
                <w:b/>
                <w:bCs/>
                <w:sz w:val="24"/>
                <w:szCs w:val="24"/>
              </w:rPr>
            </w:pPr>
            <w:r>
              <w:rPr>
                <w:rFonts w:cs="Times New Roman" w:ascii="Times New Roman" w:hAnsi="Times New Roman"/>
                <w:b/>
                <w:bCs/>
                <w:sz w:val="24"/>
                <w:szCs w:val="24"/>
              </w:rPr>
              <w:t>VEIKSMAS</w:t>
            </w:r>
          </w:p>
        </w:tc>
        <w:tc>
          <w:tcPr>
            <w:tcW w:w="314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DATA/DIENŲ SKAIČIUS/ LAIKAS</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(Lietuvos laiku)</w:t>
            </w:r>
          </w:p>
        </w:tc>
        <w:tc>
          <w:tcPr>
            <w:tcW w:w="330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ascii="Times New Roman" w:hAnsi="Times New Roman" w:cs="Times New Roman"/>
                <w:b/>
                <w:sz w:val="24"/>
                <w:szCs w:val="24"/>
              </w:rPr>
            </w:pPr>
            <w:r>
              <w:rPr>
                <w:rFonts w:cs="Times New Roman" w:ascii="Times New Roman" w:hAnsi="Times New Roman"/>
                <w:b/>
                <w:sz w:val="24"/>
                <w:szCs w:val="24"/>
              </w:rPr>
              <w:t>PASTABOS</w:t>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1.</w:t>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sz w:val="24"/>
                <w:szCs w:val="24"/>
              </w:rPr>
            </w:pPr>
            <w:r>
              <w:rPr>
                <w:rFonts w:cs="Times New Roman" w:ascii="Times New Roman" w:hAnsi="Times New Roman"/>
                <w:bCs/>
                <w:sz w:val="24"/>
                <w:szCs w:val="24"/>
              </w:rPr>
              <w:t>Pasiūlymų pateikimo terminas</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nurodytas skelbime</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sz w:val="24"/>
                <w:szCs w:val="24"/>
              </w:rPr>
              <w:t>Perkančioji organizacija turi teisę pratęsti pasiūlymų pateikimo terminą.</w:t>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2.</w:t>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sz w:val="24"/>
                <w:szCs w:val="24"/>
              </w:rPr>
            </w:pPr>
            <w:r>
              <w:rPr>
                <w:rFonts w:eastAsia="Times New Roman" w:cs="Times New Roman" w:ascii="Times New Roman" w:hAnsi="Times New Roman"/>
                <w:sz w:val="24"/>
                <w:szCs w:val="24"/>
              </w:rPr>
              <w:t>Pradinis susipažinimas su CVP IS priemonėmis gautais pasiūlymais</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Pradedamas ne anksčiau nei </w:t>
            </w:r>
            <w:r>
              <w:rPr>
                <w:rFonts w:cs="Times New Roman" w:ascii="Times New Roman" w:hAnsi="Times New Roman"/>
                <w:color w:themeColor="text1" w:val="000000"/>
                <w:sz w:val="24"/>
                <w:szCs w:val="24"/>
              </w:rPr>
              <w:t>po 30 (trisdešimt) minučių</w:t>
            </w:r>
            <w:r>
              <w:rPr>
                <w:rFonts w:cs="Times New Roman" w:ascii="Times New Roman" w:hAnsi="Times New Roman"/>
                <w:sz w:val="24"/>
                <w:szCs w:val="24"/>
              </w:rPr>
              <w:t xml:space="preserve"> po pasiūlymų pateikimo termino pabaigos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3.</w:t>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cs="Times New Roman"/>
                <w:bCs/>
                <w:sz w:val="24"/>
                <w:szCs w:val="24"/>
              </w:rPr>
            </w:pPr>
            <w:r>
              <w:rPr>
                <w:rFonts w:cs="Times New Roman" w:ascii="Times New Roman" w:hAnsi="Times New Roman"/>
                <w:sz w:val="24"/>
                <w:szCs w:val="24"/>
              </w:rPr>
              <w:t>Prašymą paaiškinti, patikslinti pirkimo sąlygas tiekėjas turi pateikti ne vėliau kaip:</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10 (dešimt) dienų iki pasiūlymų pateikimo termino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color w:val="7030A0"/>
                <w:sz w:val="24"/>
                <w:szCs w:val="24"/>
              </w:rPr>
            </w:pPr>
            <w:r>
              <w:rPr>
                <w:rFonts w:cs="Times New Roman" w:ascii="Times New Roman" w:hAnsi="Times New Roman"/>
                <w:iCs/>
                <w:color w:val="7030A0"/>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pirkimo sąlygų paaiškinimą, patikslinimą pateikia visiems tiekėjams ne vėliau kaip:</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6 (šešios)dienų iki pasiūlymų pateikimo termino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Pasiūlymo galiojimo ir pasiūlymo galiojimo užtikrinimo (jei taikoma) terminas ne trumpesnis kaip</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t>90 (devyniasdešimt) dienų nuo pasiūlymų pateikimo galutinio termino pabaigos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rPr>
              <w:t>Perkančioji organizacija atsako tiekėjui, ar ji sutinka priimti tiekėjo siūlomą pasiūlymo galiojimo užtikrinimą patvirtinantį dokumentą 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iCs/>
                <w:sz w:val="24"/>
                <w:szCs w:val="24"/>
              </w:rPr>
              <w:t xml:space="preserve">3 (tris) darbo dienas </w:t>
            </w:r>
            <w:r>
              <w:rPr>
                <w:rFonts w:cs="Times New Roman" w:ascii="Times New Roman" w:hAnsi="Times New Roman"/>
                <w:sz w:val="24"/>
                <w:szCs w:val="24"/>
              </w:rPr>
              <w:t>nuo prašymo gavimo dienos</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netaikom</w:t>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color w:themeColor="text1" w:val="000000"/>
                <w:sz w:val="24"/>
                <w:szCs w:val="24"/>
              </w:rPr>
              <w:t>Pasiūlymo galiojimo užtikrinimas pirkimo dalyviui grąžinamas (arba atsisakoma teisių į jį)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 (penkias) darbo dienas nuo prašymo gavimo dienos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netaikoma</w:t>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Perkančioji organizacija informuoja pirkimo dalyvius apie EBVPD vertinimo rezultatus 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3 (tris) darbo dienas nuo sprendimo priėmimo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 xml:space="preserve">Perkančioji organizacija pirkimo dalyviams praneša apie priimtą sprendimą nustatyti laimėjusį pasiūlymą, </w:t>
            </w:r>
            <w:r>
              <w:rPr>
                <w:rFonts w:cs="Times New Roman" w:ascii="Times New Roman" w:hAnsi="Times New Roman"/>
                <w:sz w:val="24"/>
                <w:szCs w:val="24"/>
              </w:rPr>
              <w:t>dėl kurio bus sudaroma</w:t>
            </w:r>
            <w:r>
              <w:rPr>
                <w:rFonts w:cs="Times New Roman" w:ascii="Times New Roman" w:hAnsi="Times New Roman"/>
                <w:bCs/>
                <w:sz w:val="24"/>
                <w:szCs w:val="24"/>
              </w:rPr>
              <w:t xml:space="preserve"> sutartis 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3 (tris) darbo dienas nuo sprendimo priėmimo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firstLine="386" w:left="-386"/>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Perkančioji organizacija, pirkimo dalyviui raštu paprašius, jam pateikia VPĮ 58 straipsnio 2 dalyje nustatytą informaciją 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t>15 (penkiolika) dienų nuo pirkimo dalyvio raštu pateikto prašymo gavimo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Tajtip"/>
              <w:shd w:val="clear" w:color="auto" w:fill="FFFFFF"/>
              <w:spacing w:beforeAutospacing="0" w:before="0" w:afterAutospacing="0" w:after="0"/>
              <w:ind w:firstLine="313"/>
              <w:rPr/>
            </w:pPr>
            <w:r>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color w:val="000000"/>
                <w:sz w:val="24"/>
                <w:szCs w:val="24"/>
                <w:shd w:fill="FFFFFF" w:val="clear"/>
              </w:rPr>
              <w:t xml:space="preserve">Tiekėjas turi teisę pateikti pretenziją perkančiajai organizacijai, pateikti prašymą ar pareikšti ieškinį teismui </w:t>
            </w:r>
            <w:r>
              <w:rPr>
                <w:rFonts w:cs="Times New Roman" w:ascii="Times New Roman" w:hAnsi="Times New Roman"/>
                <w:bCs/>
                <w:sz w:val="24"/>
                <w:szCs w:val="24"/>
              </w:rPr>
              <w:t>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10 (dešimt) dienų nuo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pranešimo raštu apie jos priimtą sprendimą išsiuntimo tiekėjams dienos arba nuo paskelbimo apie </w:t>
            </w:r>
            <w:r>
              <w:rPr>
                <w:rFonts w:eastAsia="Arial" w:cs="Times New Roman" w:ascii="Times New Roman" w:hAnsi="Times New Roman"/>
                <w:sz w:val="24"/>
                <w:szCs w:val="24"/>
              </w:rPr>
              <w:t>perkančiosios organizacijos</w:t>
            </w:r>
            <w:r>
              <w:rPr>
                <w:rFonts w:cs="Times New Roman" w:ascii="Times New Roman" w:hAnsi="Times New Roman"/>
                <w:sz w:val="24"/>
                <w:szCs w:val="24"/>
              </w:rPr>
              <w:t xml:space="preserve"> priimtus sprendimus dienos, jei VPĮ nenumato reikalavimo raštu informuoti tiekėjus apie </w:t>
            </w:r>
            <w:r>
              <w:rPr>
                <w:rFonts w:eastAsia="Arial" w:cs="Times New Roman" w:ascii="Times New Roman" w:hAnsi="Times New Roman"/>
                <w:sz w:val="24"/>
                <w:szCs w:val="24"/>
              </w:rPr>
              <w:t xml:space="preserve"> perkančiosios organizacijos</w:t>
            </w:r>
            <w:r>
              <w:rPr>
                <w:rFonts w:cs="Times New Roman" w:ascii="Times New Roman" w:hAnsi="Times New Roman"/>
                <w:sz w:val="24"/>
                <w:szCs w:val="24"/>
              </w:rPr>
              <w:t xml:space="preserve"> priimtus sprendimus;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15 (penkiolika) dienų nuo pranešimo išsiuntimo tiekėjams dienos, jeigu šis pranešimas nebuvo siunčiamas elektroninėmis priemonėmis.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6 (šešias) darbo dienas nuo pretenzijos gavimo dienos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sz w:val="24"/>
                <w:szCs w:val="24"/>
              </w:rPr>
              <w:t>Jeigu perkančioji organizacija per nustatytą terminą neišnagrinėja jai pateiktos pretenzijos, tiekėjas turi teisę pateikti prašymą ar pareikšti ieškinį teismui per</w:t>
            </w:r>
            <w:r>
              <w:rPr>
                <w:rFonts w:cs="Times New Roman" w:ascii="Times New Roman" w:hAnsi="Times New Roman"/>
                <w:bCs/>
                <w:sz w:val="24"/>
                <w:szCs w:val="24"/>
              </w:rPr>
              <w:t xml:space="preserve"> (išskyrus ieškinį dėl sutarties pripažinimo negaliojančia)</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Perkančioji organizacija negali sudaryti sutarties anksčiau kaip po</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bCs/>
                <w:sz w:val="24"/>
                <w:szCs w:val="24"/>
              </w:rPr>
              <w:t>10 (dešimt) dienų,</w:t>
            </w:r>
            <w:r>
              <w:rPr>
                <w:rFonts w:cs="Times New Roman" w:ascii="Times New Roman" w:hAnsi="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90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4"/>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Jeigu </w:t>
            </w:r>
            <w:r>
              <w:rPr>
                <w:rFonts w:cs="Times New Roman" w:ascii="Times New Roman" w:hAnsi="Times New Roman"/>
                <w:iCs/>
                <w:sz w:val="24"/>
                <w:szCs w:val="24"/>
              </w:rPr>
              <w:t>suinteresuotas dalyvis paprašys perkančiosios organizacijos pateikti laimėjusį pasiūlymą</w:t>
            </w:r>
          </w:p>
        </w:tc>
        <w:tc>
          <w:tcPr>
            <w:tcW w:w="3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i/>
                <w:i/>
                <w:iCs/>
                <w:sz w:val="24"/>
                <w:szCs w:val="24"/>
              </w:rPr>
            </w:pPr>
            <w:r>
              <w:rPr>
                <w:rFonts w:cs="Times New Roman" w:ascii="Times New Roman" w:hAnsi="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pPr>
              <w:pStyle w:val="Normal"/>
              <w:spacing w:lineRule="auto" w:line="240" w:before="0" w:after="0"/>
              <w:jc w:val="both"/>
              <w:rPr>
                <w:rFonts w:ascii="Times New Roman" w:hAnsi="Times New Roman" w:cs="Times New Roman"/>
                <w:i/>
                <w:i/>
                <w:iCs/>
                <w:color w:val="FF0000"/>
                <w:sz w:val="24"/>
                <w:szCs w:val="24"/>
              </w:rPr>
            </w:pPr>
            <w:r>
              <w:rPr>
                <w:rFonts w:cs="Times New Roman" w:ascii="Times New Roman" w:hAnsi="Times New Roman"/>
                <w:i/>
                <w:iCs/>
                <w:color w:val="FF0000"/>
                <w:sz w:val="24"/>
                <w:szCs w:val="24"/>
              </w:rPr>
            </w:r>
          </w:p>
        </w:tc>
        <w:tc>
          <w:tcPr>
            <w:tcW w:w="33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1296"/>
          <w:tab w:val="left" w:pos="2977" w:leader="none"/>
        </w:tabs>
        <w:spacing w:lineRule="atLeast" w:line="20" w:before="0" w:after="12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rPr>
          <w:rFonts w:ascii="Times New Roman" w:hAnsi="Times New Roman" w:eastAsia="Calibri" w:cs="Times New Roman"/>
          <w:sz w:val="20"/>
          <w:szCs w:val="20"/>
        </w:rPr>
      </w:pPr>
      <w:r>
        <w:rPr>
          <w:rFonts w:eastAsia="Calibri" w:cs="Times New Roman" w:ascii="Times New Roman" w:hAnsi="Times New Roman"/>
          <w:sz w:val="20"/>
          <w:szCs w:val="20"/>
        </w:rPr>
      </w:r>
      <w:r>
        <w:br w:type="page"/>
      </w:r>
    </w:p>
    <w:p>
      <w:pPr>
        <w:pStyle w:val="Heading2"/>
        <w:spacing w:before="0" w:after="0"/>
        <w:ind w:left="5103"/>
        <w:rPr>
          <w:rFonts w:ascii="Times New Roman" w:hAnsi="Times New Roman" w:eastAsia="Calibri" w:cs="Times New Roman"/>
          <w:color w:val="0070C0"/>
          <w:sz w:val="21"/>
          <w:szCs w:val="21"/>
        </w:rPr>
      </w:pPr>
      <w:bookmarkStart w:id="45" w:name="_Hlk194471843"/>
      <w:bookmarkStart w:id="46" w:name="_Toc185177413"/>
      <w:bookmarkStart w:id="47" w:name="_Ref38899023"/>
      <w:bookmarkStart w:id="48" w:name="_Ref38885053"/>
      <w:bookmarkStart w:id="49" w:name="_Ref38541068"/>
      <w:bookmarkStart w:id="50" w:name="_Ref38539939"/>
      <w:r>
        <w:rPr>
          <w:rFonts w:eastAsia="Calibri" w:cs="Times New Roman" w:ascii="Times New Roman" w:hAnsi="Times New Roman"/>
          <w:color w:val="0070C0"/>
          <w:sz w:val="21"/>
          <w:szCs w:val="21"/>
        </w:rPr>
        <w:t>Pirkimo sąlygų 2 priedas „Techninė specifikacija“</w:t>
      </w:r>
      <w:bookmarkEnd w:id="45"/>
      <w:bookmarkEnd w:id="46"/>
      <w:bookmarkEnd w:id="47"/>
      <w:bookmarkEnd w:id="48"/>
      <w:bookmarkEnd w:id="49"/>
      <w:bookmarkEnd w:id="50"/>
    </w:p>
    <w:p>
      <w:pPr>
        <w:pStyle w:val="Normal"/>
        <w:jc w:val="center"/>
        <w:rPr>
          <w:rFonts w:ascii="Times New Roman" w:hAnsi="Times New Roman" w:cs="Times New Roman"/>
          <w:b/>
          <w:bCs/>
        </w:rPr>
      </w:pPr>
      <w:r>
        <w:rPr>
          <w:rFonts w:cs="Times New Roman" w:ascii="Times New Roman" w:hAnsi="Times New Roman"/>
          <w:b/>
          <w:bCs/>
        </w:rPr>
      </w:r>
    </w:p>
    <w:p>
      <w:pPr>
        <w:pStyle w:val="Subtitle"/>
        <w:jc w:val="center"/>
        <w:rPr>
          <w:rFonts w:ascii="Times New Roman" w:hAnsi="Times New Roman" w:cs="Times New Roman"/>
        </w:rPr>
      </w:pPr>
      <w:r>
        <w:rPr>
          <w:rFonts w:cs="Times New Roman" w:ascii="Times New Roman" w:hAnsi="Times New Roman"/>
        </w:rPr>
        <w:t>TECHNINĖ SPECIFIKACIJA</w:t>
      </w:r>
    </w:p>
    <w:p>
      <w:pPr>
        <w:pStyle w:val="Normal"/>
        <w:rPr/>
      </w:pPr>
      <w:r>
        <w:rPr/>
      </w:r>
    </w:p>
    <w:p>
      <w:pPr>
        <w:pStyle w:val="Normal"/>
        <w:rPr>
          <w:rFonts w:ascii="Times New Roman" w:hAnsi="Times New Roman" w:cs="Times New Roman"/>
          <w:sz w:val="24"/>
          <w:szCs w:val="24"/>
        </w:rPr>
      </w:pPr>
      <w:r>
        <w:rPr>
          <w:rFonts w:cs="Times New Roman" w:ascii="Times New Roman" w:hAnsi="Times New Roman"/>
          <w:sz w:val="24"/>
          <w:szCs w:val="24"/>
        </w:rPr>
        <w:t>Pateikiama atskiram priede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Heading2"/>
        <w:ind w:left="5103"/>
        <w:rPr>
          <w:rFonts w:ascii="Times New Roman" w:hAnsi="Times New Roman" w:eastAsia="Calibri" w:cs="Times New Roman"/>
          <w:color w:val="0070C0"/>
          <w:sz w:val="21"/>
          <w:szCs w:val="21"/>
        </w:rPr>
      </w:pPr>
      <w:bookmarkStart w:id="51" w:name="_Toc185177414"/>
      <w:bookmarkStart w:id="52" w:name="_Ref38291496"/>
      <w:bookmarkStart w:id="53" w:name="_Ref38285444"/>
      <w:r>
        <w:rPr>
          <w:rFonts w:eastAsia="Calibri" w:cs="Times New Roman" w:ascii="Times New Roman" w:hAnsi="Times New Roman"/>
          <w:color w:val="0070C0"/>
          <w:sz w:val="21"/>
          <w:szCs w:val="21"/>
        </w:rPr>
        <w:t>Pirkimo sąlygų 3 priedas „Tiekėjų pašalinimo pagrindai“</w:t>
      </w:r>
      <w:bookmarkEnd w:id="51"/>
      <w:bookmarkEnd w:id="52"/>
      <w:bookmarkEnd w:id="53"/>
    </w:p>
    <w:p>
      <w:pPr>
        <w:pStyle w:val="Normal"/>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jc w:val="center"/>
        <w:rPr>
          <w:rFonts w:ascii="Times New Roman" w:hAnsi="Times New Roman" w:cs="Times New Roman"/>
          <w:color w:val="auto"/>
          <w:sz w:val="24"/>
          <w:szCs w:val="24"/>
        </w:rPr>
      </w:pPr>
      <w:r>
        <w:rPr>
          <w:rFonts w:cs="Times New Roman" w:ascii="Times New Roman" w:hAnsi="Times New Roman"/>
          <w:color w:val="auto"/>
          <w:sz w:val="24"/>
          <w:szCs w:val="24"/>
        </w:rPr>
        <w:t>TIEKĖJŲ PAŠALINIMO PAGRINDAI</w:t>
      </w:r>
    </w:p>
    <w:p>
      <w:pPr>
        <w:pStyle w:val="Normal"/>
        <w:jc w:val="both"/>
        <w:rPr>
          <w:rFonts w:ascii="Times New Roman" w:hAnsi="Times New Roman" w:cs="Times New Roman"/>
          <w:color w:val="7030A0"/>
          <w:sz w:val="24"/>
          <w:szCs w:val="24"/>
        </w:rPr>
      </w:pPr>
      <w:r>
        <w:rPr>
          <w:rFonts w:cs="Times New Roman" w:ascii="Times New Roman" w:hAnsi="Times New Roman"/>
          <w:color w:val="7030A0"/>
          <w:sz w:val="24"/>
          <w:szCs w:val="24"/>
        </w:rPr>
      </w:r>
    </w:p>
    <w:p>
      <w:pPr>
        <w:pStyle w:val="NoSpacing"/>
        <w:numPr>
          <w:ilvl w:val="0"/>
          <w:numId w:val="16"/>
        </w:numPr>
        <w:ind w:firstLine="851" w:left="0"/>
        <w:jc w:val="both"/>
        <w:rPr>
          <w:rFonts w:ascii="Times New Roman" w:hAnsi="Times New Roman" w:cs="Times New Roman"/>
          <w:sz w:val="24"/>
          <w:szCs w:val="24"/>
        </w:rPr>
      </w:pPr>
      <w:r>
        <w:rPr>
          <w:rFonts w:cs="Times New Roman" w:ascii="Times New Roman" w:hAnsi="Times New Roman"/>
          <w:sz w:val="24"/>
          <w:szCs w:val="24"/>
        </w:rPr>
        <w:t>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teikiamas tik EBVPD. Perkančioji organizacija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16"/>
        </w:numPr>
        <w:ind w:firstLine="851" w:left="0"/>
        <w:jc w:val="both"/>
        <w:rPr>
          <w:rFonts w:ascii="Times New Roman" w:hAnsi="Times New Roman" w:cs="Times New Roman"/>
          <w:sz w:val="24"/>
          <w:szCs w:val="24"/>
        </w:rPr>
      </w:pPr>
      <w:r>
        <w:rPr>
          <w:rFonts w:cs="Times New Roman" w:ascii="Times New Roman" w:hAnsi="Times New Roman"/>
          <w:sz w:val="24"/>
          <w:szCs w:val="24"/>
        </w:rPr>
        <w:t xml:space="preserve">Pašalinimo pagrindai taikomi tiekėjui (kai pasiūlymą teikia ūkio subjektų grupė – visiems tos grupės nariams) ir ūkio subjektams, kurių pajėgumais tiekėjas remiasi. </w:t>
      </w:r>
    </w:p>
    <w:p>
      <w:pPr>
        <w:pStyle w:val="NoSpacing"/>
        <w:numPr>
          <w:ilvl w:val="0"/>
          <w:numId w:val="16"/>
        </w:numPr>
        <w:ind w:firstLine="851" w:left="0"/>
        <w:jc w:val="both"/>
        <w:rPr>
          <w:rFonts w:ascii="Times New Roman" w:hAnsi="Times New Roman" w:eastAsia="Verdana" w:cs="Times New Roman"/>
          <w:sz w:val="24"/>
          <w:szCs w:val="24"/>
        </w:rPr>
      </w:pPr>
      <w:r>
        <w:rPr>
          <w:rFonts w:cs="Times New Roman" w:ascii="Times New Roman" w:hAnsi="Times New Roman"/>
          <w:color w:themeColor="text1"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ascii="Times New Roman" w:hAnsi="Times New Roman"/>
          <w:color w:themeColor="text1" w:val="000000"/>
          <w:sz w:val="24"/>
          <w:szCs w:val="24"/>
        </w:rPr>
        <w:t xml:space="preserve">e nustatytų tiekėjo pašalinimo pagrindų, išskyrus VPĮ 46 straipsnio 10 dalyje nustatytus atvejus (tačiau atsižvelgiant į VPĮ 46 straipsnio 11 ir 12 dalių nuostatas). </w:t>
      </w:r>
    </w:p>
    <w:p>
      <w:pPr>
        <w:pStyle w:val="NoSpacing"/>
        <w:numPr>
          <w:ilvl w:val="0"/>
          <w:numId w:val="16"/>
        </w:numPr>
        <w:ind w:firstLine="851" w:left="0"/>
        <w:jc w:val="both"/>
        <w:rPr>
          <w:rFonts w:ascii="Times New Roman" w:hAnsi="Times New Roman" w:eastAsia="Verdana" w:cs="Times New Roman"/>
          <w:color w:themeColor="text1" w:val="000000"/>
          <w:sz w:val="24"/>
          <w:szCs w:val="24"/>
        </w:rPr>
      </w:pPr>
      <w:r>
        <w:rPr>
          <w:rFonts w:eastAsia="Verdana" w:cs="Times New Roman" w:ascii="Times New Roman" w:hAnsi="Times New Roman"/>
          <w:color w:themeColor="text1"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16"/>
        </w:numPr>
        <w:ind w:firstLine="851" w:left="0"/>
        <w:jc w:val="both"/>
        <w:rPr>
          <w:rFonts w:ascii="Times New Roman" w:hAnsi="Times New Roman" w:cs="Times New Roman"/>
          <w:sz w:val="24"/>
          <w:szCs w:val="24"/>
        </w:rPr>
      </w:pPr>
      <w:r>
        <w:rPr>
          <w:rFonts w:eastAsia="Verdana" w:cs="Times New Roman" w:ascii="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imes New Roman" w:ascii="Times New Roman" w:hAnsi="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6">
        <w:r>
          <w:rPr>
            <w:rStyle w:val="Hyperlink"/>
            <w:rFonts w:eastAsia="Calibri" w:cs="Times New Roman" w:ascii="Times New Roman" w:hAnsi="Times New Roman"/>
            <w:sz w:val="24"/>
            <w:szCs w:val="24"/>
          </w:rPr>
          <w:t>https://ec.europa.eu/tools/ecertis/</w:t>
        </w:r>
      </w:hyperlink>
      <w:r>
        <w:rPr>
          <w:rFonts w:cs="Times New Roman" w:ascii="Times New Roman" w:hAnsi="Times New Roman"/>
          <w:sz w:val="24"/>
          <w:szCs w:val="24"/>
        </w:rPr>
        <w:t xml:space="preserve">. </w:t>
      </w:r>
    </w:p>
    <w:p>
      <w:pPr>
        <w:pStyle w:val="NoSpacing"/>
        <w:numPr>
          <w:ilvl w:val="0"/>
          <w:numId w:val="16"/>
        </w:numPr>
        <w:ind w:firstLine="851" w:left="0"/>
        <w:jc w:val="both"/>
        <w:rPr>
          <w:rFonts w:ascii="Times New Roman" w:hAnsi="Times New Roman" w:cs="Times New Roman"/>
          <w:sz w:val="24"/>
          <w:szCs w:val="24"/>
        </w:rPr>
      </w:pPr>
      <w:r>
        <w:rPr>
          <w:rFonts w:cs="Times New Roman" w:ascii="Times New Roman" w:hAnsi="Times New Roman"/>
          <w:sz w:val="24"/>
          <w:szCs w:val="24"/>
        </w:rPr>
        <w:t>Perkančioji organizacija nereikalauja iš tiekėjo pateikti dokumentų, patvirtinančių jo pašalinimo pagrindų nebuvimą, jeigu ji:</w:t>
      </w:r>
    </w:p>
    <w:p>
      <w:pPr>
        <w:pStyle w:val="NoSpacing"/>
        <w:numPr>
          <w:ilvl w:val="1"/>
          <w:numId w:val="16"/>
        </w:numPr>
        <w:ind w:firstLine="851" w:left="0"/>
        <w:jc w:val="both"/>
        <w:rPr>
          <w:rFonts w:ascii="Times New Roman" w:hAnsi="Times New Roman" w:cs="Times New Roman"/>
          <w:sz w:val="24"/>
          <w:szCs w:val="24"/>
        </w:rPr>
      </w:pPr>
      <w:r>
        <w:rPr>
          <w:rFonts w:cs="Times New Roman" w:ascii="Times New Roman" w:hAnsi="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16"/>
        </w:numPr>
        <w:ind w:firstLine="851" w:left="0"/>
        <w:jc w:val="both"/>
        <w:rPr>
          <w:rFonts w:ascii="Times New Roman" w:hAnsi="Times New Roman" w:cs="Times New Roman"/>
          <w:sz w:val="24"/>
          <w:szCs w:val="24"/>
        </w:rPr>
      </w:pPr>
      <w:r>
        <w:rPr>
          <w:rFonts w:cs="Times New Roman"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16"/>
        </w:numPr>
        <w:ind w:hanging="0" w:left="0"/>
        <w:jc w:val="both"/>
        <w:rPr>
          <w:rFonts w:ascii="Times New Roman" w:hAnsi="Times New Roman" w:cs="Times New Roman"/>
          <w:sz w:val="24"/>
          <w:szCs w:val="24"/>
        </w:rPr>
      </w:pPr>
      <w:r>
        <w:rPr>
          <w:rFonts w:cs="Times New Roman"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7.1.priesaikos deklaracija;</w:t>
      </w:r>
    </w:p>
    <w:p>
      <w:pPr>
        <w:pStyle w:val="Normal"/>
        <w:spacing w:lineRule="auto" w:line="240"/>
        <w:ind w:firstLine="851"/>
        <w:jc w:val="both"/>
        <w:rPr>
          <w:rFonts w:ascii="Times New Roman" w:hAnsi="Times New Roman" w:cs="Times New Roman"/>
          <w:sz w:val="24"/>
          <w:szCs w:val="24"/>
        </w:rPr>
      </w:pPr>
      <w:r>
        <w:rPr>
          <w:rFonts w:cs="Times New Roman" w:ascii="Times New Roman" w:hAnsi="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Normal"/>
        <w:rPr>
          <w:rFonts w:ascii="Times New Roman" w:hAnsi="Times New Roman" w:cs="Times New Roman"/>
          <w:sz w:val="24"/>
          <w:szCs w:val="24"/>
        </w:rPr>
      </w:pPr>
      <w:r>
        <w:rPr>
          <w:rFonts w:cs="Times New Roman" w:ascii="Times New Roman" w:hAnsi="Times New Roman"/>
          <w:sz w:val="24"/>
          <w:szCs w:val="24"/>
        </w:rPr>
      </w:r>
    </w:p>
    <w:tbl>
      <w:tblPr>
        <w:tblW w:w="10646" w:type="dxa"/>
        <w:jc w:val="left"/>
        <w:tblInd w:w="-713" w:type="dxa"/>
        <w:tblLayout w:type="fixed"/>
        <w:tblCellMar>
          <w:top w:w="0" w:type="dxa"/>
          <w:left w:w="108" w:type="dxa"/>
          <w:bottom w:w="0" w:type="dxa"/>
          <w:right w:w="108" w:type="dxa"/>
        </w:tblCellMar>
        <w:tblLook w:firstRow="1" w:noVBand="1" w:lastRow="0" w:firstColumn="1" w:lastColumn="0" w:noHBand="0" w:val="04a0"/>
      </w:tblPr>
      <w:tblGrid>
        <w:gridCol w:w="700"/>
        <w:gridCol w:w="3257"/>
        <w:gridCol w:w="1699"/>
        <w:gridCol w:w="4949"/>
        <w:gridCol w:w="41"/>
      </w:tblGrid>
      <w:tr>
        <w:trPr/>
        <w:tc>
          <w:tcPr>
            <w:tcW w:w="700"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rFonts w:ascii="Times New Roman" w:hAnsi="Times New Roman" w:cs="Times New Roman"/>
                <w:b/>
                <w:bCs/>
                <w:sz w:val="24"/>
                <w:szCs w:val="24"/>
              </w:rPr>
            </w:pPr>
            <w:r>
              <w:rPr>
                <w:rFonts w:cs="Times New Roman" w:ascii="Times New Roman" w:hAnsi="Times New Roman"/>
                <w:b/>
                <w:bCs/>
                <w:sz w:val="24"/>
                <w:szCs w:val="24"/>
              </w:rPr>
              <w:t>Eil. Nr.</w:t>
            </w:r>
          </w:p>
        </w:tc>
        <w:tc>
          <w:tcPr>
            <w:tcW w:w="325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4"/>
                <w:szCs w:val="24"/>
                <w:lang w:eastAsia="en-US"/>
              </w:rPr>
            </w:pPr>
            <w:r>
              <w:rPr>
                <w:rFonts w:cs="Times New Roman" w:ascii="Times New Roman" w:hAnsi="Times New Roman"/>
                <w:b/>
                <w:sz w:val="24"/>
                <w:szCs w:val="24"/>
              </w:rPr>
              <w:t>Tiekėjo pašalinimo pagrindai</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straipsnis,  dalis, punktas bei EBVPD formos dalis pildymui</w:t>
            </w:r>
          </w:p>
        </w:tc>
        <w:tc>
          <w:tcPr>
            <w:tcW w:w="49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iCs/>
                <w:sz w:val="24"/>
                <w:szCs w:val="24"/>
                <w:lang w:eastAsia="en-US"/>
              </w:rPr>
            </w:pPr>
            <w:r>
              <w:rPr>
                <w:rFonts w:cs="Times New Roman" w:ascii="Times New Roman" w:hAnsi="Times New Roman"/>
                <w:b/>
                <w:sz w:val="24"/>
                <w:szCs w:val="24"/>
              </w:rPr>
              <w:t>Pašalinimo pagrindų nebuvimą įrodantys dokumentai</w:t>
            </w:r>
          </w:p>
        </w:tc>
        <w:tc>
          <w:tcPr>
            <w:tcW w:w="41"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10646" w:type="dxa"/>
            <w:gridSpan w:val="5"/>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b/>
                <w:bCs/>
                <w:sz w:val="24"/>
                <w:szCs w:val="24"/>
                <w:lang w:eastAsia="en-US"/>
              </w:rPr>
              <w:t>Privalomi pašalinimo pagrindai pagal VPĮ 46 straipsnio 1 – 4 dalių nuostatas</w:t>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b/>
                <w:bCs/>
                <w:sz w:val="24"/>
                <w:szCs w:val="24"/>
              </w:rPr>
            </w:pPr>
            <w:r>
              <w:rPr>
                <w:rFonts w:cs="Times New Roman" w:ascii="Times New Roman" w:hAnsi="Times New Roman"/>
                <w:b/>
                <w:bCs/>
                <w:sz w:val="24"/>
                <w:szCs w:val="24"/>
              </w:rPr>
            </w:r>
          </w:p>
        </w:tc>
        <w:tc>
          <w:tcPr>
            <w:tcW w:w="325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lang w:eastAsia="en-US"/>
              </w:rPr>
            </w:pPr>
            <w:r>
              <w:rPr>
                <w:rFonts w:cs="Times New Roman" w:ascii="Times New Roman" w:hAnsi="Times New Roman"/>
                <w:sz w:val="24"/>
                <w:szCs w:val="24"/>
                <w:lang w:eastAsia="en-US"/>
              </w:rPr>
              <w:t>Tiekėjas arba jo atsakingas asmuo, nurodytas VPĮ 46 straipsnio 2 dalies 2 punkte, nuteistas už šią nusikalstamą veiką: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1) dalyvavimą nusikalstamame susivienijime, jo organizavimą ar vadovavimą jam;</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2) kyšininkavimą, prekybą poveikiu, papirkimą;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4) nusikalstamą bankrotą;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5) teroristinį ir su teroristine veikla susijusį nusikaltimą;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6) nusikalstamu būdu gauto turto legalizavimą;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7) prekybą žmonėmis, vaiko pirkimą arba pardavimą;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Laikoma, kad tiekėjas arba jo atsakingas asmuo nuteistas už aukščiau nurodytą nusikalstamą veiką, kai dėl:</w:t>
            </w:r>
          </w:p>
          <w:p>
            <w:pPr>
              <w:pStyle w:val="NoSpacing"/>
              <w:jc w:val="both"/>
              <w:rPr>
                <w:rFonts w:ascii="Times New Roman" w:hAnsi="Times New Roman" w:cs="Times New Roman"/>
                <w:bCs/>
                <w:sz w:val="24"/>
                <w:szCs w:val="24"/>
                <w:lang w:eastAsia="en-US"/>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sz w:val="24"/>
                <w:szCs w:val="24"/>
              </w:rPr>
            </w:pPr>
            <w:r>
              <w:rPr>
                <w:rFonts w:cs="Times New Roman" w:ascii="Times New Roman" w:hAnsi="Times New Roman"/>
                <w:sz w:val="24"/>
                <w:szCs w:val="24"/>
              </w:rPr>
              <w:t>2) tiekėjo, kuris yra juridinis asmuo, kita organizacija ar jos </w:t>
            </w:r>
            <w:r>
              <w:rPr>
                <w:rFonts w:cs="Times New Roman" w:ascii="Times New Roman" w:hAnsi="Times New Roman"/>
                <w:b/>
                <w:bCs/>
                <w:sz w:val="24"/>
                <w:szCs w:val="24"/>
              </w:rPr>
              <w:t>struktūrinis</w:t>
            </w:r>
            <w:r>
              <w:rPr>
                <w:rFonts w:cs="Times New Roman" w:ascii="Times New Roman" w:hAnsi="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 xml:space="preserve">3)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69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eastAsia="en-US"/>
              </w:rPr>
            </w:pPr>
            <w:r>
              <w:rPr>
                <w:rFonts w:eastAsia="Yu Mincho" w:cs="Times New Roman" w:ascii="Times New Roman" w:hAnsi="Times New Roman"/>
                <w:b/>
                <w:bCs/>
                <w:sz w:val="24"/>
                <w:szCs w:val="24"/>
                <w:lang w:eastAsia="en-US"/>
              </w:rPr>
              <w:t>VPĮ 46 straipsnio 1 dalis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t>EBVPD III dalies A1-A6 punktai</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t>EBVPD III dalies D1 punktas</w:t>
            </w:r>
          </w:p>
        </w:tc>
        <w:tc>
          <w:tcPr>
            <w:tcW w:w="49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Lietuvoje įsteigtų subjektų reikalaujama:</w:t>
            </w:r>
          </w:p>
          <w:p>
            <w:pPr>
              <w:pStyle w:val="NoSpacing"/>
              <w:numPr>
                <w:ilvl w:val="0"/>
                <w:numId w:val="14"/>
              </w:numPr>
              <w:ind w:hanging="360" w:left="314"/>
              <w:jc w:val="both"/>
              <w:rPr>
                <w:rFonts w:ascii="Times New Roman" w:hAnsi="Times New Roman" w:cs="Times New Roman"/>
                <w:b/>
                <w:bCs/>
                <w:sz w:val="24"/>
                <w:szCs w:val="24"/>
              </w:rPr>
            </w:pPr>
            <w:r>
              <w:rPr>
                <w:rFonts w:cs="Times New Roman" w:ascii="Times New Roman" w:hAnsi="Times New Roman"/>
                <w:sz w:val="24"/>
                <w:szCs w:val="24"/>
              </w:rPr>
              <w:t>išrašo iš teismo sprendimo arba</w:t>
            </w:r>
          </w:p>
          <w:p>
            <w:pPr>
              <w:pStyle w:val="NoSpacing"/>
              <w:numPr>
                <w:ilvl w:val="0"/>
                <w:numId w:val="14"/>
              </w:numPr>
              <w:ind w:hanging="360" w:left="314"/>
              <w:jc w:val="both"/>
              <w:rPr>
                <w:rFonts w:ascii="Times New Roman" w:hAnsi="Times New Roman" w:cs="Times New Roman"/>
                <w:b/>
                <w:bCs/>
                <w:sz w:val="24"/>
                <w:szCs w:val="24"/>
              </w:rPr>
            </w:pPr>
            <w:r>
              <w:rPr>
                <w:rFonts w:cs="Times New Roman" w:ascii="Times New Roman" w:hAnsi="Times New Roman"/>
                <w:sz w:val="24"/>
                <w:szCs w:val="24"/>
              </w:rPr>
              <w:t>Informatikos ir ryšių departamento prie Vidaus reikalų ministerijos pažymos, arba</w:t>
            </w:r>
          </w:p>
          <w:p>
            <w:pPr>
              <w:pStyle w:val="NoSpacing"/>
              <w:numPr>
                <w:ilvl w:val="0"/>
                <w:numId w:val="14"/>
              </w:numPr>
              <w:ind w:hanging="360" w:left="314"/>
              <w:jc w:val="both"/>
              <w:rPr>
                <w:rFonts w:ascii="Times New Roman" w:hAnsi="Times New Roman" w:cs="Times New Roman"/>
                <w:b/>
                <w:bCs/>
                <w:sz w:val="24"/>
                <w:szCs w:val="24"/>
              </w:rPr>
            </w:pPr>
            <w:r>
              <w:rPr>
                <w:rFonts w:cs="Times New Roman" w:ascii="Times New Roman" w:hAnsi="Times New Roman"/>
                <w:sz w:val="24"/>
                <w:szCs w:val="24"/>
              </w:rPr>
              <w:t>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4"/>
              </w:numPr>
              <w:ind w:hanging="360" w:left="314"/>
              <w:jc w:val="both"/>
              <w:rPr>
                <w:rFonts w:ascii="Times New Roman" w:hAnsi="Times New Roman" w:cs="Times New Roman"/>
                <w:b/>
                <w:bCs/>
                <w:sz w:val="24"/>
                <w:szCs w:val="24"/>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4"/>
            </w:r>
            <w:r>
              <w:rPr>
                <w:rFonts w:cs="Times New Roman" w:ascii="Times New Roman" w:hAnsi="Times New Roman"/>
                <w:sz w:val="24"/>
                <w:szCs w:val="24"/>
              </w:rPr>
              <w:t>.</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color w:val="7030A0"/>
                <w:sz w:val="24"/>
                <w:szCs w:val="24"/>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41"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b/>
                <w:bCs/>
                <w:sz w:val="24"/>
                <w:szCs w:val="24"/>
              </w:rPr>
            </w:pPr>
            <w:r>
              <w:rPr>
                <w:rFonts w:cs="Times New Roman" w:ascii="Times New Roman" w:hAnsi="Times New Roman"/>
                <w:b/>
                <w:bCs/>
                <w:sz w:val="24"/>
                <w:szCs w:val="24"/>
              </w:rPr>
            </w:r>
          </w:p>
        </w:tc>
        <w:tc>
          <w:tcPr>
            <w:tcW w:w="325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Tiekėjas yra neatlikęs jam paskirtos baudžiamojo poveikio priemonės – uždraudimo juridiniam asmeniui dalyvauti viešuosiuose pirkimuose.</w:t>
            </w:r>
          </w:p>
        </w:tc>
        <w:tc>
          <w:tcPr>
            <w:tcW w:w="169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lang w:eastAsia="en-US"/>
              </w:rPr>
            </w:pPr>
            <w:r>
              <w:rPr>
                <w:rFonts w:eastAsia="Yu Mincho" w:cs="Times New Roman" w:ascii="Times New Roman" w:hAnsi="Times New Roman"/>
                <w:b/>
                <w:bCs/>
                <w:sz w:val="24"/>
                <w:szCs w:val="24"/>
                <w:lang w:eastAsia="en-US"/>
              </w:rPr>
              <w:t>VPĮ 46 straipsnio 2¹ dalis</w:t>
            </w:r>
          </w:p>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r>
          </w:p>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sz w:val="24"/>
                <w:szCs w:val="24"/>
                <w:lang w:eastAsia="en-US"/>
              </w:rPr>
              <w:t>EBVPD III dalies D2 punktas</w:t>
            </w:r>
          </w:p>
        </w:tc>
        <w:tc>
          <w:tcPr>
            <w:tcW w:w="49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sz w:val="24"/>
                <w:szCs w:val="24"/>
              </w:rPr>
            </w:pPr>
            <w:r>
              <w:rPr>
                <w:rFonts w:cs="Times New Roman" w:ascii="Times New Roman" w:hAnsi="Times New Roman"/>
                <w:sz w:val="24"/>
                <w:szCs w:val="24"/>
              </w:rPr>
            </w:r>
          </w:p>
        </w:tc>
        <w:tc>
          <w:tcPr>
            <w:tcW w:w="41"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b/>
                <w:bCs/>
                <w:sz w:val="24"/>
                <w:szCs w:val="24"/>
              </w:rPr>
            </w:pPr>
            <w:r>
              <w:rPr>
                <w:rFonts w:cs="Times New Roman" w:ascii="Times New Roman" w:hAnsi="Times New Roman"/>
                <w:b/>
                <w:bCs/>
                <w:sz w:val="24"/>
                <w:szCs w:val="24"/>
              </w:rPr>
            </w:r>
          </w:p>
        </w:tc>
        <w:tc>
          <w:tcPr>
            <w:tcW w:w="325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lang w:eastAsia="en-US"/>
              </w:rPr>
            </w:pPr>
            <w:r>
              <w:rPr>
                <w:rFonts w:cs="Times New Roman" w:ascii="Times New Roman" w:hAnsi="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Laikoma, kad tiekėjas nuteistas už aukščiau nurodytą nusikalstamą veiką, kai dėl:</w:t>
            </w:r>
          </w:p>
          <w:p>
            <w:pPr>
              <w:pStyle w:val="NoSpacing"/>
              <w:jc w:val="both"/>
              <w:rPr>
                <w:rFonts w:ascii="Times New Roman" w:hAnsi="Times New Roman" w:cs="Times New Roman"/>
                <w:bCs/>
                <w:sz w:val="24"/>
                <w:szCs w:val="24"/>
                <w:lang w:eastAsia="en-US"/>
              </w:rPr>
            </w:pPr>
            <w:r>
              <w:rPr>
                <w:rFonts w:cs="Times New Roman"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 xml:space="preserve">2) tiekėjo, kuris yra juridinis asmuo, kita organizacija ar jos </w:t>
            </w:r>
            <w:r>
              <w:rPr>
                <w:rFonts w:cs="Times New Roman" w:ascii="Times New Roman" w:hAnsi="Times New Roman"/>
                <w:b/>
                <w:sz w:val="24"/>
                <w:szCs w:val="24"/>
                <w:lang w:eastAsia="en-US"/>
              </w:rPr>
              <w:t>struktūrinis</w:t>
            </w:r>
            <w:r>
              <w:rPr>
                <w:rFonts w:cs="Times New Roman"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Tačiau ši nuostata netaikoma, jeigu:</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2) įsiskolinimo suma neviršija 50 Eur (penkiasdešimt eurų);</w:t>
            </w:r>
          </w:p>
          <w:p>
            <w:pPr>
              <w:pStyle w:val="NoSpacing"/>
              <w:jc w:val="both"/>
              <w:rPr>
                <w:rFonts w:ascii="Times New Roman" w:hAnsi="Times New Roman" w:cs="Times New Roman"/>
                <w:b/>
                <w:bCs/>
                <w:sz w:val="24"/>
                <w:szCs w:val="24"/>
                <w:lang w:eastAsia="en-US"/>
              </w:rPr>
            </w:pPr>
            <w:r>
              <w:rPr>
                <w:rFonts w:cs="Times New Roman"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69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3 dalis</w:t>
            </w:r>
          </w:p>
          <w:p>
            <w:pPr>
              <w:pStyle w:val="NoSpacing"/>
              <w:jc w:val="both"/>
              <w:rPr>
                <w:rFonts w:ascii="Times New Roman" w:hAnsi="Times New Roman" w:eastAsia="Arial" w:cs="Times New Roman"/>
                <w:sz w:val="24"/>
                <w:szCs w:val="24"/>
              </w:rPr>
            </w:pPr>
            <w:r>
              <w:rPr>
                <w:rFonts w:eastAsia="Arial"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Arial" w:cs="Times New Roman" w:ascii="Times New Roman" w:hAnsi="Times New Roman"/>
                <w:sz w:val="24"/>
                <w:szCs w:val="24"/>
              </w:rPr>
              <w:t>EBVPD III dalies B1 ir B2 punktai</w:t>
            </w:r>
          </w:p>
        </w:tc>
        <w:tc>
          <w:tcPr>
            <w:tcW w:w="49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Lietuvoje įsteigtų subjektų reikalaujama:</w:t>
            </w:r>
          </w:p>
          <w:p>
            <w:pPr>
              <w:pStyle w:val="NoSpacing"/>
              <w:jc w:val="both"/>
              <w:rPr>
                <w:rFonts w:ascii="Times New Roman" w:hAnsi="Times New Roman" w:cs="Times New Roman"/>
                <w:b/>
                <w:bCs/>
                <w:sz w:val="24"/>
                <w:szCs w:val="24"/>
              </w:rPr>
            </w:pPr>
            <w:r>
              <w:rPr>
                <w:rFonts w:cs="Times New Roman" w:ascii="Times New Roman" w:hAnsi="Times New Roman"/>
                <w:sz w:val="24"/>
                <w:szCs w:val="24"/>
              </w:rPr>
              <w:t>1) Dėl įsipareigojimų, susijusių su mokesčių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sz w:val="24"/>
                <w:szCs w:val="24"/>
              </w:rPr>
              <w:t>prašoma:</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numPr>
                <w:ilvl w:val="0"/>
                <w:numId w:val="13"/>
              </w:numPr>
              <w:jc w:val="both"/>
              <w:rPr>
                <w:rFonts w:ascii="Times New Roman" w:hAnsi="Times New Roman" w:cs="Times New Roman"/>
                <w:sz w:val="24"/>
                <w:szCs w:val="24"/>
              </w:rPr>
            </w:pPr>
            <w:r>
              <w:rPr>
                <w:rFonts w:cs="Times New Roman" w:ascii="Times New Roman" w:hAnsi="Times New Roman"/>
                <w:sz w:val="24"/>
                <w:szCs w:val="24"/>
              </w:rPr>
              <w:t>išrašo iš teismo sprendimo (jei toks yra)</w:t>
            </w:r>
          </w:p>
          <w:p>
            <w:pPr>
              <w:pStyle w:val="NoSpacing"/>
              <w:numPr>
                <w:ilvl w:val="0"/>
                <w:numId w:val="13"/>
              </w:numPr>
              <w:jc w:val="both"/>
              <w:rPr>
                <w:rFonts w:ascii="Times New Roman" w:hAnsi="Times New Roman" w:cs="Times New Roman"/>
                <w:sz w:val="24"/>
                <w:szCs w:val="24"/>
              </w:rPr>
            </w:pPr>
            <w:r>
              <w:rPr>
                <w:rFonts w:cs="Times New Roman" w:ascii="Times New Roman" w:hAnsi="Times New Roman"/>
                <w:sz w:val="24"/>
                <w:szCs w:val="24"/>
              </w:rPr>
              <w:t>arba Valstybinės mokesčių inspekcijos prie Lietuvos Respublikos finansų ministerijos išduoto dokumento,</w:t>
            </w:r>
          </w:p>
          <w:p>
            <w:pPr>
              <w:pStyle w:val="NoSpacing"/>
              <w:numPr>
                <w:ilvl w:val="0"/>
                <w:numId w:val="12"/>
              </w:numPr>
              <w:jc w:val="both"/>
              <w:rPr>
                <w:rFonts w:ascii="Times New Roman" w:hAnsi="Times New Roman" w:cs="Times New Roman"/>
                <w:sz w:val="24"/>
                <w:szCs w:val="24"/>
              </w:rPr>
            </w:pPr>
            <w:r>
              <w:rPr>
                <w:rFonts w:cs="Times New Roman" w:ascii="Times New Roman" w:hAnsi="Times New Roman"/>
                <w:sz w:val="24"/>
                <w:szCs w:val="24"/>
              </w:rPr>
              <w:t>arba 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4"/>
              </w:numPr>
              <w:ind w:hanging="360" w:left="314"/>
              <w:jc w:val="both"/>
              <w:rPr>
                <w:rFonts w:ascii="Times New Roman" w:hAnsi="Times New Roman" w:cs="Times New Roman"/>
                <w:b/>
                <w:bCs/>
                <w:sz w:val="24"/>
                <w:szCs w:val="24"/>
              </w:rPr>
            </w:pPr>
            <w:r>
              <w:rPr>
                <w:rFonts w:cs="Times New Roman" w:ascii="Times New Roman" w:hAnsi="Times New Roman"/>
                <w:sz w:val="24"/>
                <w:szCs w:val="24"/>
              </w:rPr>
              <w:t>atitinkamos užsienio šalies institucijos dokumento</w:t>
            </w:r>
            <w:r>
              <w:rPr>
                <w:rStyle w:val="FootnoteReference"/>
                <w:rFonts w:cs="Times New Roman" w:ascii="Times New Roman" w:hAnsi="Times New Roman"/>
                <w:sz w:val="24"/>
                <w:szCs w:val="24"/>
              </w:rPr>
              <w:footnoteReference w:id="5"/>
            </w:r>
            <w:r>
              <w:rPr>
                <w:rFonts w:cs="Times New Roman" w:ascii="Times New Roman" w:hAnsi="Times New Roman"/>
                <w:sz w:val="24"/>
                <w:szCs w:val="24"/>
              </w:rPr>
              <w:t>.</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cs="Times New Roman"/>
                <w:i/>
                <w:i/>
                <w:iCs/>
                <w:color w:themeColor="text1" w:val="000000"/>
                <w:sz w:val="24"/>
                <w:szCs w:val="24"/>
              </w:rPr>
            </w:pPr>
            <w:r>
              <w:rPr>
                <w:rFonts w:cs="Times New Roman" w:ascii="Times New Roman" w:hAnsi="Times New Roman"/>
                <w:sz w:val="24"/>
                <w:szCs w:val="24"/>
              </w:rPr>
              <w:t xml:space="preserve">Nurodyti dokumentai turi būti  išduoti ne anksčiau kaip 180 dienų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i/>
                <w:i/>
                <w:iCs/>
                <w:color w:val="7030A0"/>
                <w:sz w:val="24"/>
                <w:szCs w:val="24"/>
              </w:rPr>
            </w:pPr>
            <w:r>
              <w:rPr>
                <w:rFonts w:cs="Times New Roman" w:ascii="Times New Roman" w:hAnsi="Times New Roman"/>
                <w:i/>
                <w:iCs/>
                <w:color w:val="7030A0"/>
                <w:sz w:val="24"/>
                <w:szCs w:val="24"/>
              </w:rPr>
            </w:r>
          </w:p>
          <w:p>
            <w:pPr>
              <w:pStyle w:val="NoSpacing"/>
              <w:jc w:val="both"/>
              <w:rPr>
                <w:rFonts w:ascii="Times New Roman" w:hAnsi="Times New Roman" w:cs="Times New Roman"/>
                <w:b/>
                <w:bCs/>
                <w:sz w:val="24"/>
                <w:szCs w:val="24"/>
              </w:rPr>
            </w:pPr>
            <w:r>
              <w:rPr>
                <w:rFonts w:cs="Times New Roman"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Cs/>
                <w:sz w:val="24"/>
                <w:szCs w:val="24"/>
              </w:rPr>
              <w:t>2) Dėl įsipareigojimų, susijusių su socialinio draudimo įmokų mokėjimu, įvykdymo i</w:t>
            </w:r>
            <w:r>
              <w:rPr>
                <w:rFonts w:cs="Times New Roman" w:ascii="Times New Roman" w:hAnsi="Times New Roman"/>
                <w:sz w:val="24"/>
                <w:szCs w:val="24"/>
                <w:lang w:eastAsia="en-US"/>
              </w:rPr>
              <w:t xml:space="preserve">š Lietuvoje įsteigtų subjektų </w:t>
            </w:r>
            <w:r>
              <w:rPr>
                <w:rFonts w:cs="Times New Roman" w:ascii="Times New Roman" w:hAnsi="Times New Roman"/>
                <w:bCs/>
                <w:sz w:val="24"/>
                <w:szCs w:val="24"/>
              </w:rPr>
              <w:t>prašoma:</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r>
                <w:rPr>
                  <w:rStyle w:val="Hyperlink"/>
                  <w:rFonts w:cs="Times New Roman" w:ascii="Times New Roman" w:hAnsi="Times New Roman"/>
                  <w:bCs/>
                  <w:sz w:val="24"/>
                  <w:szCs w:val="24"/>
                  <w:u w:val="single"/>
                </w:rPr>
                <w:t>http://draudejai.sodra.lt/draudeju_viesi_duomenys/</w:t>
              </w:r>
            </w:hyperlink>
            <w:r>
              <w:rPr>
                <w:rFonts w:cs="Times New Roman" w:ascii="Times New Roman" w:hAnsi="Times New Roman"/>
                <w:bCs/>
                <w:sz w:val="24"/>
                <w:szCs w:val="24"/>
              </w:rPr>
              <w:t>.</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Iš ne Lietuvoje įsteigtų subjektų reikalaujama:</w:t>
            </w:r>
          </w:p>
          <w:p>
            <w:pPr>
              <w:pStyle w:val="NoSpacing"/>
              <w:numPr>
                <w:ilvl w:val="0"/>
                <w:numId w:val="14"/>
              </w:numPr>
              <w:ind w:hanging="360" w:left="314"/>
              <w:jc w:val="both"/>
              <w:rPr>
                <w:rFonts w:ascii="Times New Roman" w:hAnsi="Times New Roman" w:cs="Times New Roman"/>
                <w:b/>
                <w:bCs/>
                <w:sz w:val="24"/>
                <w:szCs w:val="24"/>
              </w:rPr>
            </w:pPr>
            <w:r>
              <w:rPr>
                <w:rFonts w:cs="Times New Roman" w:ascii="Times New Roman" w:hAnsi="Times New Roman"/>
                <w:sz w:val="24"/>
                <w:szCs w:val="24"/>
              </w:rPr>
              <w:t>atitinkamos užsienio šalies kompetentingos institucijos dokumento</w:t>
            </w:r>
            <w:r>
              <w:rPr>
                <w:rStyle w:val="FootnoteReference"/>
                <w:rFonts w:cs="Times New Roman" w:ascii="Times New Roman" w:hAnsi="Times New Roman"/>
                <w:sz w:val="24"/>
                <w:szCs w:val="24"/>
              </w:rPr>
              <w:footnoteReference w:id="6"/>
            </w:r>
            <w:r>
              <w:rPr>
                <w:rFonts w:cs="Times New Roman" w:ascii="Times New Roman" w:hAnsi="Times New Roman"/>
                <w:sz w:val="24"/>
                <w:szCs w:val="24"/>
              </w:rPr>
              <w:t>.</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i/>
                <w:i/>
                <w:iCs/>
                <w:color w:val="7030A0"/>
                <w:sz w:val="24"/>
                <w:szCs w:val="24"/>
              </w:rPr>
            </w:pPr>
            <w:r>
              <w:rPr>
                <w:rFonts w:cs="Times New Roman" w:ascii="Times New Roman" w:hAnsi="Times New Roman"/>
                <w:sz w:val="24"/>
                <w:szCs w:val="24"/>
              </w:rPr>
              <w:t xml:space="preserve">Nurodyti dokumentai turi būti  išduoti ne anksčiau kaip </w:t>
            </w:r>
            <w:r>
              <w:rPr>
                <w:rFonts w:cs="Times New Roman" w:ascii="Times New Roman" w:hAnsi="Times New Roman"/>
                <w:color w:val="00B050"/>
                <w:sz w:val="24"/>
                <w:szCs w:val="24"/>
              </w:rPr>
              <w:t>180</w:t>
            </w:r>
            <w:r>
              <w:rPr>
                <w:rFonts w:cs="Times New Roman" w:ascii="Times New Roman" w:hAnsi="Times New Roman"/>
                <w:sz w:val="24"/>
                <w:szCs w:val="24"/>
              </w:rPr>
              <w:t xml:space="preserve"> </w:t>
            </w:r>
            <w:r>
              <w:rPr>
                <w:rFonts w:cs="Times New Roman" w:ascii="Times New Roman" w:hAnsi="Times New Roman"/>
                <w:color w:val="00B050"/>
                <w:sz w:val="24"/>
                <w:szCs w:val="24"/>
              </w:rPr>
              <w:t>dienų</w:t>
            </w:r>
            <w:r>
              <w:rPr>
                <w:rFonts w:cs="Times New Roman" w:ascii="Times New Roman" w:hAnsi="Times New Roman"/>
                <w:sz w:val="24"/>
                <w:szCs w:val="24"/>
              </w:rPr>
              <w:t xml:space="preserve"> iki </w:t>
            </w:r>
            <w:r>
              <w:rPr>
                <w:rFonts w:eastAsia="Times New Roman" w:cs="Times New Roman" w:ascii="Times New Roman" w:hAnsi="Times New Roman"/>
                <w:i/>
                <w:iCs/>
                <w:sz w:val="24"/>
                <w:szCs w:val="24"/>
              </w:rPr>
              <w:t>tos dienos, kai tiekėjas perkančiosios organizacijos prašymu turės pateikti pašalinimo pagrindų nebuvimą patvirtinančius dok</w:t>
            </w:r>
            <w:r>
              <w:rPr>
                <w:rFonts w:eastAsia="Times New Roman" w:cs="Times New Roman" w:ascii="Times New Roman" w:hAnsi="Times New Roman"/>
                <w:sz w:val="24"/>
                <w:szCs w:val="24"/>
              </w:rPr>
              <w:t>umentus</w:t>
            </w:r>
            <w:r>
              <w:rPr>
                <w:rFonts w:cs="Times New Roman" w:ascii="Times New Roman" w:hAnsi="Times New Roman"/>
                <w:sz w:val="24"/>
                <w:szCs w:val="24"/>
              </w:rPr>
              <w:t xml:space="preserve">. </w:t>
            </w:r>
            <w:r>
              <w:rPr>
                <w:rFonts w:cs="Times New Roman" w:ascii="Times New Roman" w:hAnsi="Times New Roman"/>
                <w:b/>
                <w:bCs/>
                <w:i/>
                <w:iCs/>
                <w:color w:themeColor="text1" w:val="000000"/>
                <w:sz w:val="24"/>
                <w:szCs w:val="24"/>
              </w:rPr>
              <w:t>Pavyzdys</w:t>
            </w:r>
            <w:r>
              <w:rPr>
                <w:rFonts w:cs="Times New Roman" w:ascii="Times New Roman" w:hAnsi="Times New Roman"/>
                <w:i/>
                <w:iCs/>
                <w:color w:themeColor="text1" w:val="000000"/>
                <w:sz w:val="24"/>
                <w:szCs w:val="24"/>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41" w:type="dxa"/>
            <w:tcBorders/>
            <w:tcMar>
              <w:left w:w="10" w:type="dxa"/>
              <w:right w:w="10" w:type="dxa"/>
            </w:tcMar>
          </w:tcPr>
          <w:p>
            <w:pPr>
              <w:pStyle w:val="Normal"/>
              <w:widowControl/>
              <w:suppressAutoHyphens w:val="true"/>
              <w:bidi w:val="0"/>
              <w:spacing w:lineRule="auto" w:line="276" w:before="0" w:after="160"/>
              <w:jc w:val="left"/>
              <w:rPr/>
            </w:pPr>
            <w:r>
              <w:rPr/>
            </w:r>
            <w:bookmarkStart w:id="54" w:name="_Hlk90887843"/>
            <w:bookmarkStart w:id="55" w:name="_Hlk90887843"/>
            <w:bookmarkEnd w:id="55"/>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b/>
                <w:bCs/>
                <w:sz w:val="24"/>
                <w:szCs w:val="24"/>
              </w:rPr>
            </w:pPr>
            <w:r>
              <w:rPr>
                <w:rFonts w:cs="Times New Roman" w:ascii="Times New Roman" w:hAnsi="Times New Roman"/>
                <w:b/>
                <w:bCs/>
                <w:sz w:val="24"/>
                <w:szCs w:val="24"/>
              </w:rPr>
            </w:r>
          </w:p>
        </w:tc>
        <w:tc>
          <w:tcPr>
            <w:tcW w:w="325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69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1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C10 punktas</w:t>
            </w:r>
          </w:p>
        </w:tc>
        <w:tc>
          <w:tcPr>
            <w:tcW w:w="49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1"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b/>
                <w:bCs/>
                <w:sz w:val="24"/>
                <w:szCs w:val="24"/>
              </w:rPr>
            </w:pPr>
            <w:r>
              <w:rPr>
                <w:rFonts w:cs="Times New Roman" w:ascii="Times New Roman" w:hAnsi="Times New Roman"/>
                <w:b/>
                <w:bCs/>
                <w:sz w:val="24"/>
                <w:szCs w:val="24"/>
              </w:rPr>
            </w:r>
          </w:p>
        </w:tc>
        <w:tc>
          <w:tcPr>
            <w:tcW w:w="325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Tiekėjas pirkimo metu pateko į interesų konflikto situaciją, kaip apibrėžta VPĮ 21 straipsnyje, ir atitinkamos padėties negalima ištaisyti.</w:t>
            </w:r>
          </w:p>
          <w:p>
            <w:pPr>
              <w:pStyle w:val="NoSpacing"/>
              <w:jc w:val="both"/>
              <w:rPr>
                <w:rFonts w:ascii="Times New Roman" w:hAnsi="Times New Roman" w:cs="Times New Roman"/>
                <w:b/>
                <w:bCs/>
                <w:sz w:val="24"/>
                <w:szCs w:val="24"/>
              </w:rPr>
            </w:pPr>
            <w:r>
              <w:rPr>
                <w:rFonts w:cs="Times New Roman"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9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2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 III dalies C12 punktas</w:t>
            </w:r>
          </w:p>
        </w:tc>
        <w:tc>
          <w:tcPr>
            <w:tcW w:w="49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1"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b/>
                <w:bCs/>
                <w:sz w:val="24"/>
                <w:szCs w:val="24"/>
              </w:rPr>
            </w:pPr>
            <w:r>
              <w:rPr>
                <w:rFonts w:cs="Times New Roman" w:ascii="Times New Roman" w:hAnsi="Times New Roman"/>
                <w:b/>
                <w:bCs/>
                <w:sz w:val="24"/>
                <w:szCs w:val="24"/>
              </w:rPr>
            </w:r>
          </w:p>
        </w:tc>
        <w:tc>
          <w:tcPr>
            <w:tcW w:w="325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Pažeista konkurencija, kaip nustatyta VPĮ 27 straipsnio 3 ir 4 dalyse, ir atitinkamos padėties negalima ištaisyti.</w:t>
            </w:r>
          </w:p>
        </w:tc>
        <w:tc>
          <w:tcPr>
            <w:tcW w:w="169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3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C13 punktas</w:t>
            </w:r>
          </w:p>
        </w:tc>
        <w:tc>
          <w:tcPr>
            <w:tcW w:w="49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1"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b/>
                <w:bCs/>
                <w:sz w:val="24"/>
                <w:szCs w:val="24"/>
              </w:rPr>
            </w:pPr>
            <w:r>
              <w:rPr>
                <w:rFonts w:cs="Times New Roman" w:ascii="Times New Roman" w:hAnsi="Times New Roman"/>
                <w:b/>
                <w:bCs/>
                <w:sz w:val="24"/>
                <w:szCs w:val="24"/>
              </w:rPr>
            </w:r>
          </w:p>
        </w:tc>
        <w:tc>
          <w:tcPr>
            <w:tcW w:w="325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Spacing"/>
              <w:jc w:val="both"/>
              <w:rPr>
                <w:rFonts w:ascii="Times New Roman" w:hAnsi="Times New Roman" w:cs="Times New Roman"/>
                <w:bCs/>
                <w:sz w:val="24"/>
                <w:szCs w:val="24"/>
              </w:rPr>
            </w:pPr>
            <w:r>
              <w:rPr>
                <w:rFonts w:cs="Times New Roman"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9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4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C15 punktas</w:t>
            </w:r>
          </w:p>
        </w:tc>
        <w:tc>
          <w:tcPr>
            <w:tcW w:w="49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t>Priimant sprendimus dėl tiekėjo pašalinimo iš pirkimo procedūros šiame punkte nurodytu pašalinimo pagrindu, be kita ko, gali būti atsižvelgiama į pagal VPĮ 52 straipsnį skelbiamą informaciją:</w:t>
            </w:r>
          </w:p>
          <w:p>
            <w:pPr>
              <w:pStyle w:val="NoSpacing"/>
              <w:jc w:val="both"/>
              <w:rPr>
                <w:rFonts w:ascii="Times New Roman" w:hAnsi="Times New Roman" w:cs="Times New Roman"/>
                <w:sz w:val="24"/>
                <w:szCs w:val="24"/>
              </w:rPr>
            </w:pPr>
            <w:hyperlink r:id="rId8">
              <w:r>
                <w:rPr>
                  <w:rStyle w:val="Hyperlink"/>
                  <w:rFonts w:cs="Times New Roman" w:ascii="Times New Roman" w:hAnsi="Times New Roman"/>
                  <w:sz w:val="24"/>
                  <w:szCs w:val="24"/>
                </w:rPr>
                <w:t>https://vpt.lrv.lt/lt/nuorodos/kiti-duomenys/powerbi/melaginga-informacija-pateikusiu-tiekeju-sarasas-3/</w:t>
              </w:r>
            </w:hyperlink>
          </w:p>
        </w:tc>
        <w:tc>
          <w:tcPr>
            <w:tcW w:w="41"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b/>
                <w:bCs/>
                <w:sz w:val="24"/>
                <w:szCs w:val="24"/>
              </w:rPr>
            </w:pPr>
            <w:r>
              <w:rPr>
                <w:rFonts w:cs="Times New Roman" w:ascii="Times New Roman" w:hAnsi="Times New Roman"/>
                <w:b/>
                <w:bCs/>
                <w:sz w:val="24"/>
                <w:szCs w:val="24"/>
              </w:rPr>
            </w:r>
          </w:p>
        </w:tc>
        <w:tc>
          <w:tcPr>
            <w:tcW w:w="325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9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5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C15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49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tc>
        <w:tc>
          <w:tcPr>
            <w:tcW w:w="41"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b/>
                <w:bCs/>
                <w:sz w:val="24"/>
                <w:szCs w:val="24"/>
              </w:rPr>
            </w:pPr>
            <w:r>
              <w:rPr>
                <w:rFonts w:cs="Times New Roman" w:ascii="Times New Roman" w:hAnsi="Times New Roman"/>
                <w:b/>
                <w:bCs/>
                <w:sz w:val="24"/>
                <w:szCs w:val="24"/>
              </w:rPr>
            </w:r>
          </w:p>
        </w:tc>
        <w:tc>
          <w:tcPr>
            <w:tcW w:w="325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9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6 punktas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w:t>
            </w:r>
            <w:r>
              <w:rPr>
                <w:rFonts w:eastAsia="Arial" w:cs="Times New Roman" w:ascii="Times New Roman" w:hAnsi="Times New Roman"/>
                <w:sz w:val="24"/>
                <w:szCs w:val="24"/>
              </w:rPr>
              <w:t xml:space="preserve"> III dalies C14 punktas</w:t>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lang w:eastAsia="en-US"/>
              </w:rPr>
            </w:r>
          </w:p>
        </w:tc>
        <w:tc>
          <w:tcPr>
            <w:tcW w:w="49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t>Priimant sprendimus dėl tiekėjo pašalinimo iš pirkimo procedūros šiame punkte nurodytu pašalinimo pagrindu, gali būti atsižvelgiama į pagal VPĮ 91 straipsnį skelbiamą informaciją:</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hyperlink r:id="rId9">
              <w:r>
                <w:rPr>
                  <w:rStyle w:val="Hyperlink"/>
                  <w:rFonts w:cs="Times New Roman" w:ascii="Times New Roman" w:hAnsi="Times New Roman"/>
                  <w:sz w:val="24"/>
                  <w:szCs w:val="24"/>
                </w:rPr>
                <w:t>https://vpt.lrv.lt/lt/nuorodos/kiti-duomenys/powerbi/nepatikimi-tiekejai-1/</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hyperlink r:id="rId10">
              <w:r>
                <w:rPr>
                  <w:rStyle w:val="Hyperlink"/>
                  <w:rFonts w:cs="Times New Roman" w:ascii="Times New Roman" w:hAnsi="Times New Roman"/>
                  <w:sz w:val="24"/>
                  <w:szCs w:val="24"/>
                </w:rPr>
                <w:t>https://vpt.lrv.lt/lt/pasalinimo-pagrindai-1/nepatikimu-koncesininku-sarasas-1/nepatikimu-koncesininku-sarasas/</w:t>
              </w:r>
            </w:hyperlink>
          </w:p>
          <w:p>
            <w:pPr>
              <w:pStyle w:val="NoSpacing"/>
              <w:jc w:val="both"/>
              <w:rPr>
                <w:rFonts w:ascii="Times New Roman" w:hAnsi="Times New Roman" w:cs="Times New Roman"/>
                <w:bCs/>
                <w:sz w:val="24"/>
                <w:szCs w:val="24"/>
              </w:rPr>
            </w:pPr>
            <w:r>
              <w:rPr>
                <w:rFonts w:cs="Times New Roman" w:ascii="Times New Roman" w:hAnsi="Times New Roman"/>
                <w:bCs/>
                <w:sz w:val="24"/>
                <w:szCs w:val="24"/>
              </w:rPr>
            </w:r>
          </w:p>
          <w:p>
            <w:pPr>
              <w:pStyle w:val="NoSpacing"/>
              <w:jc w:val="both"/>
              <w:rPr>
                <w:rFonts w:ascii="Times New Roman" w:hAnsi="Times New Roman" w:cs="Times New Roman"/>
                <w:b/>
                <w:bCs/>
                <w:sz w:val="24"/>
                <w:szCs w:val="24"/>
              </w:rPr>
            </w:pPr>
            <w:r>
              <w:rPr>
                <w:rFonts w:cs="Times New Roman" w:ascii="Times New Roman" w:hAnsi="Times New Roman"/>
                <w:b/>
                <w:bCs/>
                <w:sz w:val="24"/>
                <w:szCs w:val="24"/>
              </w:rPr>
            </w:r>
          </w:p>
        </w:tc>
        <w:tc>
          <w:tcPr>
            <w:tcW w:w="41"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sz w:val="24"/>
                <w:szCs w:val="24"/>
              </w:rPr>
            </w:pPr>
            <w:r>
              <w:rPr>
                <w:rFonts w:cs="Times New Roman" w:ascii="Times New Roman" w:hAnsi="Times New Roman"/>
                <w:sz w:val="24"/>
                <w:szCs w:val="24"/>
              </w:rPr>
            </w:r>
          </w:p>
          <w:p>
            <w:pPr>
              <w:pStyle w:val="NoSpacing"/>
              <w:rPr>
                <w:rFonts w:ascii="Times New Roman" w:hAnsi="Times New Roman" w:cs="Times New Roman"/>
                <w:sz w:val="24"/>
                <w:szCs w:val="24"/>
              </w:rPr>
            </w:pPr>
            <w:r>
              <w:rPr>
                <w:rFonts w:cs="Times New Roman" w:ascii="Times New Roman" w:hAnsi="Times New Roman"/>
                <w:sz w:val="24"/>
                <w:szCs w:val="24"/>
              </w:rPr>
            </w:r>
          </w:p>
        </w:tc>
        <w:tc>
          <w:tcPr>
            <w:tcW w:w="325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yra padaręs rimtą profesinį pažeidimą, dėl kurio perkančioji organizacija abejoja tiekėjo sąžiningumu, kai jis</w:t>
            </w:r>
            <w:bookmarkStart w:id="56" w:name="part_030e6c6c64ba4f96a23474e439d1b80c"/>
            <w:bookmarkEnd w:id="56"/>
            <w:r>
              <w:rPr>
                <w:rFonts w:cs="Times New Roman" w:ascii="Times New Roman" w:hAnsi="Times New Roman"/>
                <w:sz w:val="24"/>
                <w:szCs w:val="24"/>
              </w:rPr>
              <w:t xml:space="preserve"> yra padaręs finansinės atskaitomybės ir audito teisės aktų pažeidimą ir nuo jo padarymo dienos praėjo mažiau kaip vieni metai.</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tc>
        <w:tc>
          <w:tcPr>
            <w:tcW w:w="169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a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t>EBVPD III dalies C11 punktas</w:t>
            </w:r>
          </w:p>
        </w:tc>
        <w:tc>
          <w:tcPr>
            <w:tcW w:w="49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lang w:eastAsia="en-US"/>
              </w:rPr>
              <w:t xml:space="preserve">Iš Lietuvoje įsteigtų subjektų įrodančių dokumentų nereikalaujama. Užtenka pateikto EBVPD. </w:t>
            </w: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1">
              <w:r>
                <w:rPr>
                  <w:rStyle w:val="Hyperlink"/>
                  <w:rFonts w:cs="Times New Roman" w:ascii="Times New Roman" w:hAnsi="Times New Roman"/>
                  <w:sz w:val="24"/>
                  <w:szCs w:val="24"/>
                  <w:u w:val="single"/>
                </w:rPr>
                <w:t>https://www.registrucentras.lt/jar/p/index.php</w:t>
              </w:r>
            </w:hyperlink>
          </w:p>
          <w:p>
            <w:pPr>
              <w:pStyle w:val="NoSpacing"/>
              <w:jc w:val="both"/>
              <w:rPr>
                <w:rFonts w:ascii="Times New Roman" w:hAnsi="Times New Roman" w:cs="Times New Roman"/>
                <w:sz w:val="24"/>
                <w:szCs w:val="24"/>
              </w:rPr>
            </w:pPr>
            <w:r>
              <w:rPr>
                <w:rFonts w:cs="Times New Roman" w:ascii="Times New Roman" w:hAnsi="Times New Roman"/>
                <w:sz w:val="24"/>
                <w:szCs w:val="24"/>
              </w:rPr>
              <w:t>paskelbtą informaciją, taip pat į šiame informaciniame pranešime pateiktą informaciją:</w:t>
            </w:r>
          </w:p>
          <w:p>
            <w:pPr>
              <w:pStyle w:val="NoSpacing"/>
              <w:jc w:val="both"/>
              <w:rPr>
                <w:rFonts w:ascii="Times New Roman" w:hAnsi="Times New Roman" w:cs="Times New Roman"/>
                <w:sz w:val="24"/>
                <w:szCs w:val="24"/>
              </w:rPr>
            </w:pPr>
            <w:hyperlink r:id="rId12">
              <w:r>
                <w:rPr>
                  <w:rStyle w:val="Hyperlink"/>
                  <w:rFonts w:cs="Times New Roman" w:ascii="Times New Roman" w:hAnsi="Times New Roman"/>
                  <w:sz w:val="24"/>
                  <w:szCs w:val="24"/>
                </w:rPr>
                <w:t>https://vpt.lrv.lt/lt/naujienos-3/finansiniu-ataskaitu-nepateikimas-gali-tapti-kliutimi-dalyvauti-viesuosiuose-pirkimuose/</w:t>
              </w:r>
            </w:hyperlink>
          </w:p>
          <w:p>
            <w:pPr>
              <w:pStyle w:val="NoSpacing"/>
              <w:jc w:val="both"/>
              <w:rPr>
                <w:rFonts w:ascii="Times New Roman" w:hAnsi="Times New Roman" w:cs="Times New Roman"/>
                <w:b/>
                <w:bCs/>
                <w:iCs/>
                <w:sz w:val="24"/>
                <w:szCs w:val="24"/>
              </w:rPr>
            </w:pPr>
            <w:r>
              <w:rPr>
                <w:rFonts w:cs="Times New Roman" w:ascii="Times New Roman" w:hAnsi="Times New Roman"/>
                <w:b/>
                <w:bCs/>
                <w:iCs/>
                <w:sz w:val="24"/>
                <w:szCs w:val="24"/>
              </w:rPr>
            </w:r>
          </w:p>
        </w:tc>
        <w:tc>
          <w:tcPr>
            <w:tcW w:w="41"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sz w:val="24"/>
                <w:szCs w:val="24"/>
              </w:rPr>
            </w:pPr>
            <w:r>
              <w:rPr>
                <w:rFonts w:cs="Times New Roman" w:ascii="Times New Roman" w:hAnsi="Times New Roman"/>
                <w:sz w:val="24"/>
                <w:szCs w:val="24"/>
              </w:rPr>
            </w:r>
          </w:p>
        </w:tc>
        <w:tc>
          <w:tcPr>
            <w:tcW w:w="325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4"/>
                <w:szCs w:val="24"/>
              </w:rPr>
            </w:pPr>
            <w:r>
              <w:rPr>
                <w:rFonts w:cs="Times New Roman" w:ascii="Times New Roman" w:hAnsi="Times New Roman"/>
                <w:sz w:val="24"/>
                <w:szCs w:val="24"/>
              </w:rPr>
              <w:t xml:space="preserve">Tiekėjas yra padaręs rimtą profesinį pažeidimą, dėl kurio perkančioji organizacija abejoja tiekėjo sąžiningumu, </w:t>
            </w:r>
            <w:r>
              <w:rPr>
                <w:rFonts w:eastAsia="Times New Roman" w:cs="Times New Roman" w:ascii="Times New Roman" w:hAnsi="Times New Roman"/>
                <w:sz w:val="24"/>
                <w:szCs w:val="24"/>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sz w:val="24"/>
                <w:szCs w:val="24"/>
                <w:vertAlign w:val="superscript"/>
              </w:rPr>
              <w:t>1</w:t>
            </w:r>
            <w:r>
              <w:rPr>
                <w:rFonts w:eastAsia="Times New Roman" w:cs="Times New Roman" w:ascii="Times New Roman" w:hAnsi="Times New Roman"/>
                <w:sz w:val="24"/>
                <w:szCs w:val="24"/>
              </w:rPr>
              <w:t xml:space="preserve"> straipsnio 1 dalyje.</w:t>
            </w:r>
          </w:p>
        </w:tc>
        <w:tc>
          <w:tcPr>
            <w:tcW w:w="169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b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C11 punktas</w:t>
            </w:r>
          </w:p>
        </w:tc>
        <w:tc>
          <w:tcPr>
            <w:tcW w:w="49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
                <w:bCs/>
                <w:iCs/>
                <w:sz w:val="24"/>
                <w:szCs w:val="24"/>
                <w:lang w:eastAsia="en-US"/>
              </w:rPr>
            </w:pPr>
            <w:r>
              <w:rPr>
                <w:rFonts w:cs="Times New Roman" w:ascii="Times New Roman" w:hAnsi="Times New Roman"/>
                <w:b/>
                <w:bCs/>
                <w:iCs/>
                <w:sz w:val="24"/>
                <w:szCs w:val="24"/>
                <w:lang w:eastAsia="en-US"/>
              </w:rPr>
            </w:r>
          </w:p>
          <w:p>
            <w:pPr>
              <w:pStyle w:val="NoSpacing"/>
              <w:jc w:val="both"/>
              <w:rPr>
                <w:rFonts w:ascii="Times New Roman" w:hAnsi="Times New Roman" w:cs="Times New Roman"/>
                <w:b/>
                <w:bCs/>
                <w:sz w:val="24"/>
                <w:szCs w:val="24"/>
              </w:rPr>
            </w:pPr>
            <w:r>
              <w:rPr>
                <w:rFonts w:cs="Times New Roman" w:ascii="Times New Roman" w:hAnsi="Times New Roman"/>
                <w:sz w:val="24"/>
                <w:szCs w:val="24"/>
              </w:rPr>
              <w:t>Priimant sprendimus dėl tiekėjo pašalinimo iš pirkimo procedūros šiame punkte nurodytu pašalinimo pagrindu, be kita ko, atsižvelgiama į</w:t>
            </w:r>
            <w:r>
              <w:rPr>
                <w:rFonts w:cs="Times New Roman" w:ascii="Times New Roman" w:hAnsi="Times New Roman"/>
                <w:b/>
                <w:bCs/>
                <w:sz w:val="24"/>
                <w:szCs w:val="24"/>
              </w:rPr>
              <w:t xml:space="preserve"> </w:t>
            </w:r>
            <w:r>
              <w:rPr>
                <w:rFonts w:cs="Times New Roman" w:ascii="Times New Roman" w:hAnsi="Times New Roman"/>
                <w:sz w:val="24"/>
                <w:szCs w:val="24"/>
              </w:rPr>
              <w:t xml:space="preserve">nacionalinėje duomenų bazėje adresu </w:t>
            </w:r>
            <w:hyperlink r:id="rId13">
              <w:r>
                <w:rPr>
                  <w:rStyle w:val="Hyperlink"/>
                  <w:rFonts w:cs="Times New Roman" w:ascii="Times New Roman" w:hAnsi="Times New Roman"/>
                  <w:sz w:val="24"/>
                  <w:szCs w:val="24"/>
                  <w:u w:val="single"/>
                </w:rPr>
                <w:t>https://www.vmi.lt/evmi/mokesciu-moketoju-informacija</w:t>
              </w:r>
            </w:hyperlink>
            <w:r>
              <w:rPr>
                <w:rFonts w:cs="Times New Roman" w:ascii="Times New Roman" w:hAnsi="Times New Roman"/>
                <w:sz w:val="24"/>
                <w:szCs w:val="24"/>
              </w:rPr>
              <w:t xml:space="preserve"> skelbiamą informaciją.</w:t>
            </w:r>
          </w:p>
        </w:tc>
        <w:tc>
          <w:tcPr>
            <w:tcW w:w="41" w:type="dxa"/>
            <w:tcBorders/>
            <w:tcMar>
              <w:left w:w="10" w:type="dxa"/>
              <w:right w:w="10" w:type="dxa"/>
            </w:tcMar>
          </w:tcPr>
          <w:p>
            <w:pPr>
              <w:pStyle w:val="Normal"/>
              <w:widowControl/>
              <w:suppressAutoHyphens w:val="true"/>
              <w:bidi w:val="0"/>
              <w:spacing w:lineRule="auto" w:line="276" w:before="0" w:after="160"/>
              <w:jc w:val="left"/>
              <w:rPr/>
            </w:pPr>
            <w:r>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Spacing"/>
              <w:numPr>
                <w:ilvl w:val="0"/>
                <w:numId w:val="15"/>
              </w:numPr>
              <w:rPr>
                <w:rFonts w:ascii="Times New Roman" w:hAnsi="Times New Roman" w:cs="Times New Roman"/>
                <w:sz w:val="24"/>
                <w:szCs w:val="24"/>
              </w:rPr>
            </w:pPr>
            <w:r>
              <w:rPr>
                <w:rFonts w:cs="Times New Roman" w:ascii="Times New Roman" w:hAnsi="Times New Roman"/>
                <w:sz w:val="24"/>
                <w:szCs w:val="24"/>
              </w:rPr>
            </w:r>
          </w:p>
        </w:tc>
        <w:tc>
          <w:tcPr>
            <w:tcW w:w="3257"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rPr>
            </w:pPr>
            <w:r>
              <w:rPr>
                <w:rFonts w:cs="Times New Roman" w:ascii="Times New Roman" w:hAnsi="Times New Roman"/>
                <w:sz w:val="24"/>
                <w:szCs w:val="24"/>
              </w:rPr>
              <w:t>Tiekėjas yra padaręs rimtą profesinį pažeidimą, dėl kurio perkančioji organizacija abejoja tiekėjo sąžiningumu,</w:t>
            </w:r>
            <w:r>
              <w:rPr>
                <w:rFonts w:eastAsia="Times New Roman" w:cs="Times New Roman" w:ascii="Times New Roman" w:hAnsi="Times New Roman"/>
                <w:sz w:val="24"/>
                <w:szCs w:val="24"/>
              </w:rPr>
              <w:t xml:space="preserve"> kai jis </w:t>
            </w:r>
            <w:r>
              <w:rPr>
                <w:rFonts w:cs="Times New Roman" w:ascii="Times New Roman" w:hAnsi="Times New Roman"/>
                <w:color w:themeColor="text1"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69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eastAsia="Yu Mincho" w:cs="Times New Roman"/>
                <w:b/>
                <w:bCs/>
                <w:sz w:val="24"/>
                <w:szCs w:val="24"/>
              </w:rPr>
            </w:pPr>
            <w:r>
              <w:rPr>
                <w:rFonts w:eastAsia="Yu Mincho" w:cs="Times New Roman" w:ascii="Times New Roman" w:hAnsi="Times New Roman"/>
                <w:b/>
                <w:bCs/>
                <w:sz w:val="24"/>
                <w:szCs w:val="24"/>
              </w:rPr>
              <w:t>VPĮ 46 straipsnio 4 dalies 7 punkto c papunktis</w:t>
            </w:r>
          </w:p>
          <w:p>
            <w:pPr>
              <w:pStyle w:val="NoSpacing"/>
              <w:jc w:val="both"/>
              <w:rPr>
                <w:rFonts w:ascii="Times New Roman" w:hAnsi="Times New Roman" w:eastAsia="Yu Mincho" w:cs="Times New Roman"/>
                <w:sz w:val="24"/>
                <w:szCs w:val="24"/>
              </w:rPr>
            </w:pPr>
            <w:r>
              <w:rPr>
                <w:rFonts w:eastAsia="Yu Mincho" w:cs="Times New Roman" w:ascii="Times New Roman" w:hAnsi="Times New Roman"/>
                <w:sz w:val="24"/>
                <w:szCs w:val="24"/>
              </w:rPr>
            </w:r>
          </w:p>
          <w:p>
            <w:pPr>
              <w:pStyle w:val="NoSpacing"/>
              <w:jc w:val="both"/>
              <w:rPr>
                <w:rFonts w:ascii="Times New Roman" w:hAnsi="Times New Roman" w:eastAsia="Yu Mincho" w:cs="Times New Roman"/>
                <w:sz w:val="24"/>
                <w:szCs w:val="24"/>
                <w:lang w:eastAsia="en-US"/>
              </w:rPr>
            </w:pPr>
            <w:r>
              <w:rPr>
                <w:rFonts w:eastAsia="Yu Mincho" w:cs="Times New Roman" w:ascii="Times New Roman" w:hAnsi="Times New Roman"/>
                <w:sz w:val="24"/>
                <w:szCs w:val="24"/>
              </w:rPr>
              <w:t>EBVPD III dalies C11 punktas</w:t>
            </w:r>
          </w:p>
        </w:tc>
        <w:tc>
          <w:tcPr>
            <w:tcW w:w="4949"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Iš Lietuvoje įsteigtų subjektų įrodančių dokumentų nereikalaujama. Užtenka pateikto EBVPD.</w:t>
            </w:r>
          </w:p>
          <w:p>
            <w:pPr>
              <w:pStyle w:val="NoSpacing"/>
              <w:jc w:val="both"/>
              <w:rPr>
                <w:rFonts w:ascii="Times New Roman" w:hAnsi="Times New Roman" w:cs="Times New Roman"/>
                <w:bCs/>
                <w:iCs/>
                <w:sz w:val="24"/>
                <w:szCs w:val="24"/>
                <w:lang w:eastAsia="en-US"/>
              </w:rPr>
            </w:pPr>
            <w:r>
              <w:rPr>
                <w:rFonts w:cs="Times New Roman" w:ascii="Times New Roman" w:hAnsi="Times New Roman"/>
                <w:bCs/>
                <w:iCs/>
                <w:sz w:val="24"/>
                <w:szCs w:val="24"/>
                <w:lang w:eastAsia="en-US"/>
              </w:rPr>
            </w:r>
          </w:p>
          <w:p>
            <w:pPr>
              <w:pStyle w:val="Normal"/>
              <w:rPr>
                <w:rFonts w:ascii="Times New Roman" w:hAnsi="Times New Roman" w:cs="Times New Roman"/>
                <w:b/>
                <w:bCs/>
                <w:sz w:val="24"/>
                <w:szCs w:val="24"/>
              </w:rPr>
            </w:pPr>
            <w:r>
              <w:rPr>
                <w:rFonts w:cs="Times New Roman" w:ascii="Times New Roman" w:hAnsi="Times New Roman"/>
                <w:b/>
                <w:bCs/>
                <w:sz w:val="24"/>
                <w:szCs w:val="24"/>
              </w:rPr>
              <w:t>Priimant sprendimus dėl tiekėjo pašalinimo iš pirkimo procedūros šiame punkte nurodytu pašalinimo pagrindu, be kita ko, atsižvelgiama į nacionalinėje duomenų bazėje adresu:</w:t>
            </w:r>
          </w:p>
          <w:p>
            <w:pPr>
              <w:pStyle w:val="Normal"/>
              <w:spacing w:before="0" w:after="160"/>
              <w:rPr>
                <w:rFonts w:ascii="Times New Roman" w:hAnsi="Times New Roman" w:cs="Times New Roman"/>
                <w:bCs/>
                <w:iCs/>
                <w:sz w:val="24"/>
                <w:szCs w:val="24"/>
                <w:lang w:eastAsia="en-US"/>
              </w:rPr>
            </w:pPr>
            <w:hyperlink r:id="rId14">
              <w:r>
                <w:rPr>
                  <w:rStyle w:val="Hyperlink"/>
                  <w:rFonts w:cs="Times New Roman" w:ascii="Times New Roman" w:hAnsi="Times New Roman"/>
                  <w:sz w:val="24"/>
                  <w:szCs w:val="24"/>
                  <w:u w:val="single"/>
                </w:rPr>
                <w:t>https://kt.gov.lt/lt/atviri-duomenys/diskvalifikavimas-is-viesuju-pirkimu</w:t>
              </w:r>
            </w:hyperlink>
            <w:r>
              <w:rPr>
                <w:rFonts w:cs="Times New Roman" w:ascii="Times New Roman" w:hAnsi="Times New Roman"/>
                <w:sz w:val="24"/>
                <w:szCs w:val="24"/>
              </w:rPr>
              <w:t xml:space="preserve"> skelbiamą informaciją.</w:t>
            </w:r>
          </w:p>
        </w:tc>
        <w:tc>
          <w:tcPr>
            <w:tcW w:w="41" w:type="dxa"/>
            <w:tcBorders/>
            <w:tcMar>
              <w:left w:w="10" w:type="dxa"/>
              <w:right w:w="10" w:type="dxa"/>
            </w:tcMar>
          </w:tcPr>
          <w:p>
            <w:pPr>
              <w:pStyle w:val="Normal"/>
              <w:widowControl/>
              <w:suppressAutoHyphens w:val="true"/>
              <w:bidi w:val="0"/>
              <w:spacing w:lineRule="auto" w:line="276" w:before="0" w:after="160"/>
              <w:jc w:val="left"/>
              <w:rPr/>
            </w:pPr>
            <w:r>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Heading2"/>
        <w:ind w:left="5103"/>
        <w:rPr>
          <w:rFonts w:ascii="Times New Roman" w:hAnsi="Times New Roman" w:eastAsia="Calibri" w:cs="Times New Roman"/>
          <w:color w:val="0070C0"/>
          <w:sz w:val="21"/>
          <w:szCs w:val="21"/>
        </w:rPr>
      </w:pPr>
      <w:bookmarkStart w:id="57" w:name="_Toc185177415"/>
      <w:r>
        <w:rPr>
          <w:rFonts w:eastAsia="Calibri" w:cs="Times New Roman" w:ascii="Times New Roman" w:hAnsi="Times New Roman"/>
          <w:color w:val="0070C0"/>
          <w:sz w:val="21"/>
          <w:szCs w:val="21"/>
        </w:rPr>
        <w:t>Pirkimo sąlygų 4 priedas „Tiekėjų kvalifikacijos reikalavimai ir reikalaujami kokybės bei aplinkos apsaugos vadybos sistemų standartai“</w:t>
      </w:r>
      <w:bookmarkEnd w:id="57"/>
    </w:p>
    <w:p>
      <w:pPr>
        <w:pStyle w:val="Normal"/>
        <w:rPr/>
      </w:pPr>
      <w:r>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Subtitle"/>
        <w:spacing w:lineRule="auto" w:line="240"/>
        <w:jc w:val="center"/>
        <w:rPr>
          <w:rFonts w:ascii="Times New Roman" w:hAnsi="Times New Roman" w:cs="Times New Roman"/>
          <w:lang w:eastAsia="en-US"/>
        </w:rPr>
      </w:pPr>
      <w:r>
        <w:rPr>
          <w:rFonts w:cs="Times New Roman" w:ascii="Times New Roman" w:hAnsi="Times New Roman"/>
          <w:smallCaps/>
        </w:rPr>
        <w:t xml:space="preserve">TIEKĖJŲ KVALIFIKACIJOS REIKALAVIMAI IR REIKALAVIMAI LAIKYTIS </w:t>
      </w:r>
      <w:r>
        <w:rPr>
          <w:rFonts w:cs="Times New Roman" w:ascii="Times New Roman" w:hAnsi="Times New Roman"/>
          <w:lang w:eastAsia="en-US"/>
        </w:rPr>
        <w:t>KOKYBĖS VADYBOS SISTEMOS IR (ARBA) APLINKOS APSAUGOS VADYBOS SISTEMOS STANDARTŲ</w:t>
      </w:r>
    </w:p>
    <w:p>
      <w:pPr>
        <w:pStyle w:val="ListParagraph"/>
        <w:tabs>
          <w:tab w:val="clear" w:pos="1296"/>
          <w:tab w:val="right" w:pos="284" w:leader="none"/>
          <w:tab w:val="left" w:pos="720" w:leader="none"/>
        </w:tabs>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numPr>
          <w:ilvl w:val="0"/>
          <w:numId w:val="27"/>
        </w:numPr>
        <w:tabs>
          <w:tab w:val="clear" w:pos="1296"/>
          <w:tab w:val="left" w:pos="851"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Tiekėjo kvalifikacija turi atitikti šiame priede nustatytus reikalavimus kvalifikacijai. </w:t>
      </w:r>
    </w:p>
    <w:p>
      <w:pPr>
        <w:pStyle w:val="ListParagraph"/>
        <w:numPr>
          <w:ilvl w:val="0"/>
          <w:numId w:val="28"/>
        </w:numPr>
        <w:tabs>
          <w:tab w:val="clear" w:pos="1296"/>
          <w:tab w:val="left" w:pos="851" w:leader="none"/>
          <w:tab w:val="left" w:pos="1134" w:leader="none"/>
        </w:tabs>
        <w:spacing w:lineRule="auto" w:line="240" w:before="0" w:after="0"/>
        <w:ind w:firstLine="567" w:left="0"/>
        <w:contextualSpacing/>
        <w:jc w:val="both"/>
        <w:rPr>
          <w:rFonts w:ascii="Times New Roman" w:hAnsi="Times New Roman"/>
        </w:rPr>
      </w:pPr>
      <w:r>
        <w:rPr>
          <w:rFonts w:cs="Times New Roman" w:ascii="Times New Roman" w:hAnsi="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cs="Times New Roman" w:ascii="Times New Roman" w:hAnsi="Times New Roman"/>
          <w:sz w:val="24"/>
          <w:szCs w:val="24"/>
        </w:rPr>
        <w:t xml:space="preserve">. </w:t>
      </w:r>
    </w:p>
    <w:p>
      <w:pPr>
        <w:pStyle w:val="ListParagraph"/>
        <w:numPr>
          <w:ilvl w:val="0"/>
          <w:numId w:val="29"/>
        </w:numPr>
        <w:tabs>
          <w:tab w:val="clear" w:pos="1296"/>
          <w:tab w:val="left" w:pos="851"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Kai tiekėjas remiasi kitų ūkio subjektų pajėgumais, kad atitiktų nustatytus ekonominio ir finansinio pajėgumo reikalavimus </w:t>
      </w:r>
      <w:r>
        <w:rPr>
          <w:rFonts w:eastAsia="Calibri" w:cs="Times New Roman" w:ascii="Times New Roman" w:hAnsi="Times New Roman"/>
          <w:sz w:val="24"/>
          <w:szCs w:val="24"/>
        </w:rPr>
        <w:t xml:space="preserve">jie </w:t>
      </w:r>
      <w:r>
        <w:rPr>
          <w:rFonts w:cs="Times New Roman" w:ascii="Times New Roman" w:hAnsi="Times New Roman"/>
          <w:sz w:val="24"/>
          <w:szCs w:val="24"/>
        </w:rPr>
        <w:t>privalo prisiimti solidarią atsakomybę už sutarties įvykdymą.</w:t>
      </w:r>
      <w:r>
        <w:rPr>
          <w:rFonts w:eastAsia="Calibri" w:cs="Times New Roman" w:ascii="Times New Roman" w:hAnsi="Times New Roman"/>
          <w:sz w:val="24"/>
          <w:szCs w:val="24"/>
        </w:rPr>
        <w:t xml:space="preserve"> </w:t>
      </w:r>
    </w:p>
    <w:tbl>
      <w:tblPr>
        <w:tblStyle w:val="TableGrid3"/>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30"/>
        <w:gridCol w:w="4694"/>
        <w:gridCol w:w="4394"/>
      </w:tblGrid>
      <w:tr>
        <w:trPr>
          <w:tblHeader w:val="true"/>
          <w:cantSplit w:val="true"/>
        </w:trPr>
        <w:tc>
          <w:tcPr>
            <w:tcW w:w="830"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rPr>
            </w:pPr>
            <w:r>
              <w:rPr>
                <w:rFonts w:eastAsia="Calibri" w:cs="Times New Roman" w:ascii="Times New Roman" w:hAnsi="Times New Roman" w:eastAsiaTheme="minorHAnsi"/>
                <w:b/>
                <w:bCs/>
                <w:kern w:val="0"/>
                <w:sz w:val="24"/>
                <w:szCs w:val="24"/>
                <w:lang w:val="lt-LT" w:eastAsia="lt-LT" w:bidi="ar-SA"/>
              </w:rPr>
              <w:t>Eil. Nr.</w:t>
            </w:r>
          </w:p>
        </w:tc>
        <w:tc>
          <w:tcPr>
            <w:tcW w:w="4694"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rPr>
            </w:pPr>
            <w:r>
              <w:rPr>
                <w:rFonts w:eastAsia="" w:cs="Times New Roman" w:ascii="Times New Roman" w:hAnsi="Times New Roman"/>
                <w:b/>
                <w:bCs/>
                <w:kern w:val="0"/>
                <w:sz w:val="24"/>
                <w:szCs w:val="24"/>
                <w:lang w:val="lt-LT" w:eastAsia="lt-LT" w:bidi="ar-SA"/>
              </w:rPr>
              <w:t>Kvalifikacijos reikalavimas</w:t>
            </w:r>
          </w:p>
        </w:tc>
        <w:tc>
          <w:tcPr>
            <w:tcW w:w="4394"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rPr>
            </w:pPr>
            <w:r>
              <w:rPr>
                <w:rFonts w:eastAsia="" w:cs="Times New Roman" w:ascii="Times New Roman" w:hAnsi="Times New Roman"/>
                <w:b/>
                <w:bCs/>
                <w:kern w:val="0"/>
                <w:sz w:val="24"/>
                <w:szCs w:val="24"/>
                <w:lang w:val="lt-LT" w:eastAsia="lt-LT" w:bidi="ar-SA"/>
              </w:rPr>
              <w:t>Atitiktį reikalavimui įrodantys dokumentai</w:t>
            </w:r>
          </w:p>
        </w:tc>
      </w:tr>
      <w:tr>
        <w:trPr/>
        <w:tc>
          <w:tcPr>
            <w:tcW w:w="830" w:type="dxa"/>
            <w:tcBorders/>
          </w:tcPr>
          <w:p>
            <w:pPr>
              <w:pStyle w:val="Normal"/>
              <w:widowControl/>
              <w:suppressAutoHyphens w:val="true"/>
              <w:spacing w:lineRule="auto" w:line="240" w:before="0" w:after="0"/>
              <w:ind w:right="45"/>
              <w:jc w:val="both"/>
              <w:rPr>
                <w:rFonts w:ascii="Times New Roman" w:hAnsi="Times New Roman"/>
              </w:rPr>
            </w:pPr>
            <w:r>
              <w:rPr>
                <w:rFonts w:eastAsia="" w:cs="Times New Roman" w:ascii="Times New Roman" w:hAnsi="Times New Roman"/>
                <w:kern w:val="0"/>
                <w:sz w:val="24"/>
                <w:szCs w:val="20"/>
                <w:lang w:val="lt-LT" w:eastAsia="lt-LT" w:bidi="ar-SA"/>
              </w:rPr>
              <w:t>1.</w:t>
            </w:r>
          </w:p>
        </w:tc>
        <w:tc>
          <w:tcPr>
            <w:tcW w:w="4694" w:type="dxa"/>
            <w:tcBorders/>
          </w:tcPr>
          <w:p>
            <w:pPr>
              <w:pStyle w:val="Normal"/>
              <w:widowControl/>
              <w:suppressAutoHyphens w:val="true"/>
              <w:spacing w:before="0" w:after="0"/>
              <w:ind w:right="45"/>
              <w:jc w:val="both"/>
              <w:rPr>
                <w:rFonts w:eastAsia="Calibri"/>
                <w:sz w:val="24"/>
                <w:szCs w:val="24"/>
              </w:rPr>
            </w:pPr>
            <w:r>
              <w:rPr>
                <w:rFonts w:eastAsia="Calibri" w:cs="Times New Roman" w:ascii="Times New Roman" w:hAnsi="Times New Roman"/>
                <w:kern w:val="0"/>
                <w:sz w:val="24"/>
                <w:szCs w:val="20"/>
                <w:lang w:val="lt-LT" w:eastAsia="lt-LT" w:bidi="ar-SA"/>
              </w:rPr>
              <w:t xml:space="preserve">Tiekėjas privalo turėti kvalifikuotus specialistus, atsakingus už sutarties vykdymą, turinčius būtinas žinias ir patirtį. Taip pat tiekėjo siūlomi specialistai, turi tenkinti žemiau nurodytus minimalius nustatytus kvalifikacinius reikalavimus. </w:t>
            </w:r>
            <w:r>
              <w:rPr>
                <w:rFonts w:eastAsia="Calibri" w:cs="Times New Roman" w:ascii="Times New Roman" w:hAnsi="Times New Roman"/>
                <w:kern w:val="0"/>
                <w:sz w:val="24"/>
                <w:szCs w:val="24"/>
                <w:lang w:val="lt-LT" w:eastAsia="lt-LT" w:bidi="ar-SA"/>
              </w:rPr>
              <w:t>Tiekėjas turi pasiūlyti tokį specialistų skaičių, kad galėtų laiku ir kokybiškai suteikti paslaugas pagal techninėje specifikacijoje nurodytas sąlygas.</w:t>
            </w:r>
          </w:p>
        </w:tc>
        <w:tc>
          <w:tcPr>
            <w:tcW w:w="4394" w:type="dxa"/>
            <w:tcBorders/>
          </w:tcPr>
          <w:p>
            <w:pPr>
              <w:pStyle w:val="Normal"/>
              <w:widowControl/>
              <w:tabs>
                <w:tab w:val="clear" w:pos="1296"/>
                <w:tab w:val="left" w:pos="317" w:leader="none"/>
              </w:tabs>
              <w:suppressAutoHyphens w:val="true"/>
              <w:spacing w:before="0" w:after="0"/>
              <w:jc w:val="both"/>
              <w:rPr>
                <w:rFonts w:ascii="Times New Roman" w:hAnsi="Times New Roman"/>
                <w:sz w:val="24"/>
                <w:szCs w:val="24"/>
              </w:rPr>
            </w:pPr>
            <w:r>
              <w:rPr>
                <w:rFonts w:eastAsia="Times New Roman" w:cs="Times New Roman" w:ascii="Times New Roman" w:hAnsi="Times New Roman"/>
                <w:kern w:val="0"/>
                <w:sz w:val="24"/>
                <w:szCs w:val="24"/>
                <w:lang w:val="lt-LT" w:eastAsia="lt-LT" w:bidi="ar-SA"/>
              </w:rPr>
              <w:t>Vadovo arba jo įgalioto atstovo pasirašytas siūlomų specialistų sąrašas, kuriame turi būti nurodyta siūlomų specialistų pareigos projekte, vardai, pavardės.</w:t>
            </w:r>
          </w:p>
          <w:p>
            <w:pPr>
              <w:pStyle w:val="Normal"/>
              <w:widowControl/>
              <w:tabs>
                <w:tab w:val="clear" w:pos="1296"/>
                <w:tab w:val="left" w:pos="317" w:leader="none"/>
              </w:tabs>
              <w:suppressAutoHyphens w:val="true"/>
              <w:spacing w:before="0" w:after="0"/>
              <w:jc w:val="both"/>
              <w:rPr>
                <w:rFonts w:ascii="Times New Roman" w:hAnsi="Times New Roman"/>
                <w:sz w:val="24"/>
                <w:szCs w:val="24"/>
              </w:rPr>
            </w:pPr>
            <w:r>
              <w:rPr>
                <w:rFonts w:eastAsia="" w:cs="" w:ascii="Times New Roman" w:hAnsi="Times New Roman"/>
                <w:kern w:val="0"/>
                <w:sz w:val="24"/>
                <w:szCs w:val="24"/>
                <w:lang w:val="lt-LT" w:eastAsia="lt-LT" w:bidi="ar-SA"/>
              </w:rPr>
            </w:r>
          </w:p>
          <w:p>
            <w:pPr>
              <w:pStyle w:val="Normal"/>
              <w:widowControl/>
              <w:suppressAutoHyphens w:val="true"/>
              <w:spacing w:before="0" w:after="0"/>
              <w:jc w:val="both"/>
              <w:rPr>
                <w:rFonts w:eastAsia="Calibri"/>
                <w:sz w:val="24"/>
              </w:rPr>
            </w:pPr>
            <w:r>
              <w:rPr>
                <w:rFonts w:eastAsia="Calibri" w:cs="Times New Roman" w:ascii="Times New Roman" w:hAnsi="Times New Roman"/>
                <w:kern w:val="0"/>
                <w:sz w:val="24"/>
                <w:szCs w:val="20"/>
                <w:lang w:val="lt-LT" w:eastAsia="lt-LT" w:bidi="ar-SA"/>
              </w:rPr>
              <w:t>Tuo atveju, jei specialistai nėra tiekėjo darbuotojai, tiekėjas, teikdamas pasiūlymą, privalo šiuos specialistus nurodyti subtiekėjų sąraše bei pateikti atitinkamų sutarčių su šiais specialistais kopijas ir specialistų raštiškus sutikimus.</w:t>
            </w:r>
          </w:p>
          <w:p>
            <w:pPr>
              <w:pStyle w:val="Normal"/>
              <w:widowControl/>
              <w:suppressAutoHyphens w:val="true"/>
              <w:spacing w:before="0" w:after="0"/>
              <w:jc w:val="both"/>
              <w:rPr>
                <w:rFonts w:eastAsia="Calibri"/>
                <w:sz w:val="24"/>
              </w:rPr>
            </w:pPr>
            <w:r>
              <w:rPr>
                <w:rFonts w:eastAsia="Calibri" w:cs="Times New Roman" w:ascii="Times New Roman" w:hAnsi="Times New Roman"/>
                <w:kern w:val="0"/>
                <w:sz w:val="24"/>
                <w:szCs w:val="20"/>
                <w:lang w:val="lt-LT" w:eastAsia="lt-LT" w:bidi="ar-SA"/>
              </w:rPr>
              <w:t>Papildomai turi būti pateikti specialistų kvalifikaciją ir patirtį patvirtinantys dokumentai (pateikiami tik galiojantys dokumentai).</w:t>
            </w:r>
          </w:p>
          <w:p>
            <w:pPr>
              <w:pStyle w:val="Normal"/>
              <w:widowControl/>
              <w:suppressAutoHyphens w:val="true"/>
              <w:spacing w:before="0" w:after="0"/>
              <w:ind w:right="45"/>
              <w:jc w:val="both"/>
              <w:rPr>
                <w:rFonts w:eastAsia="Calibri"/>
                <w:sz w:val="24"/>
                <w:szCs w:val="24"/>
              </w:rPr>
            </w:pPr>
            <w:r>
              <w:rPr>
                <w:rFonts w:eastAsia="Calibri" w:cs="Times New Roman" w:ascii="Times New Roman" w:hAnsi="Times New Roman"/>
                <w:kern w:val="0"/>
                <w:sz w:val="24"/>
                <w:szCs w:val="20"/>
                <w:lang w:val="lt-LT" w:eastAsia="lt-LT" w:bidi="ar-SA"/>
              </w:rPr>
              <w:t>Pateikiami skenuoti dokumentai elektroninėje formoje.</w:t>
            </w:r>
          </w:p>
        </w:tc>
      </w:tr>
      <w:tr>
        <w:trPr/>
        <w:tc>
          <w:tcPr>
            <w:tcW w:w="830" w:type="dxa"/>
            <w:tcBorders>
              <w:top w:val="nil"/>
            </w:tcBorders>
          </w:tcPr>
          <w:p>
            <w:pPr>
              <w:pStyle w:val="Normal"/>
              <w:widowControl/>
              <w:suppressAutoHyphens w:val="true"/>
              <w:spacing w:lineRule="auto" w:line="240" w:before="0" w:after="0"/>
              <w:ind w:right="45"/>
              <w:jc w:val="both"/>
              <w:rPr>
                <w:rFonts w:ascii="Times New Roman" w:hAnsi="Times New Roman"/>
                <w:lang w:val="en-US"/>
              </w:rPr>
            </w:pPr>
            <w:r>
              <w:rPr>
                <w:rFonts w:eastAsia="" w:cs="" w:ascii="Times New Roman" w:hAnsi="Times New Roman"/>
                <w:kern w:val="0"/>
                <w:sz w:val="20"/>
                <w:szCs w:val="20"/>
                <w:lang w:val="en-US" w:eastAsia="lt-LT" w:bidi="ar-SA"/>
              </w:rPr>
              <w:t>1.2.</w:t>
            </w:r>
          </w:p>
        </w:tc>
        <w:tc>
          <w:tcPr>
            <w:tcW w:w="4694" w:type="dxa"/>
            <w:tcBorders>
              <w:top w:val="nil"/>
            </w:tcBorders>
          </w:tcPr>
          <w:p>
            <w:pPr>
              <w:pStyle w:val="Normal"/>
              <w:widowControl/>
              <w:suppressAutoHyphens w:val="true"/>
              <w:spacing w:before="0" w:after="0"/>
              <w:jc w:val="left"/>
              <w:rPr>
                <w:rFonts w:ascii="Times New Roman" w:hAnsi="Times New Roman" w:eastAsia="Times New Roman" w:cs="Times New Roman"/>
                <w:b/>
                <w:bCs/>
                <w:sz w:val="24"/>
                <w:szCs w:val="24"/>
                <w:lang w:val="en-US"/>
              </w:rPr>
            </w:pPr>
            <w:r>
              <w:rPr>
                <w:rFonts w:eastAsia="Times New Roman" w:cs="Times New Roman" w:ascii="Times New Roman" w:hAnsi="Times New Roman"/>
                <w:b/>
                <w:bCs/>
                <w:kern w:val="0"/>
                <w:sz w:val="24"/>
                <w:szCs w:val="24"/>
                <w:lang w:val="en-US" w:eastAsia="lt-LT" w:bidi="ar-SA"/>
              </w:rPr>
              <w:t>Taikoma I pirkimo daliai</w:t>
            </w:r>
          </w:p>
          <w:p>
            <w:pPr>
              <w:pStyle w:val="Normal"/>
              <w:widowControl/>
              <w:suppressAutoHyphens w:val="true"/>
              <w:spacing w:before="0" w:after="0"/>
              <w:jc w:val="left"/>
              <w:rPr>
                <w:rFonts w:ascii="Times New Roman" w:hAnsi="Times New Roman" w:eastAsia="Calibri"/>
                <w:sz w:val="24"/>
                <w:szCs w:val="24"/>
                <w:shd w:fill="FFFFFF" w:val="clear"/>
              </w:rPr>
            </w:pPr>
            <w:r>
              <w:rPr>
                <w:rFonts w:eastAsia="Calibri" w:cs="" w:ascii="Times New Roman" w:hAnsi="Times New Roman"/>
                <w:kern w:val="0"/>
                <w:sz w:val="24"/>
                <w:szCs w:val="24"/>
                <w:shd w:fill="FFFFFF" w:val="clear"/>
                <w:lang w:val="lt-LT" w:eastAsia="lt-LT" w:bidi="ar-SA"/>
              </w:rPr>
            </w:r>
          </w:p>
          <w:p>
            <w:pPr>
              <w:pStyle w:val="Normal"/>
              <w:widowControl/>
              <w:suppressAutoHyphens w:val="true"/>
              <w:spacing w:before="0" w:after="0"/>
              <w:jc w:val="left"/>
              <w:rPr>
                <w:rFonts w:ascii="Times New Roman" w:hAnsi="Times New Roman" w:eastAsia="Calibri"/>
                <w:sz w:val="24"/>
                <w:szCs w:val="24"/>
                <w:shd w:fill="FFFFFF" w:val="clear"/>
              </w:rPr>
            </w:pPr>
            <w:r>
              <w:rPr>
                <w:rFonts w:eastAsia="Calibri" w:cs="Times New Roman" w:ascii="Times New Roman" w:hAnsi="Times New Roman"/>
                <w:b/>
                <w:bCs/>
                <w:kern w:val="0"/>
                <w:sz w:val="24"/>
                <w:szCs w:val="24"/>
                <w:shd w:fill="FFFFFF" w:val="clear"/>
                <w:lang w:val="lt-LT" w:eastAsia="lt-LT" w:bidi="ar-SA"/>
              </w:rPr>
              <w:t xml:space="preserve">Ekspertas Nr. 1 </w:t>
            </w:r>
            <w:r>
              <w:rPr>
                <w:rFonts w:eastAsia="Calibri" w:cs="Times New Roman" w:ascii="Times New Roman" w:hAnsi="Times New Roman"/>
                <w:kern w:val="0"/>
                <w:sz w:val="24"/>
                <w:szCs w:val="24"/>
                <w:shd w:fill="FFFFFF" w:val="clear"/>
                <w:lang w:val="lt-LT" w:eastAsia="lt-LT" w:bidi="ar-SA"/>
              </w:rPr>
              <w:t>turi turėti aukštąjį universitetinį sveikatos mokslų krypčių grupės medicinos arba visuomenės sveikatos krypties išsilavinimą ir šią patirtį:</w:t>
            </w:r>
          </w:p>
          <w:p>
            <w:pPr>
              <w:pStyle w:val="Normal"/>
              <w:widowControl/>
              <w:suppressAutoHyphens w:val="true"/>
              <w:spacing w:before="0" w:after="0"/>
              <w:jc w:val="both"/>
              <w:rPr>
                <w:rFonts w:ascii="Times New Roman" w:hAnsi="Times New Roman"/>
                <w:sz w:val="24"/>
                <w:szCs w:val="24"/>
              </w:rPr>
            </w:pPr>
            <w:r>
              <w:rPr>
                <w:rFonts w:eastAsia="Calibri" w:cs="Times New Roman" w:ascii="Times New Roman" w:hAnsi="Times New Roman"/>
                <w:kern w:val="0"/>
                <w:sz w:val="24"/>
                <w:szCs w:val="24"/>
                <w:shd w:fill="FFFFFF" w:val="clear"/>
                <w:lang w:val="lt-LT" w:eastAsia="lt-LT" w:bidi="ar-SA"/>
              </w:rPr>
              <w:t xml:space="preserve">- </w:t>
            </w:r>
            <w:r>
              <w:rPr>
                <w:rFonts w:eastAsia="Calibri" w:cs="Times New Roman" w:ascii="Times New Roman" w:hAnsi="Times New Roman"/>
                <w:bCs/>
                <w:kern w:val="0"/>
                <w:sz w:val="24"/>
                <w:szCs w:val="24"/>
                <w:shd w:fill="FFFFFF" w:val="clear"/>
                <w:lang w:val="lt-LT" w:eastAsia="lt-LT" w:bidi="ar-SA"/>
              </w:rPr>
              <w:t>per paskutinius 5 (penkerius)</w:t>
            </w:r>
            <w:r>
              <w:rPr>
                <w:rStyle w:val="FootnoteReference"/>
                <w:rFonts w:eastAsia="Calibri" w:cs="Times New Roman"/>
                <w:bCs/>
                <w:kern w:val="0"/>
                <w:sz w:val="20"/>
                <w:szCs w:val="20"/>
                <w:shd w:fill="FFFFFF" w:val="clear"/>
                <w:lang w:val="lt-LT" w:eastAsia="lt-LT" w:bidi="ar-SA"/>
              </w:rPr>
              <w:footnoteReference w:id="7"/>
            </w:r>
            <w:r>
              <w:rPr>
                <w:rFonts w:eastAsia="Calibri" w:cs="Times New Roman" w:ascii="Times New Roman" w:hAnsi="Times New Roman"/>
                <w:bCs/>
                <w:kern w:val="0"/>
                <w:sz w:val="24"/>
                <w:szCs w:val="24"/>
                <w:shd w:fill="FFFFFF" w:val="clear"/>
                <w:lang w:val="lt-LT" w:eastAsia="lt-LT" w:bidi="ar-SA"/>
              </w:rPr>
              <w:t xml:space="preserve"> metus arba per laiką nuo tiekėjo įregistravimo dienos (jeigu tiekėjas vykdė veiklą trumpiau nei 5 metus)  turi</w:t>
            </w:r>
            <w:r>
              <w:rPr>
                <w:rFonts w:eastAsia="Calibri" w:cs="Times New Roman" w:ascii="Times New Roman" w:hAnsi="Times New Roman"/>
                <w:b/>
                <w:bCs/>
                <w:kern w:val="0"/>
                <w:sz w:val="24"/>
                <w:szCs w:val="24"/>
                <w:shd w:fill="FFFFFF" w:val="clear"/>
                <w:lang w:val="lt-LT" w:eastAsia="lt-LT" w:bidi="ar-SA"/>
              </w:rPr>
              <w:t xml:space="preserve"> </w:t>
            </w:r>
            <w:r>
              <w:rPr>
                <w:rFonts w:eastAsia="Calibri" w:cs="Times New Roman" w:ascii="Times New Roman" w:hAnsi="Times New Roman"/>
                <w:kern w:val="0"/>
                <w:sz w:val="24"/>
                <w:szCs w:val="24"/>
                <w:shd w:fill="FFFFFF" w:val="clear"/>
                <w:lang w:val="lt-LT" w:eastAsia="lt-LT" w:bidi="ar-SA"/>
              </w:rPr>
              <w:t xml:space="preserve">ne mažesnę kaip 12 mėnesių praktinio darbo patirtį </w:t>
            </w:r>
            <w:r>
              <w:rPr>
                <w:rFonts w:eastAsia="Times New Roman" w:cs="Times New Roman" w:ascii="Times New Roman" w:hAnsi="Times New Roman"/>
                <w:kern w:val="0"/>
                <w:sz w:val="24"/>
                <w:szCs w:val="20"/>
                <w:lang w:val="lt-LT" w:eastAsia="lt-LT" w:bidi="ar-SA"/>
              </w:rPr>
              <w:t>užkrečiamųjų ligų valdymo ir imunoprofilaktikos srityje</w:t>
            </w:r>
            <w:r>
              <w:rPr>
                <w:rFonts w:eastAsia="Calibri" w:cs="Times New Roman" w:ascii="Times New Roman" w:hAnsi="Times New Roman"/>
                <w:kern w:val="0"/>
                <w:sz w:val="24"/>
                <w:szCs w:val="24"/>
                <w:shd w:fill="FFFFFF" w:val="clear"/>
                <w:lang w:val="lt-LT" w:eastAsia="lt-LT" w:bidi="ar-SA"/>
              </w:rPr>
              <w:t>;</w:t>
            </w:r>
          </w:p>
          <w:p>
            <w:pPr>
              <w:pStyle w:val="Normal"/>
              <w:widowControl/>
              <w:tabs>
                <w:tab w:val="clear" w:pos="1296"/>
                <w:tab w:val="left" w:pos="1276" w:leader="none"/>
              </w:tabs>
              <w:suppressAutoHyphens w:val="true"/>
              <w:spacing w:before="0" w:after="0"/>
              <w:jc w:val="both"/>
              <w:rPr>
                <w:rFonts w:ascii="Times New Roman" w:hAnsi="Times New Roman" w:eastAsia="Calibri"/>
                <w:bCs/>
                <w:sz w:val="24"/>
                <w:szCs w:val="24"/>
                <w:shd w:fill="FFFFFF" w:val="clear"/>
              </w:rPr>
            </w:pPr>
            <w:r>
              <w:rPr>
                <w:rFonts w:eastAsia="Calibri" w:cs="Times New Roman" w:ascii="Times New Roman" w:hAnsi="Times New Roman"/>
                <w:kern w:val="0"/>
                <w:sz w:val="24"/>
                <w:szCs w:val="24"/>
                <w:shd w:fill="FFFFFF" w:val="clear"/>
                <w:lang w:val="lt-LT" w:eastAsia="lt-LT" w:bidi="ar-SA"/>
              </w:rPr>
              <w:t xml:space="preserve">- </w:t>
            </w:r>
            <w:r>
              <w:rPr>
                <w:rFonts w:eastAsia="Calibri" w:cs="Times New Roman" w:ascii="Times New Roman" w:hAnsi="Times New Roman"/>
                <w:bCs/>
                <w:kern w:val="0"/>
                <w:sz w:val="24"/>
                <w:szCs w:val="24"/>
                <w:shd w:fill="FFFFFF" w:val="clear"/>
                <w:lang w:val="lt-LT" w:eastAsia="lt-LT" w:bidi="ar-SA"/>
              </w:rPr>
              <w:t>turi būti parengęs bent 1 (vieną) programą, skirtą sveikatos priežiūros specialistams;</w:t>
            </w:r>
          </w:p>
          <w:p>
            <w:pPr>
              <w:pStyle w:val="Normal"/>
              <w:widowControl/>
              <w:tabs>
                <w:tab w:val="clear" w:pos="1296"/>
                <w:tab w:val="left" w:pos="1276" w:leader="none"/>
              </w:tabs>
              <w:suppressAutoHyphens w:val="true"/>
              <w:spacing w:before="0" w:after="0"/>
              <w:jc w:val="both"/>
              <w:rPr>
                <w:rFonts w:ascii="Times New Roman" w:hAnsi="Times New Roman" w:eastAsia="Calibri"/>
                <w:sz w:val="24"/>
                <w:szCs w:val="24"/>
                <w:shd w:fill="FFFFFF" w:val="clear"/>
              </w:rPr>
            </w:pPr>
            <w:r>
              <w:rPr>
                <w:rFonts w:eastAsia="Calibri" w:cs="Times New Roman" w:ascii="Times New Roman" w:hAnsi="Times New Roman"/>
                <w:bCs/>
                <w:kern w:val="0"/>
                <w:sz w:val="24"/>
                <w:szCs w:val="24"/>
                <w:shd w:fill="FFFFFF" w:val="clear"/>
                <w:lang w:val="lt-LT" w:eastAsia="lt-LT" w:bidi="ar-SA"/>
              </w:rPr>
              <w:t>- turi būti parengęs bent 1 (vieną) nuotoliniams mokymams pritaikytą mokymų medžiagą.</w:t>
            </w:r>
          </w:p>
          <w:p>
            <w:pPr>
              <w:pStyle w:val="Normal"/>
              <w:widowControl/>
              <w:suppressAutoHyphens w:val="true"/>
              <w:spacing w:before="0" w:after="0"/>
              <w:jc w:val="left"/>
              <w:rPr>
                <w:rFonts w:ascii="Times New Roman" w:hAnsi="Times New Roman" w:eastAsia="Calibri"/>
                <w:sz w:val="24"/>
                <w:szCs w:val="24"/>
                <w:shd w:fill="FFFFFF" w:val="clear"/>
              </w:rPr>
            </w:pPr>
            <w:r>
              <w:rPr>
                <w:rFonts w:eastAsia="Calibri" w:cs="" w:ascii="Times New Roman" w:hAnsi="Times New Roman"/>
                <w:kern w:val="0"/>
                <w:sz w:val="24"/>
                <w:szCs w:val="24"/>
                <w:shd w:fill="FFFFFF" w:val="clear"/>
                <w:lang w:val="lt-LT" w:eastAsia="lt-LT" w:bidi="ar-SA"/>
              </w:rPr>
            </w:r>
          </w:p>
          <w:p>
            <w:pPr>
              <w:pStyle w:val="Normal"/>
              <w:widowControl/>
              <w:suppressAutoHyphens w:val="true"/>
              <w:spacing w:before="0" w:after="0"/>
              <w:jc w:val="left"/>
              <w:rPr>
                <w:rFonts w:ascii="Times New Roman" w:hAnsi="Times New Roman" w:eastAsia="Calibri"/>
                <w:sz w:val="24"/>
                <w:szCs w:val="24"/>
                <w:shd w:fill="FFFFFF" w:val="clear"/>
              </w:rPr>
            </w:pPr>
            <w:r>
              <w:rPr>
                <w:rFonts w:eastAsia="Calibri" w:cs="Times New Roman" w:ascii="Times New Roman" w:hAnsi="Times New Roman"/>
                <w:kern w:val="0"/>
                <w:sz w:val="24"/>
                <w:szCs w:val="24"/>
                <w:shd w:fill="FFFFFF" w:val="clear"/>
                <w:lang w:val="lt-LT" w:eastAsia="lt-LT" w:bidi="ar-SA"/>
              </w:rPr>
              <w:t xml:space="preserve">2.2. </w:t>
            </w:r>
            <w:r>
              <w:rPr>
                <w:rFonts w:eastAsia="Calibri" w:cs="Times New Roman" w:ascii="Times New Roman" w:hAnsi="Times New Roman"/>
                <w:b/>
                <w:bCs/>
                <w:kern w:val="0"/>
                <w:sz w:val="24"/>
                <w:szCs w:val="24"/>
                <w:shd w:fill="FFFFFF" w:val="clear"/>
                <w:lang w:val="lt-LT" w:eastAsia="lt-LT" w:bidi="ar-SA"/>
              </w:rPr>
              <w:t xml:space="preserve">Ekspertas Nr. 2 </w:t>
            </w:r>
            <w:r>
              <w:rPr>
                <w:rFonts w:eastAsia="Calibri" w:cs="Times New Roman" w:ascii="Times New Roman" w:hAnsi="Times New Roman"/>
                <w:kern w:val="0"/>
                <w:sz w:val="24"/>
                <w:szCs w:val="24"/>
                <w:shd w:fill="FFFFFF" w:val="clear"/>
                <w:lang w:val="lt-LT" w:eastAsia="lt-LT" w:bidi="ar-SA"/>
              </w:rPr>
              <w:t>turi turėti aukštąjį universitetinį socialinių mokslų krypčių grupės komunikacijos krypties išsilavinimą ir šią patirtį:</w:t>
            </w:r>
          </w:p>
          <w:p>
            <w:pPr>
              <w:pStyle w:val="Normal"/>
              <w:widowControl/>
              <w:suppressAutoHyphens w:val="true"/>
              <w:spacing w:before="0" w:after="0"/>
              <w:jc w:val="both"/>
              <w:rPr>
                <w:rFonts w:ascii="Times New Roman" w:hAnsi="Times New Roman"/>
                <w:sz w:val="24"/>
                <w:szCs w:val="24"/>
              </w:rPr>
            </w:pPr>
            <w:r>
              <w:rPr>
                <w:rFonts w:eastAsia="Calibri" w:cs="Times New Roman" w:ascii="Times New Roman" w:hAnsi="Times New Roman"/>
                <w:kern w:val="0"/>
                <w:sz w:val="24"/>
                <w:szCs w:val="24"/>
                <w:shd w:fill="FFFFFF" w:val="clear"/>
                <w:lang w:val="lt-LT" w:eastAsia="lt-LT" w:bidi="ar-SA"/>
              </w:rPr>
              <w:t xml:space="preserve">- </w:t>
            </w:r>
            <w:r>
              <w:rPr>
                <w:rFonts w:eastAsia="Calibri" w:cs="Times New Roman" w:ascii="Times New Roman" w:hAnsi="Times New Roman"/>
                <w:bCs/>
                <w:kern w:val="0"/>
                <w:sz w:val="24"/>
                <w:szCs w:val="24"/>
                <w:shd w:fill="FFFFFF" w:val="clear"/>
                <w:lang w:val="lt-LT" w:eastAsia="lt-LT" w:bidi="ar-SA"/>
              </w:rPr>
              <w:t>per paskutinius 5 (penkerius)</w:t>
            </w:r>
            <w:r>
              <w:rPr>
                <w:rStyle w:val="FootnoteReference"/>
                <w:rFonts w:eastAsia="Calibri" w:cs="Times New Roman"/>
                <w:bCs/>
                <w:kern w:val="0"/>
                <w:sz w:val="20"/>
                <w:szCs w:val="20"/>
                <w:shd w:fill="FFFFFF" w:val="clear"/>
                <w:lang w:val="lt-LT" w:eastAsia="lt-LT" w:bidi="ar-SA"/>
              </w:rPr>
              <w:footnoteReference w:id="8"/>
            </w:r>
            <w:r>
              <w:rPr>
                <w:rFonts w:eastAsia="Calibri" w:cs="Times New Roman" w:ascii="Times New Roman" w:hAnsi="Times New Roman"/>
                <w:bCs/>
                <w:kern w:val="0"/>
                <w:sz w:val="24"/>
                <w:szCs w:val="24"/>
                <w:shd w:fill="FFFFFF" w:val="clear"/>
                <w:lang w:val="lt-LT" w:eastAsia="lt-LT" w:bidi="ar-SA"/>
              </w:rPr>
              <w:t xml:space="preserve"> metus arba per laiką nuo tiekėjo įregistravimo dienos (jeigu tiekėjas vykdė veiklą trumpiau nei 5 metus)  turi</w:t>
            </w:r>
            <w:r>
              <w:rPr>
                <w:rFonts w:eastAsia="Calibri" w:cs="Times New Roman" w:ascii="Times New Roman" w:hAnsi="Times New Roman"/>
                <w:b/>
                <w:bCs/>
                <w:kern w:val="0"/>
                <w:sz w:val="24"/>
                <w:szCs w:val="24"/>
                <w:shd w:fill="FFFFFF" w:val="clear"/>
                <w:lang w:val="lt-LT" w:eastAsia="lt-LT" w:bidi="ar-SA"/>
              </w:rPr>
              <w:t xml:space="preserve"> </w:t>
            </w:r>
            <w:r>
              <w:rPr>
                <w:rFonts w:eastAsia="Calibri" w:cs="Times New Roman" w:ascii="Times New Roman" w:hAnsi="Times New Roman"/>
                <w:kern w:val="0"/>
                <w:sz w:val="24"/>
                <w:szCs w:val="24"/>
                <w:shd w:fill="FFFFFF" w:val="clear"/>
                <w:lang w:val="lt-LT" w:eastAsia="lt-LT" w:bidi="ar-SA"/>
              </w:rPr>
              <w:t>ne mažesnę kaip 12 mėnesių</w:t>
            </w:r>
            <w:r>
              <w:rPr>
                <w:rFonts w:eastAsia="Times New Roman" w:cs="Times New Roman" w:ascii="Times New Roman" w:hAnsi="Times New Roman"/>
                <w:kern w:val="0"/>
                <w:sz w:val="24"/>
                <w:szCs w:val="20"/>
                <w:lang w:val="lt-LT" w:eastAsia="lt-LT" w:bidi="ar-SA"/>
              </w:rPr>
              <w:t xml:space="preserve"> darbo patirtį komunikacijos, bendravimo su žiniasklaida srityje</w:t>
            </w:r>
            <w:r>
              <w:rPr>
                <w:rFonts w:eastAsia="Calibri" w:cs="Times New Roman" w:ascii="Times New Roman" w:hAnsi="Times New Roman"/>
                <w:kern w:val="0"/>
                <w:sz w:val="24"/>
                <w:szCs w:val="24"/>
                <w:shd w:fill="FFFFFF" w:val="clear"/>
                <w:lang w:val="lt-LT" w:eastAsia="lt-LT" w:bidi="ar-SA"/>
              </w:rPr>
              <w:t>.</w:t>
            </w:r>
          </w:p>
        </w:tc>
        <w:tc>
          <w:tcPr>
            <w:tcW w:w="4394" w:type="dxa"/>
            <w:tcBorders>
              <w:top w:val="nil"/>
            </w:tcBorders>
          </w:tcPr>
          <w:p>
            <w:pPr>
              <w:pStyle w:val="Normal"/>
              <w:widowControl/>
              <w:tabs>
                <w:tab w:val="clear" w:pos="1296"/>
                <w:tab w:val="left" w:pos="317" w:leader="none"/>
              </w:tabs>
              <w:suppressAutoHyphens w:val="true"/>
              <w:spacing w:before="0" w:after="0"/>
              <w:contextualSpacing/>
              <w:jc w:val="left"/>
              <w:rPr>
                <w:rFonts w:ascii="Times New Roman" w:hAnsi="Times New Roman" w:eastAsia="Calibri"/>
                <w:sz w:val="24"/>
                <w:szCs w:val="24"/>
              </w:rPr>
            </w:pPr>
            <w:r>
              <w:rPr>
                <w:rFonts w:eastAsia="Calibri" w:cs="Times New Roman" w:ascii="Times New Roman" w:hAnsi="Times New Roman"/>
                <w:iCs/>
                <w:kern w:val="0"/>
                <w:sz w:val="24"/>
                <w:szCs w:val="24"/>
                <w:u w:val="single"/>
                <w:lang w:val="lt-LT" w:eastAsia="lt-LT" w:bidi="ar-SA"/>
              </w:rPr>
              <w:t>Kartu su pasiūlymu pateikiami:</w:t>
            </w:r>
          </w:p>
          <w:p>
            <w:pPr>
              <w:pStyle w:val="Normal"/>
              <w:widowControl/>
              <w:tabs>
                <w:tab w:val="clear" w:pos="1296"/>
                <w:tab w:val="left" w:pos="314" w:leader="none"/>
              </w:tabs>
              <w:suppressAutoHyphens w:val="true"/>
              <w:spacing w:before="0" w:after="0"/>
              <w:contextualSpacing/>
              <w:jc w:val="left"/>
              <w:rPr>
                <w:rFonts w:ascii="Times New Roman" w:hAnsi="Times New Roman" w:eastAsia="Calibri"/>
                <w:sz w:val="24"/>
                <w:szCs w:val="24"/>
              </w:rPr>
            </w:pPr>
            <w:r>
              <w:rPr>
                <w:rFonts w:eastAsia="Calibri" w:cs="" w:ascii="Times New Roman" w:hAnsi="Times New Roman"/>
                <w:kern w:val="0"/>
                <w:sz w:val="24"/>
                <w:szCs w:val="24"/>
                <w:lang w:val="lt-LT" w:eastAsia="lt-LT" w:bidi="ar-SA"/>
              </w:rPr>
            </w:r>
          </w:p>
          <w:p>
            <w:pPr>
              <w:pStyle w:val="Normal"/>
              <w:widowControl/>
              <w:tabs>
                <w:tab w:val="clear" w:pos="1296"/>
                <w:tab w:val="left" w:pos="314" w:leader="none"/>
              </w:tabs>
              <w:suppressAutoHyphens w:val="true"/>
              <w:spacing w:before="0" w:after="0"/>
              <w:contextualSpacing/>
              <w:jc w:val="left"/>
              <w:rPr>
                <w:rFonts w:ascii="Times New Roman" w:hAnsi="Times New Roman" w:eastAsia="Calibri"/>
                <w:sz w:val="24"/>
                <w:szCs w:val="24"/>
              </w:rPr>
            </w:pPr>
            <w:r>
              <w:rPr>
                <w:rFonts w:eastAsia="Calibri" w:cs="Times New Roman" w:ascii="Times New Roman" w:hAnsi="Times New Roman"/>
                <w:kern w:val="0"/>
                <w:sz w:val="24"/>
                <w:szCs w:val="24"/>
                <w:lang w:val="lt-LT" w:eastAsia="lt-LT" w:bidi="ar-SA"/>
              </w:rPr>
              <w:t>1) pažyma apie siūlomo specialisto patirtį</w:t>
            </w:r>
          </w:p>
          <w:p>
            <w:pPr>
              <w:pStyle w:val="Normal"/>
              <w:widowControl/>
              <w:tabs>
                <w:tab w:val="clear" w:pos="1296"/>
                <w:tab w:val="left" w:pos="314" w:leader="none"/>
              </w:tabs>
              <w:suppressAutoHyphens w:val="true"/>
              <w:spacing w:before="0" w:after="0"/>
              <w:contextualSpacing/>
              <w:jc w:val="left"/>
              <w:rPr>
                <w:rFonts w:ascii="Times New Roman" w:hAnsi="Times New Roman" w:eastAsia="Calibri"/>
                <w:sz w:val="24"/>
                <w:szCs w:val="24"/>
              </w:rPr>
            </w:pPr>
            <w:r>
              <w:rPr>
                <w:rFonts w:eastAsia="Calibri" w:cs="Times New Roman" w:ascii="Times New Roman" w:hAnsi="Times New Roman"/>
                <w:kern w:val="0"/>
                <w:sz w:val="24"/>
                <w:szCs w:val="24"/>
                <w:lang w:val="lt-LT" w:eastAsia="lt-LT" w:bidi="ar-SA"/>
              </w:rPr>
              <w:t>2) įrodymai apie paslaugų suteikimą (patvirtinti užsakovo ar jo įgalioto asmens parašu), kuriuose turi būti aiškiai nurodyta, kad siūlomas specialistas teikė paslaugas.</w:t>
            </w:r>
          </w:p>
          <w:p>
            <w:pPr>
              <w:pStyle w:val="Normal"/>
              <w:widowControl/>
              <w:tabs>
                <w:tab w:val="clear" w:pos="1296"/>
                <w:tab w:val="left" w:pos="317" w:leader="none"/>
              </w:tabs>
              <w:suppressAutoHyphens w:val="true"/>
              <w:spacing w:before="0" w:after="0"/>
              <w:contextualSpacing/>
              <w:jc w:val="left"/>
              <w:rPr>
                <w:rFonts w:ascii="Times New Roman" w:hAnsi="Times New Roman" w:eastAsia="Calibri"/>
                <w:sz w:val="24"/>
                <w:szCs w:val="24"/>
              </w:rPr>
            </w:pPr>
            <w:r>
              <w:rPr>
                <w:rFonts w:eastAsia="Calibri" w:cs="" w:ascii="Times New Roman" w:hAnsi="Times New Roman"/>
                <w:kern w:val="0"/>
                <w:sz w:val="24"/>
                <w:szCs w:val="24"/>
                <w:lang w:val="lt-LT" w:eastAsia="lt-LT" w:bidi="ar-SA"/>
              </w:rPr>
            </w:r>
          </w:p>
          <w:p>
            <w:pPr>
              <w:pStyle w:val="Normal"/>
              <w:widowControl/>
              <w:tabs>
                <w:tab w:val="clear" w:pos="1296"/>
                <w:tab w:val="left" w:pos="317" w:leader="none"/>
              </w:tabs>
              <w:suppressAutoHyphens w:val="true"/>
              <w:spacing w:before="0" w:after="0"/>
              <w:contextualSpacing/>
              <w:jc w:val="left"/>
              <w:rPr>
                <w:rFonts w:ascii="Times New Roman" w:hAnsi="Times New Roman" w:eastAsia="Calibri"/>
                <w:sz w:val="24"/>
                <w:szCs w:val="24"/>
              </w:rPr>
            </w:pPr>
            <w:r>
              <w:rPr>
                <w:rFonts w:eastAsia="Calibri" w:cs="Times New Roman" w:ascii="Times New Roman" w:hAnsi="Times New Roman"/>
                <w:b/>
                <w:bCs/>
                <w:i/>
                <w:iCs/>
                <w:kern w:val="0"/>
                <w:sz w:val="24"/>
                <w:szCs w:val="24"/>
                <w:lang w:val="lt-LT" w:eastAsia="lt-LT" w:bidi="ar-SA"/>
              </w:rPr>
              <w:t>Perkančioji organizacija pasilieka teisę kreiptis į užsakovą (-us) dėl patvirtinimo, kad konkretus specialistas vykdė atitinkamą veiklą nurodytą pateiktame dokumente.</w:t>
            </w:r>
          </w:p>
          <w:p>
            <w:pPr>
              <w:pStyle w:val="Normal"/>
              <w:widowControl/>
              <w:tabs>
                <w:tab w:val="clear" w:pos="1296"/>
                <w:tab w:val="left" w:pos="317" w:leader="none"/>
              </w:tabs>
              <w:suppressAutoHyphens w:val="true"/>
              <w:spacing w:before="0" w:after="0"/>
              <w:contextualSpacing/>
              <w:jc w:val="left"/>
              <w:rPr>
                <w:rFonts w:ascii="Times New Roman" w:hAnsi="Times New Roman"/>
                <w:sz w:val="24"/>
                <w:szCs w:val="24"/>
              </w:rPr>
            </w:pPr>
            <w:r>
              <w:rPr>
                <w:rFonts w:eastAsia="" w:cs="" w:ascii="Times New Roman" w:hAnsi="Times New Roman"/>
                <w:kern w:val="0"/>
                <w:sz w:val="24"/>
                <w:szCs w:val="24"/>
                <w:lang w:val="lt-LT" w:eastAsia="lt-LT" w:bidi="ar-SA"/>
              </w:rPr>
            </w:r>
          </w:p>
        </w:tc>
      </w:tr>
      <w:tr>
        <w:trPr/>
        <w:tc>
          <w:tcPr>
            <w:tcW w:w="830" w:type="dxa"/>
            <w:tcBorders>
              <w:top w:val="nil"/>
            </w:tcBorders>
          </w:tcPr>
          <w:p>
            <w:pPr>
              <w:pStyle w:val="Normal"/>
              <w:widowControl/>
              <w:suppressAutoHyphens w:val="true"/>
              <w:spacing w:lineRule="auto" w:line="240" w:before="0" w:after="0"/>
              <w:ind w:right="45"/>
              <w:jc w:val="both"/>
              <w:rPr>
                <w:rFonts w:ascii="Times New Roman" w:hAnsi="Times New Roman"/>
                <w:lang w:val="en-US"/>
              </w:rPr>
            </w:pPr>
            <w:r>
              <w:rPr>
                <w:rFonts w:eastAsia="" w:cs="" w:ascii="Times New Roman" w:hAnsi="Times New Roman"/>
                <w:kern w:val="0"/>
                <w:sz w:val="20"/>
                <w:szCs w:val="20"/>
                <w:lang w:val="en-US" w:eastAsia="lt-LT" w:bidi="ar-SA"/>
              </w:rPr>
              <w:t>1.3.</w:t>
            </w:r>
          </w:p>
        </w:tc>
        <w:tc>
          <w:tcPr>
            <w:tcW w:w="4694" w:type="dxa"/>
            <w:tcBorders>
              <w:top w:val="nil"/>
            </w:tcBorders>
          </w:tcPr>
          <w:p>
            <w:pPr>
              <w:pStyle w:val="Normal"/>
              <w:widowControl/>
              <w:suppressAutoHyphens w:val="true"/>
              <w:spacing w:before="0" w:after="0"/>
              <w:jc w:val="left"/>
              <w:rPr>
                <w:rFonts w:ascii="Times New Roman" w:hAnsi="Times New Roman" w:eastAsia="Times New Roman" w:cs="Times New Roman"/>
                <w:sz w:val="24"/>
                <w:szCs w:val="24"/>
                <w:lang w:val="en-US"/>
              </w:rPr>
            </w:pPr>
            <w:r>
              <w:rPr>
                <w:rFonts w:eastAsia="Calibri" w:cs="Times New Roman" w:ascii="Times New Roman" w:hAnsi="Times New Roman"/>
                <w:b/>
                <w:bCs/>
                <w:kern w:val="0"/>
                <w:sz w:val="24"/>
                <w:szCs w:val="24"/>
                <w:shd w:fill="FFFFFF" w:val="clear"/>
                <w:lang w:val="en-US" w:eastAsia="lt-LT" w:bidi="ar-SA"/>
              </w:rPr>
              <w:t>Taikoma II pirkimo daliai</w:t>
            </w:r>
          </w:p>
          <w:p>
            <w:pPr>
              <w:pStyle w:val="Normal"/>
              <w:widowControl/>
              <w:suppressAutoHyphens w:val="true"/>
              <w:spacing w:before="0" w:after="0"/>
              <w:jc w:val="left"/>
              <w:rPr>
                <w:rFonts w:ascii="Times New Roman" w:hAnsi="Times New Roman" w:eastAsia="Calibri"/>
                <w:sz w:val="24"/>
                <w:szCs w:val="24"/>
                <w:shd w:fill="FFFFFF" w:val="clear"/>
              </w:rPr>
            </w:pPr>
            <w:r>
              <w:rPr>
                <w:rFonts w:eastAsia="Calibri" w:cs="" w:ascii="Times New Roman" w:hAnsi="Times New Roman"/>
                <w:kern w:val="0"/>
                <w:sz w:val="24"/>
                <w:szCs w:val="24"/>
                <w:shd w:fill="FFFFFF" w:val="clear"/>
                <w:lang w:val="lt-LT" w:eastAsia="lt-LT" w:bidi="ar-SA"/>
              </w:rPr>
            </w:r>
          </w:p>
          <w:p>
            <w:pPr>
              <w:pStyle w:val="Normal"/>
              <w:widowControl/>
              <w:suppressAutoHyphens w:val="true"/>
              <w:spacing w:before="0" w:after="0"/>
              <w:jc w:val="left"/>
              <w:rPr>
                <w:rFonts w:ascii="Times New Roman" w:hAnsi="Times New Roman" w:eastAsia="Calibri"/>
                <w:sz w:val="24"/>
                <w:szCs w:val="24"/>
                <w:shd w:fill="FFFFFF" w:val="clear"/>
              </w:rPr>
            </w:pPr>
            <w:r>
              <w:rPr>
                <w:rFonts w:eastAsia="Calibri" w:cs="Times New Roman" w:ascii="Times New Roman" w:hAnsi="Times New Roman"/>
                <w:b/>
                <w:bCs/>
                <w:kern w:val="0"/>
                <w:sz w:val="24"/>
                <w:szCs w:val="24"/>
                <w:shd w:fill="FFFFFF" w:val="clear"/>
                <w:lang w:val="lt-LT" w:eastAsia="lt-LT" w:bidi="ar-SA"/>
              </w:rPr>
              <w:t xml:space="preserve">Ekspertas Nr. 1 </w:t>
            </w:r>
            <w:r>
              <w:rPr>
                <w:rFonts w:eastAsia="Calibri" w:cs="Times New Roman" w:ascii="Times New Roman" w:hAnsi="Times New Roman"/>
                <w:kern w:val="0"/>
                <w:sz w:val="24"/>
                <w:szCs w:val="24"/>
                <w:shd w:fill="FFFFFF" w:val="clear"/>
                <w:lang w:val="lt-LT" w:eastAsia="lt-LT" w:bidi="ar-SA"/>
              </w:rPr>
              <w:t>turi turėti sveikatos mokslų krypčių grupės medicinos ar visuomenės sveikatos krypties išsilavinimą ir turi turėti šią patirtį:</w:t>
            </w:r>
          </w:p>
          <w:p>
            <w:pPr>
              <w:pStyle w:val="Normal"/>
              <w:widowControl/>
              <w:suppressAutoHyphens w:val="true"/>
              <w:spacing w:before="0" w:after="0"/>
              <w:jc w:val="both"/>
              <w:rPr>
                <w:rFonts w:ascii="Times New Roman" w:hAnsi="Times New Roman"/>
                <w:sz w:val="24"/>
                <w:szCs w:val="24"/>
              </w:rPr>
            </w:pPr>
            <w:r>
              <w:rPr>
                <w:rFonts w:eastAsia="Calibri" w:cs="Times New Roman" w:ascii="Times New Roman" w:hAnsi="Times New Roman"/>
                <w:kern w:val="0"/>
                <w:sz w:val="24"/>
                <w:szCs w:val="24"/>
                <w:shd w:fill="FFFFFF" w:val="clear"/>
                <w:lang w:val="lt-LT" w:eastAsia="lt-LT" w:bidi="ar-SA"/>
              </w:rPr>
              <w:t xml:space="preserve">- </w:t>
            </w:r>
            <w:r>
              <w:rPr>
                <w:rFonts w:eastAsia="Calibri" w:cs="Times New Roman" w:ascii="Times New Roman" w:hAnsi="Times New Roman"/>
                <w:bCs/>
                <w:kern w:val="0"/>
                <w:sz w:val="24"/>
                <w:szCs w:val="24"/>
                <w:shd w:fill="FFFFFF" w:val="clear"/>
                <w:lang w:val="lt-LT" w:eastAsia="lt-LT" w:bidi="ar-SA"/>
              </w:rPr>
              <w:t>per paskutinius 5 (penkerius)</w:t>
            </w:r>
            <w:r>
              <w:rPr>
                <w:rStyle w:val="FootnoteReference"/>
                <w:rFonts w:eastAsia="Calibri" w:cs="Times New Roman"/>
                <w:bCs/>
                <w:kern w:val="0"/>
                <w:sz w:val="20"/>
                <w:szCs w:val="20"/>
                <w:shd w:fill="FFFFFF" w:val="clear"/>
                <w:lang w:val="lt-LT" w:eastAsia="lt-LT" w:bidi="ar-SA"/>
              </w:rPr>
              <w:footnoteReference w:id="9"/>
            </w:r>
            <w:r>
              <w:rPr>
                <w:rFonts w:eastAsia="Calibri" w:cs="Times New Roman" w:ascii="Times New Roman" w:hAnsi="Times New Roman"/>
                <w:bCs/>
                <w:kern w:val="0"/>
                <w:sz w:val="24"/>
                <w:szCs w:val="24"/>
                <w:shd w:fill="FFFFFF" w:val="clear"/>
                <w:lang w:val="lt-LT" w:eastAsia="lt-LT" w:bidi="ar-SA"/>
              </w:rPr>
              <w:t xml:space="preserve"> metus arba per laiką nuo tiekėjo įregistravimo dienos (jeigu tiekėjas vykdė veiklą trumpiau nei 5 metus)  turi</w:t>
            </w:r>
            <w:r>
              <w:rPr>
                <w:rFonts w:eastAsia="Calibri" w:cs="Times New Roman" w:ascii="Times New Roman" w:hAnsi="Times New Roman"/>
                <w:b/>
                <w:bCs/>
                <w:kern w:val="0"/>
                <w:sz w:val="24"/>
                <w:szCs w:val="24"/>
                <w:shd w:fill="FFFFFF" w:val="clear"/>
                <w:lang w:val="lt-LT" w:eastAsia="lt-LT" w:bidi="ar-SA"/>
              </w:rPr>
              <w:t xml:space="preserve"> </w:t>
            </w:r>
            <w:r>
              <w:rPr>
                <w:rFonts w:eastAsia="Calibri" w:cs="Times New Roman" w:ascii="Times New Roman" w:hAnsi="Times New Roman"/>
                <w:kern w:val="0"/>
                <w:sz w:val="24"/>
                <w:szCs w:val="24"/>
                <w:shd w:fill="FFFFFF" w:val="clear"/>
                <w:lang w:val="lt-LT" w:eastAsia="lt-LT" w:bidi="ar-SA"/>
              </w:rPr>
              <w:t xml:space="preserve">ne mažesnę kaip 12 mėnesių praktinio darbo patirtį </w:t>
            </w:r>
            <w:r>
              <w:rPr>
                <w:rFonts w:eastAsia="Times New Roman" w:cs="Times New Roman" w:ascii="Times New Roman" w:hAnsi="Times New Roman"/>
                <w:kern w:val="0"/>
                <w:sz w:val="24"/>
                <w:szCs w:val="20"/>
                <w:lang w:val="lt-LT" w:eastAsia="lt-LT" w:bidi="ar-SA"/>
              </w:rPr>
              <w:t>infekcijų kontrolės srityje</w:t>
            </w:r>
            <w:r>
              <w:rPr>
                <w:rFonts w:eastAsia="Calibri" w:cs="Times New Roman" w:ascii="Times New Roman" w:hAnsi="Times New Roman"/>
                <w:kern w:val="0"/>
                <w:sz w:val="24"/>
                <w:szCs w:val="24"/>
                <w:shd w:fill="FFFFFF" w:val="clear"/>
                <w:lang w:val="lt-LT" w:eastAsia="lt-LT" w:bidi="ar-SA"/>
              </w:rPr>
              <w:t>;</w:t>
            </w:r>
          </w:p>
          <w:p>
            <w:pPr>
              <w:pStyle w:val="Normal"/>
              <w:widowControl/>
              <w:tabs>
                <w:tab w:val="clear" w:pos="1296"/>
                <w:tab w:val="left" w:pos="1276" w:leader="none"/>
              </w:tabs>
              <w:suppressAutoHyphens w:val="true"/>
              <w:spacing w:before="0" w:after="0"/>
              <w:jc w:val="both"/>
              <w:rPr>
                <w:rFonts w:ascii="Times New Roman" w:hAnsi="Times New Roman" w:eastAsia="Calibri"/>
                <w:bCs/>
                <w:sz w:val="24"/>
                <w:szCs w:val="24"/>
                <w:shd w:fill="FFFFFF" w:val="clear"/>
              </w:rPr>
            </w:pPr>
            <w:r>
              <w:rPr>
                <w:rFonts w:eastAsia="Calibri" w:cs="Times New Roman" w:ascii="Times New Roman" w:hAnsi="Times New Roman"/>
                <w:kern w:val="0"/>
                <w:sz w:val="24"/>
                <w:szCs w:val="24"/>
                <w:shd w:fill="FFFFFF" w:val="clear"/>
                <w:lang w:val="lt-LT" w:eastAsia="lt-LT" w:bidi="ar-SA"/>
              </w:rPr>
              <w:t xml:space="preserve">- </w:t>
            </w:r>
            <w:r>
              <w:rPr>
                <w:rFonts w:eastAsia="Calibri" w:cs="Times New Roman" w:ascii="Times New Roman" w:hAnsi="Times New Roman"/>
                <w:bCs/>
                <w:kern w:val="0"/>
                <w:sz w:val="24"/>
                <w:szCs w:val="24"/>
                <w:shd w:fill="FFFFFF" w:val="clear"/>
                <w:lang w:val="lt-LT" w:eastAsia="lt-LT" w:bidi="ar-SA"/>
              </w:rPr>
              <w:t>turi būti parengęs bent 1 (vieną) programą, skirtą sveikatos priežiūros specialistams;</w:t>
            </w:r>
          </w:p>
          <w:p>
            <w:pPr>
              <w:pStyle w:val="Normal"/>
              <w:widowControl/>
              <w:tabs>
                <w:tab w:val="clear" w:pos="1296"/>
                <w:tab w:val="left" w:pos="1276" w:leader="none"/>
              </w:tabs>
              <w:suppressAutoHyphens w:val="true"/>
              <w:spacing w:before="0" w:after="0"/>
              <w:jc w:val="both"/>
              <w:rPr>
                <w:rFonts w:ascii="Times New Roman" w:hAnsi="Times New Roman" w:eastAsia="Calibri"/>
                <w:sz w:val="24"/>
                <w:szCs w:val="24"/>
                <w:shd w:fill="FFFFFF" w:val="clear"/>
              </w:rPr>
            </w:pPr>
            <w:r>
              <w:rPr>
                <w:rFonts w:eastAsia="Calibri" w:cs="Times New Roman" w:ascii="Times New Roman" w:hAnsi="Times New Roman"/>
                <w:bCs/>
                <w:kern w:val="0"/>
                <w:sz w:val="24"/>
                <w:szCs w:val="24"/>
                <w:shd w:fill="FFFFFF" w:val="clear"/>
                <w:lang w:val="lt-LT" w:eastAsia="lt-LT" w:bidi="ar-SA"/>
              </w:rPr>
              <w:t>- turi būti parengęs bent 1 (vieną) nuotoliniams mokymams pritaikytą mokymų medžiagą.</w:t>
            </w:r>
          </w:p>
        </w:tc>
        <w:tc>
          <w:tcPr>
            <w:tcW w:w="4394" w:type="dxa"/>
            <w:tcBorders>
              <w:top w:val="nil"/>
            </w:tcBorders>
          </w:tcPr>
          <w:p>
            <w:pPr>
              <w:pStyle w:val="Normal"/>
              <w:widowControl/>
              <w:tabs>
                <w:tab w:val="clear" w:pos="1296"/>
                <w:tab w:val="left" w:pos="317" w:leader="none"/>
              </w:tabs>
              <w:suppressAutoHyphens w:val="true"/>
              <w:spacing w:before="0" w:after="0"/>
              <w:contextualSpacing/>
              <w:jc w:val="left"/>
              <w:rPr>
                <w:rFonts w:ascii="Times New Roman" w:hAnsi="Times New Roman" w:eastAsia="Calibri"/>
                <w:sz w:val="24"/>
                <w:szCs w:val="24"/>
              </w:rPr>
            </w:pPr>
            <w:r>
              <w:rPr>
                <w:rFonts w:eastAsia="Calibri" w:cs="Times New Roman" w:ascii="Times New Roman" w:hAnsi="Times New Roman"/>
                <w:iCs/>
                <w:kern w:val="0"/>
                <w:sz w:val="24"/>
                <w:szCs w:val="24"/>
                <w:u w:val="single"/>
                <w:lang w:val="lt-LT" w:eastAsia="lt-LT" w:bidi="ar-SA"/>
              </w:rPr>
              <w:t>Kartu su pasiūlymu pateikiami:</w:t>
            </w:r>
          </w:p>
          <w:p>
            <w:pPr>
              <w:pStyle w:val="Normal"/>
              <w:widowControl/>
              <w:tabs>
                <w:tab w:val="clear" w:pos="1296"/>
                <w:tab w:val="left" w:pos="314" w:leader="none"/>
              </w:tabs>
              <w:suppressAutoHyphens w:val="true"/>
              <w:spacing w:before="0" w:after="0"/>
              <w:contextualSpacing/>
              <w:jc w:val="left"/>
              <w:rPr>
                <w:rFonts w:ascii="Times New Roman" w:hAnsi="Times New Roman" w:eastAsia="Calibri"/>
                <w:sz w:val="24"/>
                <w:szCs w:val="24"/>
              </w:rPr>
            </w:pPr>
            <w:r>
              <w:rPr>
                <w:rFonts w:eastAsia="Calibri" w:cs="" w:ascii="Times New Roman" w:hAnsi="Times New Roman"/>
                <w:kern w:val="0"/>
                <w:sz w:val="24"/>
                <w:szCs w:val="24"/>
                <w:lang w:val="lt-LT" w:eastAsia="lt-LT" w:bidi="ar-SA"/>
              </w:rPr>
            </w:r>
          </w:p>
          <w:p>
            <w:pPr>
              <w:pStyle w:val="Normal"/>
              <w:widowControl/>
              <w:tabs>
                <w:tab w:val="clear" w:pos="1296"/>
                <w:tab w:val="left" w:pos="314" w:leader="none"/>
              </w:tabs>
              <w:suppressAutoHyphens w:val="true"/>
              <w:spacing w:before="0" w:after="0"/>
              <w:contextualSpacing/>
              <w:jc w:val="left"/>
              <w:rPr>
                <w:rFonts w:ascii="Times New Roman" w:hAnsi="Times New Roman" w:eastAsia="Calibri"/>
                <w:sz w:val="24"/>
                <w:szCs w:val="24"/>
              </w:rPr>
            </w:pPr>
            <w:r>
              <w:rPr>
                <w:rFonts w:eastAsia="Calibri" w:cs="Times New Roman" w:ascii="Times New Roman" w:hAnsi="Times New Roman"/>
                <w:kern w:val="0"/>
                <w:sz w:val="24"/>
                <w:szCs w:val="24"/>
                <w:lang w:val="lt-LT" w:eastAsia="lt-LT" w:bidi="ar-SA"/>
              </w:rPr>
              <w:t>1) pažyma apie siūlomo specialisto patirtį.</w:t>
            </w:r>
          </w:p>
          <w:p>
            <w:pPr>
              <w:pStyle w:val="Normal"/>
              <w:widowControl/>
              <w:tabs>
                <w:tab w:val="clear" w:pos="1296"/>
                <w:tab w:val="left" w:pos="314" w:leader="none"/>
              </w:tabs>
              <w:suppressAutoHyphens w:val="true"/>
              <w:spacing w:before="0" w:after="0"/>
              <w:contextualSpacing/>
              <w:jc w:val="left"/>
              <w:rPr>
                <w:rFonts w:ascii="Times New Roman" w:hAnsi="Times New Roman" w:eastAsia="Calibri"/>
                <w:sz w:val="24"/>
                <w:szCs w:val="24"/>
              </w:rPr>
            </w:pPr>
            <w:r>
              <w:rPr>
                <w:rFonts w:eastAsia="Calibri" w:cs="Times New Roman" w:ascii="Times New Roman" w:hAnsi="Times New Roman"/>
                <w:kern w:val="0"/>
                <w:sz w:val="24"/>
                <w:szCs w:val="24"/>
                <w:lang w:val="lt-LT" w:eastAsia="lt-LT" w:bidi="ar-SA"/>
              </w:rPr>
              <w:t>2) įrodymai apie paslaugų suteikimą (patvirtinti užsakovo ar jo įgalioto asmens parašu), kuriuose turi būti aiškiai nurodyta, kad siūlomas specialistas teikė paslaugas.</w:t>
            </w:r>
          </w:p>
          <w:p>
            <w:pPr>
              <w:pStyle w:val="Normal"/>
              <w:widowControl/>
              <w:tabs>
                <w:tab w:val="clear" w:pos="1296"/>
                <w:tab w:val="left" w:pos="317" w:leader="none"/>
              </w:tabs>
              <w:suppressAutoHyphens w:val="true"/>
              <w:spacing w:before="0" w:after="0"/>
              <w:contextualSpacing/>
              <w:jc w:val="left"/>
              <w:rPr>
                <w:rFonts w:ascii="Times New Roman" w:hAnsi="Times New Roman" w:eastAsia="Calibri"/>
                <w:sz w:val="24"/>
                <w:szCs w:val="24"/>
              </w:rPr>
            </w:pPr>
            <w:r>
              <w:rPr>
                <w:rFonts w:eastAsia="Calibri" w:cs="" w:ascii="Times New Roman" w:hAnsi="Times New Roman"/>
                <w:kern w:val="0"/>
                <w:sz w:val="24"/>
                <w:szCs w:val="24"/>
                <w:lang w:val="lt-LT" w:eastAsia="lt-LT" w:bidi="ar-SA"/>
              </w:rPr>
            </w:r>
          </w:p>
          <w:p>
            <w:pPr>
              <w:pStyle w:val="Normal"/>
              <w:widowControl/>
              <w:tabs>
                <w:tab w:val="clear" w:pos="1296"/>
                <w:tab w:val="left" w:pos="317" w:leader="none"/>
              </w:tabs>
              <w:suppressAutoHyphens w:val="true"/>
              <w:spacing w:before="0" w:after="0"/>
              <w:contextualSpacing/>
              <w:jc w:val="left"/>
              <w:rPr>
                <w:rFonts w:ascii="Times New Roman" w:hAnsi="Times New Roman" w:eastAsia="Calibri"/>
                <w:sz w:val="24"/>
                <w:szCs w:val="24"/>
              </w:rPr>
            </w:pPr>
            <w:r>
              <w:rPr>
                <w:rFonts w:eastAsia="Calibri" w:cs="Times New Roman" w:ascii="Times New Roman" w:hAnsi="Times New Roman"/>
                <w:b/>
                <w:bCs/>
                <w:i/>
                <w:iCs/>
                <w:kern w:val="0"/>
                <w:sz w:val="24"/>
                <w:szCs w:val="24"/>
                <w:lang w:val="lt-LT" w:eastAsia="lt-LT" w:bidi="ar-SA"/>
              </w:rPr>
              <w:t>Perkančioji organizacija pasilieka teisę kreiptis į užsakovą (-us) dėl patvirtinimo, kad konkretus specialistas vykdė atitinkamą veiklą nurodytą pateiktame dokumente.</w:t>
            </w:r>
          </w:p>
        </w:tc>
      </w:tr>
    </w:tbl>
    <w:p>
      <w:pPr>
        <w:pStyle w:val="Normal"/>
        <w:rPr>
          <w:rFonts w:ascii="Times New Roman" w:hAnsi="Times New Roman"/>
        </w:rPr>
      </w:pPr>
      <w:r>
        <w:rPr>
          <w:rFonts w:eastAsia="Calibri" w:cs="Times New Roman" w:ascii="Times New Roman" w:hAnsi="Times New Roman"/>
          <w:sz w:val="24"/>
          <w:szCs w:val="24"/>
        </w:rPr>
        <w:t>Perkančioji organizacija nereikalauja, kad tiekėjai laikytųsi k</w:t>
      </w:r>
      <w:r>
        <w:rPr>
          <w:rFonts w:eastAsia="Calibri" w:cs="Times New Roman" w:ascii="Times New Roman" w:hAnsi="Times New Roman"/>
          <w:iCs/>
          <w:sz w:val="24"/>
          <w:szCs w:val="24"/>
        </w:rPr>
        <w:t>okybės vadybos sistemos ir (arba) aplinkos apsaugos vadybos sistemos standartų.</w:t>
      </w:r>
    </w:p>
    <w:p>
      <w:pPr>
        <w:pStyle w:val="ListParagraph"/>
        <w:tabs>
          <w:tab w:val="clear" w:pos="1296"/>
          <w:tab w:val="right" w:pos="284" w:leader="none"/>
          <w:tab w:val="left" w:pos="720" w:leader="none"/>
        </w:tabs>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ListParagraph"/>
        <w:tabs>
          <w:tab w:val="clear" w:pos="1296"/>
          <w:tab w:val="right" w:pos="284" w:leader="none"/>
          <w:tab w:val="left" w:pos="720" w:leader="none"/>
        </w:tabs>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r>
        <w:br w:type="page"/>
      </w:r>
    </w:p>
    <w:p>
      <w:pPr>
        <w:pStyle w:val="ListParagraph"/>
        <w:tabs>
          <w:tab w:val="clear" w:pos="1296"/>
          <w:tab w:val="right" w:pos="284" w:leader="none"/>
          <w:tab w:val="left" w:pos="720" w:leader="none"/>
        </w:tabs>
        <w:spacing w:lineRule="auto" w:line="240" w:before="0" w:after="0"/>
        <w:ind w:left="360"/>
        <w:contextualSpacing w:val="false"/>
        <w:jc w:val="both"/>
        <w:textAlignment w:val="baseline"/>
        <w:rPr>
          <w:rFonts w:ascii="Times New Roman" w:hAnsi="Times New Roman"/>
          <w:sz w:val="24"/>
          <w:szCs w:val="24"/>
        </w:rPr>
      </w:pPr>
      <w:r>
        <w:rPr>
          <w:rFonts w:ascii="Times New Roman" w:hAnsi="Times New Roman"/>
          <w:sz w:val="24"/>
          <w:szCs w:val="24"/>
        </w:rPr>
      </w:r>
    </w:p>
    <w:p>
      <w:pPr>
        <w:pStyle w:val="Normal"/>
        <w:jc w:val="right"/>
        <w:rPr>
          <w:rFonts w:ascii="Times New Roman" w:hAnsi="Times New Roman" w:cs="Times New Roman"/>
          <w:b/>
          <w:bCs/>
          <w:smallCaps/>
          <w:sz w:val="22"/>
          <w:szCs w:val="22"/>
        </w:rPr>
      </w:pPr>
      <w:r>
        <w:rPr>
          <w:rFonts w:eastAsia="Calibri" w:cs="Times New Roman" w:ascii="Times New Roman" w:hAnsi="Times New Roman"/>
          <w:color w:val="0070C0"/>
        </w:rPr>
        <w:t>Pirkimo sąlygų 5 priedas „EBVPD“</w:t>
      </w:r>
    </w:p>
    <w:p>
      <w:pPr>
        <w:pStyle w:val="Subtitle"/>
        <w:jc w:val="center"/>
        <w:rPr>
          <w:rFonts w:ascii="Times New Roman" w:hAnsi="Times New Roman" w:cs="Times New Roman"/>
        </w:rPr>
      </w:pPr>
      <w:r>
        <w:rPr>
          <w:rFonts w:cs="Times New Roman" w:ascii="Times New Roman" w:hAnsi="Times New Roman"/>
        </w:rPr>
      </w:r>
    </w:p>
    <w:p>
      <w:pPr>
        <w:pStyle w:val="Subtitle"/>
        <w:jc w:val="center"/>
        <w:rPr>
          <w:rFonts w:ascii="Times New Roman" w:hAnsi="Times New Roman" w:cs="Times New Roman"/>
          <w:b/>
          <w:bCs/>
          <w:smallCaps/>
        </w:rPr>
      </w:pPr>
      <w:r>
        <w:rPr>
          <w:rFonts w:cs="Times New Roman" w:ascii="Times New Roman" w:hAnsi="Times New Roman"/>
        </w:rPr>
        <w:t>EUROPOS BENDRASIS VIEŠŲJŲ PIRKIMŲ DOKUMENTAS</w:t>
      </w:r>
    </w:p>
    <w:p>
      <w:pPr>
        <w:pStyle w:val="Normal"/>
        <w:jc w:val="both"/>
        <w:rPr>
          <w:rFonts w:ascii="Times New Roman" w:hAnsi="Times New Roman" w:cs="Times New Roman"/>
          <w:sz w:val="24"/>
          <w:szCs w:val="24"/>
        </w:rPr>
      </w:pPr>
      <w:r>
        <w:rPr>
          <w:rFonts w:cs="Times New Roman" w:ascii="Times New Roman" w:hAnsi="Times New Roman"/>
          <w:sz w:val="24"/>
          <w:szCs w:val="24"/>
        </w:rPr>
        <w:t>Pateikiama atskirame priede</w:t>
      </w:r>
    </w:p>
    <w:p>
      <w:pPr>
        <w:pStyle w:val="Normal"/>
        <w:jc w:val="center"/>
        <w:rPr>
          <w:rFonts w:ascii="Times New Roman" w:hAnsi="Times New Roman" w:cs="Times New Roman"/>
          <w:smallCaps/>
          <w:sz w:val="22"/>
          <w:szCs w:val="22"/>
        </w:rPr>
      </w:pPr>
      <w:r>
        <w:rPr>
          <w:rFonts w:cs="Times New Roman" w:ascii="Times New Roman" w:hAnsi="Times New Roman"/>
          <w:smallCaps/>
          <w:sz w:val="22"/>
          <w:szCs w:val="22"/>
        </w:rPr>
        <w:t>__________</w:t>
      </w:r>
    </w:p>
    <w:p>
      <w:pPr>
        <w:pStyle w:val="Normal"/>
        <w:rPr>
          <w:rFonts w:ascii="Times New Roman" w:hAnsi="Times New Roman" w:cs="Times New Roman"/>
          <w:b/>
          <w:bCs/>
          <w:smallCaps/>
          <w:sz w:val="22"/>
          <w:szCs w:val="22"/>
        </w:rPr>
      </w:pPr>
      <w:r>
        <w:rPr>
          <w:rFonts w:cs="Times New Roman" w:ascii="Times New Roman" w:hAnsi="Times New Roman"/>
          <w:b/>
          <w:bCs/>
          <w:smallCaps/>
          <w:sz w:val="22"/>
          <w:szCs w:val="22"/>
        </w:rPr>
      </w:r>
      <w:r>
        <w:br w:type="page"/>
      </w:r>
    </w:p>
    <w:p>
      <w:pPr>
        <w:pStyle w:val="Heading2"/>
        <w:spacing w:before="0" w:after="0"/>
        <w:ind w:left="5103"/>
        <w:rPr>
          <w:rFonts w:ascii="Times New Roman" w:hAnsi="Times New Roman" w:eastAsia="Calibri" w:cs="Times New Roman"/>
          <w:color w:val="0070C0"/>
          <w:sz w:val="21"/>
          <w:szCs w:val="21"/>
        </w:rPr>
      </w:pPr>
      <w:bookmarkStart w:id="58" w:name="_Toc185177417"/>
      <w:bookmarkStart w:id="59" w:name="_Ref38901392"/>
      <w:bookmarkStart w:id="60" w:name="_Ref38898051"/>
      <w:bookmarkStart w:id="61" w:name="_Ref38540913"/>
      <w:r>
        <w:rPr>
          <w:rFonts w:eastAsia="Calibri" w:cs="Times New Roman" w:ascii="Times New Roman" w:hAnsi="Times New Roman"/>
          <w:color w:val="0070C0"/>
          <w:sz w:val="21"/>
          <w:szCs w:val="21"/>
        </w:rPr>
        <w:t>Pirkimo sąlygų 6 priedas „Pasiūlymo forma“</w:t>
      </w:r>
      <w:bookmarkEnd w:id="58"/>
      <w:bookmarkEnd w:id="59"/>
      <w:bookmarkEnd w:id="60"/>
      <w:bookmarkEnd w:id="61"/>
    </w:p>
    <w:p>
      <w:pPr>
        <w:pStyle w:val="Normal"/>
        <w:rPr>
          <w:rFonts w:ascii="Times New Roman" w:hAnsi="Times New Roman" w:cs="Times New Roman"/>
        </w:rPr>
      </w:pPr>
      <w:r>
        <w:rPr>
          <w:rFonts w:cs="Times New Roman" w:ascii="Times New Roman" w:hAnsi="Times New Roman"/>
        </w:rPr>
      </w:r>
    </w:p>
    <w:p>
      <w:pPr>
        <w:pStyle w:val="Standard"/>
        <w:jc w:val="center"/>
        <w:rPr/>
      </w:pPr>
      <w:r>
        <w:rPr>
          <w:rStyle w:val="Numatytasispastraiposriftas1"/>
          <w:rFonts w:ascii="Times New Roman" w:hAnsi="Times New Roman"/>
          <w:sz w:val="24"/>
        </w:rPr>
        <w:t>(Tiekėjo pavadinimas)</w:t>
      </w:r>
    </w:p>
    <w:p>
      <w:pPr>
        <w:pStyle w:val="Standard"/>
        <w:jc w:val="center"/>
        <w:rPr/>
      </w:pPr>
      <w:r>
        <w:rPr>
          <w:rStyle w:val="Numatytasispastraiposriftas1"/>
          <w:rFonts w:ascii="Times New Roman" w:hAnsi="Times New Roman"/>
          <w:sz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Standard"/>
        <w:ind w:firstLine="720"/>
        <w:rPr>
          <w:rFonts w:ascii="Times New Roman" w:hAnsi="Times New Roman"/>
          <w:b/>
          <w:bCs/>
          <w:sz w:val="24"/>
        </w:rPr>
      </w:pPr>
      <w:r>
        <w:rPr>
          <w:rFonts w:ascii="Times New Roman" w:hAnsi="Times New Roman"/>
          <w:b/>
          <w:bCs/>
          <w:sz w:val="24"/>
        </w:rPr>
      </w:r>
    </w:p>
    <w:p>
      <w:pPr>
        <w:pStyle w:val="Standard"/>
        <w:ind w:firstLine="720"/>
        <w:rPr/>
      </w:pPr>
      <w:r>
        <w:rPr>
          <w:rStyle w:val="Numatytasispastraiposriftas1"/>
          <w:rFonts w:ascii="Times New Roman" w:hAnsi="Times New Roman"/>
          <w:b/>
          <w:bCs/>
          <w:sz w:val="24"/>
          <w:u w:val="single"/>
        </w:rPr>
        <w:t>Higienos institutui</w:t>
      </w:r>
    </w:p>
    <w:p>
      <w:pPr>
        <w:pStyle w:val="Standard"/>
        <w:ind w:firstLine="720"/>
        <w:rPr>
          <w:rFonts w:ascii="Times New Roman" w:hAnsi="Times New Roman"/>
          <w:b/>
          <w:sz w:val="24"/>
        </w:rPr>
      </w:pPr>
      <w:r>
        <w:rPr>
          <w:rFonts w:ascii="Times New Roman" w:hAnsi="Times New Roman"/>
          <w:b/>
          <w:sz w:val="24"/>
        </w:rPr>
      </w:r>
    </w:p>
    <w:p>
      <w:pPr>
        <w:pStyle w:val="Standard"/>
        <w:jc w:val="center"/>
        <w:rPr/>
      </w:pPr>
      <w:r>
        <w:rPr>
          <w:rStyle w:val="Numatytasispastraiposriftas1"/>
          <w:rFonts w:ascii="Times New Roman" w:hAnsi="Times New Roman"/>
          <w:b/>
          <w:sz w:val="24"/>
        </w:rPr>
        <w:t>PASIŪLYMAS</w:t>
      </w:r>
    </w:p>
    <w:p>
      <w:pPr>
        <w:pStyle w:val="Standard"/>
        <w:jc w:val="center"/>
        <w:rPr>
          <w:rFonts w:ascii="Times New Roman" w:hAnsi="Times New Roman"/>
          <w:b/>
          <w:caps/>
          <w:sz w:val="24"/>
        </w:rPr>
      </w:pPr>
      <w:r>
        <w:rPr>
          <w:rFonts w:ascii="Times New Roman" w:hAnsi="Times New Roman"/>
          <w:b/>
          <w:caps/>
          <w:sz w:val="24"/>
        </w:rPr>
      </w:r>
    </w:p>
    <w:p>
      <w:pPr>
        <w:pStyle w:val="Normal"/>
        <w:jc w:val="center"/>
        <w:rPr>
          <w:rFonts w:ascii="Times New Roman" w:hAnsi="Times New Roman" w:cs="Times New Roman"/>
          <w:b/>
          <w:bCs/>
          <w:caps/>
          <w:sz w:val="24"/>
          <w:szCs w:val="24"/>
        </w:rPr>
      </w:pPr>
      <w:r>
        <w:rPr>
          <w:rStyle w:val="Numatytasispastraiposriftas1"/>
          <w:rFonts w:eastAsia="Times New Roman" w:cs="Times New Roman" w:ascii="Times New Roman" w:hAnsi="Times New Roman"/>
          <w:b/>
          <w:bCs/>
          <w:sz w:val="24"/>
          <w:szCs w:val="24"/>
        </w:rPr>
        <w:t xml:space="preserve">DĖL </w:t>
      </w:r>
      <w:r>
        <w:rPr>
          <w:rFonts w:cs="Times New Roman" w:ascii="Times New Roman" w:hAnsi="Times New Roman"/>
          <w:b/>
          <w:bCs/>
          <w:sz w:val="24"/>
          <w:szCs w:val="24"/>
        </w:rPr>
        <w:t xml:space="preserve">PIRKIMO </w:t>
      </w:r>
      <w:r>
        <w:rPr>
          <w:rFonts w:cs="Times New Roman" w:ascii="Times New Roman" w:hAnsi="Times New Roman"/>
          <w:b/>
          <w:bCs/>
          <w:caps/>
          <w:sz w:val="24"/>
          <w:szCs w:val="24"/>
        </w:rPr>
        <w:t xml:space="preserve">„Mokymo </w:t>
      </w:r>
    </w:p>
    <w:p>
      <w:pPr>
        <w:pStyle w:val="Normal"/>
        <w:jc w:val="center"/>
        <w:rPr/>
      </w:pPr>
      <w:r>
        <w:rPr>
          <w:rFonts w:cs="Times New Roman" w:ascii="Times New Roman" w:hAnsi="Times New Roman"/>
          <w:b/>
          <w:bCs/>
          <w:caps/>
          <w:sz w:val="24"/>
          <w:szCs w:val="24"/>
        </w:rPr>
        <w:t xml:space="preserve">programos/medžiagos parengimas nuotoliniam mokymuisi virtualioje mokymosi aplinkoje </w:t>
      </w:r>
    </w:p>
    <w:p>
      <w:pPr>
        <w:pStyle w:val="Standard"/>
        <w:tabs>
          <w:tab w:val="clear" w:pos="1296"/>
          <w:tab w:val="right" w:pos="8505" w:leader="underscore"/>
        </w:tabs>
        <w:jc w:val="center"/>
        <w:rPr>
          <w:rFonts w:ascii="Times New Roman" w:hAnsi="Times New Roman"/>
          <w:b/>
          <w:sz w:val="24"/>
        </w:rPr>
      </w:pPr>
      <w:r>
        <w:rPr>
          <w:rFonts w:ascii="Times New Roman" w:hAnsi="Times New Roman"/>
          <w:b/>
          <w:sz w:val="24"/>
        </w:rPr>
      </w:r>
    </w:p>
    <w:p>
      <w:pPr>
        <w:pStyle w:val="Standard"/>
        <w:tabs>
          <w:tab w:val="clear" w:pos="1296"/>
          <w:tab w:val="left" w:pos="720" w:leader="none"/>
        </w:tabs>
        <w:ind w:hanging="360" w:left="360"/>
        <w:jc w:val="center"/>
        <w:rPr/>
      </w:pPr>
      <w:r>
        <w:rPr>
          <w:rStyle w:val="Numatytasispastraiposriftas1"/>
          <w:rFonts w:ascii="Times New Roman" w:hAnsi="Times New Roman"/>
          <w:bCs/>
          <w:sz w:val="24"/>
        </w:rPr>
        <w:t xml:space="preserve">Pildydamas šią formą tiekėjas turi pateikti visą žemiau prašomą informaciją. </w:t>
      </w:r>
      <w:r>
        <w:rPr>
          <w:rStyle w:val="Numatytasispastraiposriftas1"/>
          <w:rFonts w:ascii="Times New Roman" w:hAnsi="Times New Roman"/>
          <w:bCs/>
          <w:i/>
          <w:sz w:val="24"/>
          <w:u w:val="single"/>
        </w:rPr>
        <w:t>Jei tiekėjas 2 ir (ar) 3 punktų neužpildo arba juos išbraukia, laikoma kad jis sutarčiai vykdyti subtiekėjų  nepasitelks/ pasiūlyme konfidencialios informacijos nėra.</w:t>
      </w:r>
    </w:p>
    <w:p>
      <w:pPr>
        <w:pStyle w:val="Standard"/>
        <w:shd w:val="clear" w:color="auto" w:fill="FFFFFF"/>
        <w:jc w:val="center"/>
        <w:rPr>
          <w:rFonts w:ascii="Times New Roman" w:hAnsi="Times New Roman"/>
          <w:sz w:val="24"/>
        </w:rPr>
      </w:pPr>
      <w:r>
        <w:rPr>
          <w:rFonts w:ascii="Times New Roman" w:hAnsi="Times New Roman"/>
          <w:sz w:val="24"/>
        </w:rPr>
      </w:r>
    </w:p>
    <w:p>
      <w:pPr>
        <w:pStyle w:val="Standard"/>
        <w:shd w:val="clear" w:color="auto" w:fill="FFFFFF"/>
        <w:jc w:val="center"/>
        <w:rPr/>
      </w:pPr>
      <w:r>
        <w:rPr>
          <w:rStyle w:val="Numatytasispastraiposriftas1"/>
          <w:rFonts w:ascii="Times New Roman" w:hAnsi="Times New Roman"/>
          <w:sz w:val="24"/>
        </w:rPr>
        <w:t>____________</w:t>
      </w:r>
      <w:r>
        <w:rPr>
          <w:rStyle w:val="Numatytasispastraiposriftas1"/>
          <w:rFonts w:ascii="Times New Roman" w:hAnsi="Times New Roman"/>
          <w:b/>
          <w:bCs/>
          <w:sz w:val="24"/>
        </w:rPr>
        <w:t xml:space="preserve"> Nr.</w:t>
      </w:r>
      <w:r>
        <w:rPr>
          <w:rStyle w:val="Numatytasispastraiposriftas1"/>
          <w:rFonts w:ascii="Times New Roman" w:hAnsi="Times New Roman"/>
          <w:sz w:val="24"/>
        </w:rPr>
        <w:t xml:space="preserve"> ______</w:t>
      </w:r>
    </w:p>
    <w:p>
      <w:pPr>
        <w:pStyle w:val="Standard"/>
        <w:shd w:val="clear" w:color="auto" w:fill="FFFFFF"/>
        <w:jc w:val="center"/>
        <w:rPr/>
      </w:pPr>
      <w:r>
        <w:rPr>
          <w:rStyle w:val="Numatytasispastraiposriftas1"/>
          <w:rFonts w:ascii="Times New Roman" w:hAnsi="Times New Roman"/>
          <w:bCs/>
          <w:sz w:val="24"/>
        </w:rPr>
        <w:t>(Data)</w:t>
      </w:r>
    </w:p>
    <w:p>
      <w:pPr>
        <w:pStyle w:val="Standard"/>
        <w:shd w:val="clear" w:color="auto" w:fill="FFFFFF"/>
        <w:jc w:val="center"/>
        <w:rPr/>
      </w:pPr>
      <w:r>
        <w:rPr>
          <w:rStyle w:val="Numatytasispastraiposriftas1"/>
          <w:rFonts w:ascii="Times New Roman" w:hAnsi="Times New Roman"/>
          <w:bCs/>
          <w:sz w:val="24"/>
        </w:rPr>
        <w:t>_____________</w:t>
      </w:r>
    </w:p>
    <w:p>
      <w:pPr>
        <w:pStyle w:val="Standard"/>
        <w:shd w:val="clear" w:color="auto" w:fill="FFFFFF"/>
        <w:jc w:val="center"/>
        <w:rPr/>
      </w:pPr>
      <w:r>
        <w:rPr>
          <w:rStyle w:val="Numatytasispastraiposriftas1"/>
          <w:rFonts w:ascii="Times New Roman" w:hAnsi="Times New Roman"/>
          <w:bCs/>
          <w:sz w:val="24"/>
        </w:rPr>
        <w:t>(Sudarymo vieta)</w:t>
      </w:r>
    </w:p>
    <w:p>
      <w:pPr>
        <w:pStyle w:val="Standard"/>
        <w:jc w:val="center"/>
        <w:rPr>
          <w:rFonts w:ascii="Times New Roman" w:hAnsi="Times New Roman"/>
          <w:sz w:val="24"/>
        </w:rPr>
      </w:pPr>
      <w:r>
        <w:rPr>
          <w:rFonts w:ascii="Times New Roman" w:hAnsi="Times New Roman"/>
          <w:sz w:val="24"/>
        </w:rPr>
      </w:r>
    </w:p>
    <w:tbl>
      <w:tblPr>
        <w:tblW w:w="9720" w:type="dxa"/>
        <w:jc w:val="left"/>
        <w:tblInd w:w="46" w:type="dxa"/>
        <w:tblLayout w:type="fixed"/>
        <w:tblCellMar>
          <w:top w:w="0" w:type="dxa"/>
          <w:left w:w="108" w:type="dxa"/>
          <w:bottom w:w="0" w:type="dxa"/>
          <w:right w:w="108" w:type="dxa"/>
        </w:tblCellMar>
        <w:tblLook w:firstRow="1" w:noVBand="1" w:lastRow="0" w:firstColumn="1" w:lastColumn="0" w:noHBand="0" w:val="04a0"/>
      </w:tblPr>
      <w:tblGrid>
        <w:gridCol w:w="4747"/>
        <w:gridCol w:w="4972"/>
      </w:tblGrid>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 xml:space="preserve">Jungtinės veiklos sutarties atsakingas partneris </w:t>
            </w:r>
            <w:r>
              <w:rPr>
                <w:rStyle w:val="Numatytasispastraiposriftas1"/>
                <w:rFonts w:ascii="Times New Roman" w:hAnsi="Times New Roman"/>
                <w:i/>
                <w:iCs/>
                <w:sz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adresas(-ai)</w:t>
            </w:r>
            <w:r>
              <w:rPr>
                <w:rStyle w:val="FootnoteReference"/>
              </w:rPr>
              <w:footnoteReference w:id="10"/>
            </w:r>
            <w:r>
              <w:rPr>
                <w:rStyle w:val="Numatytasispastraiposriftas1"/>
                <w:rFonts w:ascii="Times New Roman" w:hAnsi="Times New Roman"/>
                <w:sz w:val="24"/>
              </w:rPr>
              <w:t xml:space="preserve"> </w:t>
            </w:r>
            <w:r>
              <w:rPr>
                <w:rStyle w:val="Numatytasispastraiposriftas1"/>
                <w:rFonts w:ascii="Times New Roman" w:hAnsi="Times New Roman"/>
                <w:i/>
                <w:iCs/>
                <w:sz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Juridinio asmens kodas(-ai)</w:t>
            </w:r>
            <w:r>
              <w:rPr>
                <w:rStyle w:val="Numatytasispastraiposriftas1"/>
                <w:rFonts w:ascii="Times New Roman" w:hAnsi="Times New Roman"/>
                <w:sz w:val="24"/>
                <w:vertAlign w:val="superscript"/>
              </w:rPr>
              <w:t>1</w:t>
            </w:r>
            <w:r>
              <w:rPr>
                <w:rStyle w:val="Numatytasispastraiposriftas1"/>
                <w:rFonts w:ascii="Times New Roman" w:hAnsi="Times New Roman"/>
                <w:sz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PVM mokėtojo kodas(-ai)</w:t>
            </w:r>
            <w:r>
              <w:rPr>
                <w:rStyle w:val="Numatytasispastraiposriftas1"/>
                <w:rFonts w:ascii="Times New Roman" w:hAnsi="Times New Roman"/>
                <w:sz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rPr/>
            </w:pPr>
            <w:r>
              <w:rPr>
                <w:rStyle w:val="Numatytasispastraiposriftas1"/>
                <w:rFonts w:ascii="Times New Roman" w:hAnsi="Times New Roman"/>
                <w:sz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Standard"/>
              <w:tabs>
                <w:tab w:val="clear" w:pos="1296"/>
                <w:tab w:val="left" w:pos="22" w:leader="none"/>
              </w:tabs>
              <w:rPr/>
            </w:pPr>
            <w:r>
              <w:rPr>
                <w:rStyle w:val="Numatytasispastraiposriftas1"/>
                <w:rFonts w:ascii="Times New Roman" w:hAnsi="Times New Roman"/>
                <w:sz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bl>
    <w:p>
      <w:pPr>
        <w:pStyle w:val="Standard"/>
        <w:rPr/>
      </w:pPr>
      <w:r>
        <w:rPr>
          <w:rStyle w:val="Numatytasispastraiposriftas1"/>
          <w:rFonts w:ascii="Times New Roman" w:hAnsi="Times New Roman"/>
          <w:sz w:val="24"/>
        </w:rPr>
        <w:t>1. Šiuo pasiūlymu pažymime, kad sutinkame su visomis pirkimo sąlygomis, nustatytomis:</w:t>
      </w:r>
    </w:p>
    <w:p>
      <w:pPr>
        <w:pStyle w:val="Standard"/>
        <w:rPr/>
      </w:pPr>
      <w:r>
        <w:rPr>
          <w:rStyle w:val="Numatytasispastraiposriftas1"/>
          <w:rFonts w:ascii="Times New Roman" w:hAnsi="Times New Roman"/>
          <w:sz w:val="24"/>
        </w:rPr>
        <w:t>1.1. skelbime apie pirkimą, paskelbtame Lietuvos Respublikos viešųjų pirkimų įstatymo nustatyta tvarka;</w:t>
      </w:r>
    </w:p>
    <w:p>
      <w:pPr>
        <w:pStyle w:val="Standard"/>
        <w:rPr/>
      </w:pPr>
      <w:r>
        <w:rPr>
          <w:rStyle w:val="Numatytasispastraiposriftas1"/>
          <w:rFonts w:ascii="Times New Roman" w:hAnsi="Times New Roman"/>
          <w:sz w:val="24"/>
        </w:rPr>
        <w:t>1.2. šiose konkurso sąlygose;</w:t>
      </w:r>
    </w:p>
    <w:p>
      <w:pPr>
        <w:pStyle w:val="Standard"/>
        <w:rPr/>
      </w:pPr>
      <w:r>
        <w:rPr>
          <w:rStyle w:val="Numatytasispastraiposriftas1"/>
          <w:rFonts w:ascii="Times New Roman" w:hAnsi="Times New Roman"/>
          <w:sz w:val="24"/>
        </w:rPr>
        <w:t>1.3. kituose pirkimo dokumentuose (jų paaiškinimuose, papildymuose).</w:t>
      </w:r>
    </w:p>
    <w:p>
      <w:pPr>
        <w:pStyle w:val="Standard"/>
        <w:rPr/>
      </w:pPr>
      <w:r>
        <w:rPr>
          <w:rStyle w:val="Numatytasispastraiposriftas1"/>
          <w:rFonts w:ascii="Times New Roman" w:hAnsi="Times New Roman"/>
          <w:spacing w:val="-4"/>
          <w:sz w:val="24"/>
        </w:rPr>
        <w:t>1.4. Pateikdamas pasiūlymą</w:t>
      </w:r>
      <w:r>
        <w:rPr>
          <w:rStyle w:val="Numatytasispastraiposriftas1"/>
          <w:rFonts w:ascii="Times New Roman" w:hAnsi="Times New Roman"/>
          <w:sz w:val="24"/>
        </w:rPr>
        <w:t xml:space="preserve"> </w:t>
      </w:r>
      <w:r>
        <w:rPr>
          <w:rStyle w:val="Numatytasispastraiposriftas1"/>
          <w:rFonts w:ascii="Times New Roman" w:hAnsi="Times New Roman"/>
          <w:spacing w:val="-4"/>
          <w:sz w:val="24"/>
        </w:rPr>
        <w:t>CVP IS priemonėmis, patvirtinu, kad dokumentų skaitmeninės</w:t>
      </w:r>
      <w:r>
        <w:rPr>
          <w:rStyle w:val="Numatytasispastraiposriftas1"/>
          <w:rFonts w:ascii="Times New Roman" w:hAnsi="Times New Roman"/>
          <w:sz w:val="24"/>
        </w:rPr>
        <w:t xml:space="preserve"> kopijos ir elektroninėmis priemonėmis pateikti duomenys yra tikri.</w:t>
      </w:r>
    </w:p>
    <w:p>
      <w:pPr>
        <w:pStyle w:val="Standard"/>
        <w:rPr/>
      </w:pPr>
      <w:r>
        <w:rPr>
          <w:rStyle w:val="Numatytasispastraiposriftas1"/>
          <w:rFonts w:ascii="Times New Roman" w:hAnsi="Times New Roman"/>
          <w:b/>
          <w:bCs/>
          <w:sz w:val="24"/>
        </w:rPr>
        <w:t xml:space="preserve">2. </w:t>
      </w:r>
      <w:r>
        <w:rPr>
          <w:rStyle w:val="Numatytasispastraiposriftas1"/>
          <w:rFonts w:ascii="Times New Roman" w:hAnsi="Times New Roman"/>
          <w:b/>
          <w:sz w:val="24"/>
          <w:u w:val="single"/>
        </w:rPr>
        <w:t>Perkančioji organizacija reikalauja nurodyti, jeigu</w:t>
      </w:r>
      <w:r>
        <w:rPr>
          <w:rStyle w:val="Numatytasispastraiposriftas1"/>
          <w:rFonts w:ascii="Times New Roman" w:hAnsi="Times New Roman"/>
          <w:b/>
          <w:sz w:val="24"/>
        </w:rPr>
        <w:t>:</w:t>
      </w:r>
    </w:p>
    <w:p>
      <w:pPr>
        <w:pStyle w:val="Standard"/>
        <w:tabs>
          <w:tab w:val="clear" w:pos="1296"/>
          <w:tab w:val="left" w:pos="0" w:leader="none"/>
          <w:tab w:val="left" w:pos="1080" w:leader="none"/>
        </w:tabs>
        <w:rPr/>
      </w:pPr>
      <w:r>
        <w:rPr>
          <w:rStyle w:val="Numatytasispastraiposriftas1"/>
          <w:rFonts w:ascii="Times New Roman" w:hAnsi="Times New Roman"/>
          <w:b/>
          <w:bCs/>
          <w:sz w:val="24"/>
        </w:rPr>
        <w:t xml:space="preserve">2.1. </w:t>
      </w:r>
      <w:r>
        <w:rPr>
          <w:rStyle w:val="Numatytasispastraiposriftas1"/>
          <w:rFonts w:ascii="Times New Roman" w:hAnsi="Times New Roman"/>
          <w:b/>
          <w:sz w:val="24"/>
        </w:rPr>
        <w:t>kvalifikacinių reikalavimų atitikčiai remsiuosi ūkio subjektų pajėgumais (t. y. pasitelksiu ūkio subjektus, kurio pajėgumais remsiuosi*)</w:t>
      </w:r>
      <w:r>
        <w:rPr>
          <w:rStyle w:val="Numatytasispastraiposriftas1"/>
          <w:rFonts w:ascii="Times New Roman" w:hAnsi="Times New Roman"/>
          <w:sz w:val="24"/>
        </w:rPr>
        <w:t xml:space="preserve"> </w:t>
      </w:r>
      <w:r>
        <w:rPr>
          <w:rStyle w:val="Numatytasispastraiposriftas1"/>
          <w:rFonts w:ascii="Times New Roman" w:hAnsi="Times New Roman"/>
          <w:b/>
          <w:sz w:val="24"/>
        </w:rPr>
        <w:t>(</w:t>
      </w:r>
      <w:r>
        <w:rPr>
          <w:rStyle w:val="Numatytasispastraiposriftas1"/>
          <w:rFonts w:ascii="Times New Roman" w:hAnsi="Times New Roman"/>
          <w:i/>
          <w:sz w:val="24"/>
        </w:rPr>
        <w:t>jei taikoma):</w:t>
      </w:r>
    </w:p>
    <w:p>
      <w:pPr>
        <w:pStyle w:val="Standard"/>
        <w:ind w:left="720"/>
        <w:rPr>
          <w:rFonts w:ascii="Times New Roman" w:hAnsi="Times New Roman"/>
          <w:i/>
          <w:i/>
          <w:sz w:val="24"/>
        </w:rPr>
      </w:pPr>
      <w:r>
        <w:rPr>
          <w:rFonts w:ascii="Times New Roman" w:hAnsi="Times New Roman"/>
          <w:i/>
          <w:sz w:val="24"/>
        </w:rPr>
      </w:r>
    </w:p>
    <w:tbl>
      <w:tblPr>
        <w:tblW w:w="9674"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69"/>
        <w:gridCol w:w="2695"/>
        <w:gridCol w:w="3631"/>
        <w:gridCol w:w="2778"/>
      </w:tblGrid>
      <w:tr>
        <w:trPr>
          <w:trHeight w:val="1" w:hRule="atLeast"/>
          <w:cantSplit w:val="true"/>
        </w:trPr>
        <w:tc>
          <w:tcPr>
            <w:tcW w:w="56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i/>
                <w:sz w:val="24"/>
              </w:rPr>
              <w:t>Eil. Nr.</w:t>
            </w:r>
          </w:p>
        </w:tc>
        <w:tc>
          <w:tcPr>
            <w:tcW w:w="2695"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i/>
                <w:sz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i/>
                <w:sz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ind w:left="34"/>
              <w:rPr/>
            </w:pPr>
            <w:r>
              <w:rPr>
                <w:rStyle w:val="Numatytasispastraiposriftas1"/>
                <w:rFonts w:ascii="Times New Roman" w:hAnsi="Times New Roman"/>
                <w:b/>
                <w:i/>
                <w:sz w:val="24"/>
              </w:rPr>
              <w:t>Nurodomas dokumentas pridedamas kartu su pasiūlymu</w:t>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269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 xml:space="preserve">(.....) </w:t>
            </w:r>
            <w:r>
              <w:rPr>
                <w:rStyle w:val="Numatytasispastraiposriftas1"/>
                <w:rFonts w:ascii="Times New Roman" w:hAnsi="Times New Roman"/>
                <w:i/>
                <w:sz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269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69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bl>
    <w:p>
      <w:pPr>
        <w:pStyle w:val="Standard"/>
        <w:ind w:firstLine="567"/>
        <w:textAlignment w:val="top"/>
        <w:rPr/>
      </w:pPr>
      <w:r>
        <w:rPr>
          <w:rStyle w:val="Numatytasispastraiposriftas1"/>
          <w:rFonts w:ascii="Times New Roman" w:hAnsi="Times New Roman"/>
          <w:i/>
          <w:sz w:val="24"/>
        </w:rPr>
        <w:t xml:space="preserve">* </w:t>
      </w:r>
      <w:r>
        <w:rPr>
          <w:rStyle w:val="Numatytasispastraiposriftas1"/>
          <w:rFonts w:ascii="Times New Roman" w:hAnsi="Times New Roman"/>
          <w:b/>
          <w:i/>
          <w:sz w:val="24"/>
        </w:rPr>
        <w:t xml:space="preserve">Ūkio subjektas, kurio pajėgumais remiamasi – </w:t>
      </w:r>
      <w:r>
        <w:rPr>
          <w:rStyle w:val="Numatytasispastraiposriftas1"/>
          <w:rFonts w:ascii="Times New Roman" w:hAnsi="Times New Roman"/>
          <w:i/>
          <w:sz w:val="24"/>
        </w:rPr>
        <w:t>tiekėjo sutarties vykdymui pasitelkiamas trečiasis asmuo, kurio kvalifikacija tiekėjas remiasi, kad atitiktų kvalifikacijos reikalavimus (Metodikos 2.9 p.).</w:t>
      </w:r>
    </w:p>
    <w:p>
      <w:pPr>
        <w:pStyle w:val="Standard"/>
        <w:rPr>
          <w:rFonts w:ascii="Times New Roman" w:hAnsi="Times New Roman"/>
          <w:b/>
          <w:bCs/>
          <w:sz w:val="24"/>
        </w:rPr>
      </w:pPr>
      <w:r>
        <w:rPr>
          <w:rFonts w:ascii="Times New Roman" w:hAnsi="Times New Roman"/>
          <w:b/>
          <w:bCs/>
          <w:sz w:val="24"/>
        </w:rPr>
      </w:r>
    </w:p>
    <w:p>
      <w:pPr>
        <w:pStyle w:val="Standard"/>
        <w:rPr/>
      </w:pPr>
      <w:r>
        <w:rPr>
          <w:rStyle w:val="Numatytasispastraiposriftas1"/>
          <w:rFonts w:ascii="Times New Roman" w:hAnsi="Times New Roman"/>
          <w:b/>
          <w:bCs/>
          <w:sz w:val="24"/>
        </w:rPr>
        <w:t xml:space="preserve">2.2. kvalifikacinių reikalavimų atitikčiai remsiuosi kvazisubtiekėjų** pajėgumais </w:t>
      </w:r>
      <w:r>
        <w:rPr>
          <w:rStyle w:val="Numatytasispastraiposriftas1"/>
          <w:rFonts w:ascii="Times New Roman" w:hAnsi="Times New Roman"/>
          <w:b/>
          <w:bCs/>
          <w:i/>
          <w:sz w:val="24"/>
        </w:rPr>
        <w:t xml:space="preserve"> (pildyti tuomet, jei pasiūlymo pateikimo momentui jie nėra tiekėjo ar jo pasitelkiamo subtiekėjo darbuotojai, tačiau laimėjimo atveju būtų įdarbinti):</w:t>
      </w:r>
    </w:p>
    <w:p>
      <w:pPr>
        <w:pStyle w:val="Standard"/>
        <w:rPr>
          <w:rFonts w:ascii="Times New Roman" w:hAnsi="Times New Roman"/>
          <w:b/>
          <w:bCs/>
          <w:i/>
          <w:i/>
          <w:sz w:val="24"/>
        </w:rPr>
      </w:pPr>
      <w:r>
        <w:rPr>
          <w:rFonts w:ascii="Times New Roman" w:hAnsi="Times New Roman"/>
          <w:b/>
          <w:bCs/>
          <w:i/>
          <w:sz w:val="24"/>
        </w:rPr>
      </w:r>
    </w:p>
    <w:tbl>
      <w:tblPr>
        <w:tblW w:w="9646"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70"/>
        <w:gridCol w:w="1639"/>
        <w:gridCol w:w="2373"/>
        <w:gridCol w:w="2466"/>
        <w:gridCol w:w="2598"/>
      </w:tblGrid>
      <w:tr>
        <w:trPr>
          <w:trHeight w:val="548" w:hRule="atLeast"/>
        </w:trPr>
        <w:tc>
          <w:tcPr>
            <w:tcW w:w="570" w:type="dxa"/>
            <w:vMerge w:val="restart"/>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bCs/>
                <w:i/>
                <w:sz w:val="24"/>
              </w:rPr>
              <w:t>Eil. Nr.</w:t>
            </w:r>
          </w:p>
          <w:p>
            <w:pPr>
              <w:pStyle w:val="Standard"/>
              <w:rPr>
                <w:rFonts w:ascii="Times New Roman" w:hAnsi="Times New Roman"/>
                <w:b/>
                <w:bCs/>
                <w:i/>
                <w:i/>
                <w:sz w:val="24"/>
              </w:rPr>
            </w:pPr>
            <w:r>
              <w:rPr>
                <w:rFonts w:ascii="Times New Roman" w:hAnsi="Times New Roman"/>
                <w:b/>
                <w:bCs/>
                <w:i/>
                <w:sz w:val="24"/>
              </w:rPr>
            </w:r>
          </w:p>
        </w:tc>
        <w:tc>
          <w:tcPr>
            <w:tcW w:w="9076" w:type="dxa"/>
            <w:gridSpan w:val="4"/>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bCs/>
                <w:sz w:val="24"/>
                <w:u w:val="single"/>
              </w:rPr>
              <w:t>Kvazisubtiekėjai**</w:t>
            </w:r>
          </w:p>
        </w:tc>
      </w:tr>
      <w:tr>
        <w:trPr>
          <w:trHeight w:val="1"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Prastasis1"/>
              <w:spacing w:before="0" w:after="160"/>
              <w:rPr>
                <w:rFonts w:ascii="Times New Roman" w:hAnsi="Times New Roman"/>
                <w:sz w:val="24"/>
                <w:szCs w:val="24"/>
              </w:rPr>
            </w:pPr>
            <w:r>
              <w:rPr>
                <w:rFonts w:ascii="Times New Roman" w:hAnsi="Times New Roman"/>
                <w:sz w:val="24"/>
                <w:szCs w:val="24"/>
              </w:rPr>
            </w:r>
          </w:p>
        </w:tc>
        <w:tc>
          <w:tcPr>
            <w:tcW w:w="163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bCs/>
                <w:i/>
                <w:sz w:val="24"/>
              </w:rPr>
              <w:t>Vardas ir pavardė</w:t>
            </w:r>
          </w:p>
        </w:tc>
        <w:tc>
          <w:tcPr>
            <w:tcW w:w="23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rPr/>
            </w:pPr>
            <w:r>
              <w:rPr>
                <w:rStyle w:val="Numatytasispastraiposriftas1"/>
                <w:rFonts w:ascii="Times New Roman" w:hAnsi="Times New Roman"/>
                <w:b/>
                <w:bCs/>
                <w:i/>
                <w:sz w:val="24"/>
              </w:rPr>
              <w:t>Kokiems sutartiniams įsipareigojimams pasitelkiamas kvazisubtiekėjas</w:t>
            </w:r>
          </w:p>
        </w:tc>
        <w:tc>
          <w:tcPr>
            <w:tcW w:w="2466"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rPr/>
            </w:pPr>
            <w:r>
              <w:rPr>
                <w:rStyle w:val="Numatytasispastraiposriftas1"/>
                <w:rFonts w:ascii="Times New Roman" w:hAnsi="Times New Roman"/>
                <w:b/>
                <w:bCs/>
                <w:i/>
                <w:sz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rPr/>
            </w:pPr>
            <w:r>
              <w:rPr>
                <w:rStyle w:val="Numatytasispastraiposriftas1"/>
                <w:rFonts w:ascii="Times New Roman" w:hAnsi="Times New Roman"/>
                <w:b/>
                <w:bCs/>
                <w:i/>
                <w:sz w:val="24"/>
              </w:rPr>
              <w:t>Nurodomas dokumentas pridedamas kartu su pasiūlymu</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Cs/>
                <w:sz w:val="24"/>
              </w:rPr>
              <w:t>1.</w:t>
            </w:r>
          </w:p>
        </w:tc>
        <w:tc>
          <w:tcPr>
            <w:tcW w:w="163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Cs/>
                <w:sz w:val="24"/>
              </w:rPr>
              <w:t xml:space="preserve">(.....) </w:t>
            </w:r>
            <w:r>
              <w:rPr>
                <w:rStyle w:val="Numatytasispastraiposriftas1"/>
                <w:rFonts w:ascii="Times New Roman" w:hAnsi="Times New Roman"/>
                <w:bCs/>
                <w:i/>
                <w:sz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466"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c>
          <w:tcPr>
            <w:tcW w:w="259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
                <w:bCs/>
                <w:sz w:val="24"/>
              </w:rPr>
              <w:t>...</w:t>
            </w:r>
          </w:p>
        </w:tc>
        <w:tc>
          <w:tcPr>
            <w:tcW w:w="163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37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466"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c>
          <w:tcPr>
            <w:tcW w:w="259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r>
    </w:tbl>
    <w:p>
      <w:pPr>
        <w:pStyle w:val="Standard"/>
        <w:jc w:val="both"/>
        <w:rPr/>
      </w:pPr>
      <w:r>
        <w:rPr>
          <w:rStyle w:val="Numatytasispastraiposriftas1"/>
          <w:rFonts w:ascii="Times New Roman" w:hAnsi="Times New Roman"/>
          <w:b/>
          <w:bCs/>
          <w:i/>
          <w:sz w:val="24"/>
        </w:rPr>
        <w:t>**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pPr>
        <w:pStyle w:val="Standard"/>
        <w:jc w:val="both"/>
        <w:rPr/>
      </w:pPr>
      <w:r>
        <w:rPr>
          <w:rStyle w:val="Numatytasispastraiposriftas1"/>
          <w:rFonts w:ascii="Times New Roman" w:hAnsi="Times New Roman"/>
          <w:b/>
          <w:bCs/>
          <w:i/>
          <w:sz w:val="24"/>
        </w:rPr>
        <w:t xml:space="preserve">***  Jei kvazisubtiekėjas bus įdarbintas </w:t>
      </w:r>
      <w:bookmarkStart w:id="62" w:name="_Hlk64018374"/>
      <w:r>
        <w:rPr>
          <w:rStyle w:val="Numatytasispastraiposriftas1"/>
          <w:rFonts w:ascii="Times New Roman" w:hAnsi="Times New Roman"/>
          <w:b/>
          <w:bCs/>
          <w:i/>
          <w:sz w:val="24"/>
        </w:rPr>
        <w:t xml:space="preserve">ūkio subjekto, kurio pajėgumais remiamasi, </w:t>
      </w:r>
      <w:bookmarkEnd w:id="62"/>
      <w:r>
        <w:rPr>
          <w:rStyle w:val="Numatytasispastraiposriftas1"/>
          <w:rFonts w:ascii="Times New Roman" w:hAnsi="Times New Roman"/>
          <w:b/>
          <w:bCs/>
          <w:i/>
          <w:sz w:val="24"/>
        </w:rPr>
        <w:t>įmonėje, o tiekėjas nurodo kelis planuojamus pasitelkti ūkio subjekto, kurio pajėgumais remiamasi – nurodoma kurio konkrečiai ūkio subjekto, kurio pajėgumais remiamasi,  įmonėje bus įdarbintas kvazisubtiekėjas sutarties laimėjimo atveju.</w:t>
      </w:r>
    </w:p>
    <w:p>
      <w:pPr>
        <w:pStyle w:val="Standard"/>
        <w:tabs>
          <w:tab w:val="clear" w:pos="1296"/>
          <w:tab w:val="left" w:pos="0" w:leader="none"/>
          <w:tab w:val="left" w:pos="1080" w:leader="none"/>
        </w:tabs>
        <w:rPr/>
      </w:pPr>
      <w:r>
        <w:rPr>
          <w:rStyle w:val="Numatytasispastraiposriftas1"/>
          <w:rFonts w:ascii="Times New Roman" w:hAnsi="Times New Roman"/>
          <w:b/>
          <w:sz w:val="24"/>
        </w:rPr>
        <w:t xml:space="preserve">2.3. </w:t>
      </w:r>
      <w:r>
        <w:rPr>
          <w:rStyle w:val="Numatytasispastraiposriftas1"/>
          <w:rFonts w:ascii="Times New Roman" w:hAnsi="Times New Roman"/>
          <w:b/>
          <w:sz w:val="24"/>
          <w:u w:val="single"/>
        </w:rPr>
        <w:t>sutarties vykdymui pasitelksiu subtiekėjus**** (jei jie yra žinomi)</w:t>
      </w:r>
      <w:r>
        <w:rPr>
          <w:rStyle w:val="Numatytasispastraiposriftas1"/>
          <w:rFonts w:ascii="Times New Roman" w:hAnsi="Times New Roman"/>
          <w:sz w:val="24"/>
        </w:rPr>
        <w:t>:</w:t>
      </w:r>
    </w:p>
    <w:p>
      <w:pPr>
        <w:pStyle w:val="Standard"/>
        <w:tabs>
          <w:tab w:val="clear" w:pos="1296"/>
          <w:tab w:val="left" w:pos="0" w:leader="none"/>
          <w:tab w:val="left" w:pos="1080" w:leader="none"/>
        </w:tabs>
        <w:ind w:firstLine="450"/>
        <w:rPr>
          <w:rFonts w:ascii="Times New Roman" w:hAnsi="Times New Roman"/>
          <w:b/>
          <w:sz w:val="24"/>
        </w:rPr>
      </w:pPr>
      <w:r>
        <w:rPr>
          <w:rFonts w:ascii="Times New Roman" w:hAnsi="Times New Roman"/>
          <w:b/>
          <w:sz w:val="24"/>
        </w:rPr>
      </w:r>
    </w:p>
    <w:tbl>
      <w:tblPr>
        <w:tblW w:w="9887"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70"/>
        <w:gridCol w:w="3509"/>
        <w:gridCol w:w="5808"/>
      </w:tblGrid>
      <w:tr>
        <w:trPr>
          <w:trHeight w:val="1" w:hRule="atLeast"/>
          <w:cantSplit w:val="true"/>
        </w:trPr>
        <w:tc>
          <w:tcPr>
            <w:tcW w:w="570"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Eil. Nr.</w:t>
            </w:r>
          </w:p>
        </w:tc>
        <w:tc>
          <w:tcPr>
            <w:tcW w:w="350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Subtiekėjo pavadinimas. Nurodoma: juridinio asmens kodas (jei pasitelkiamas juridinis asmuo), adresas arba nurodomas vardas, pavardė. el. paštas (jei pasitelkiamas fizinis asmuo)</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350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580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350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580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r>
    </w:tbl>
    <w:p>
      <w:pPr>
        <w:pStyle w:val="Standard"/>
        <w:tabs>
          <w:tab w:val="clear" w:pos="1296"/>
          <w:tab w:val="left" w:pos="993" w:leader="none"/>
          <w:tab w:val="left" w:pos="1560" w:leader="none"/>
        </w:tabs>
        <w:rPr/>
      </w:pPr>
      <w:r>
        <w:rPr>
          <w:rStyle w:val="Numatytasispastraiposriftas1"/>
          <w:rFonts w:ascii="Times New Roman" w:hAnsi="Times New Roman"/>
          <w:b/>
          <w:i/>
          <w:sz w:val="24"/>
        </w:rPr>
        <w:t xml:space="preserve">**** Subtiekėjas </w:t>
      </w:r>
      <w:r>
        <w:rPr>
          <w:rStyle w:val="Numatytasispastraiposriftas1"/>
          <w:rFonts w:ascii="Times New Roman" w:hAnsi="Times New Roman"/>
          <w:i/>
          <w:sz w:val="24"/>
        </w:rPr>
        <w:t>– tiekėjo sutarties vykdymui pasitelkiamas trečiasis asmuo, kurio kvalifikacija tiekėjas nesiremia, kad atitiktų kvalifikacijos reikalavimus (Metodikos 2.7 p.).</w:t>
      </w:r>
    </w:p>
    <w:p>
      <w:pPr>
        <w:pStyle w:val="Standard"/>
        <w:tabs>
          <w:tab w:val="clear" w:pos="1296"/>
          <w:tab w:val="left" w:pos="0" w:leader="none"/>
          <w:tab w:val="left" w:pos="1080" w:leader="none"/>
        </w:tabs>
        <w:ind w:firstLine="450"/>
        <w:rPr/>
      </w:pPr>
      <w:r>
        <w:rPr>
          <w:rStyle w:val="Numatytasispastraiposriftas1"/>
          <w:rFonts w:ascii="Times New Roman" w:hAnsi="Times New Roman"/>
          <w:b/>
          <w:sz w:val="24"/>
        </w:rPr>
        <w:t xml:space="preserve">2.4. </w:t>
      </w:r>
      <w:r>
        <w:rPr>
          <w:rStyle w:val="Numatytasispastraiposriftas1"/>
          <w:rFonts w:ascii="Times New Roman" w:hAnsi="Times New Roman"/>
          <w:b/>
          <w:sz w:val="24"/>
          <w:u w:val="single"/>
        </w:rPr>
        <w:t xml:space="preserve">sutarties vykdymui </w:t>
      </w:r>
      <w:r>
        <w:rPr>
          <w:rStyle w:val="Numatytasispastraiposriftas1"/>
          <w:rFonts w:ascii="Times New Roman" w:hAnsi="Times New Roman"/>
          <w:sz w:val="24"/>
        </w:rPr>
        <w:t>naudosiuosi trečiųjų asmenų***** (jei jie yra žinomi) priemonėmis:</w:t>
      </w:r>
    </w:p>
    <w:tbl>
      <w:tblPr>
        <w:tblW w:w="9826"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69"/>
        <w:gridCol w:w="2599"/>
        <w:gridCol w:w="3037"/>
        <w:gridCol w:w="3620"/>
      </w:tblGrid>
      <w:tr>
        <w:trPr>
          <w:trHeight w:val="1" w:hRule="atLeast"/>
          <w:cantSplit w:val="true"/>
        </w:trPr>
        <w:tc>
          <w:tcPr>
            <w:tcW w:w="56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Eil. Nr.</w:t>
            </w:r>
          </w:p>
        </w:tc>
        <w:tc>
          <w:tcPr>
            <w:tcW w:w="259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Pirkimo sutarties dalis, kurios vykdymui naudosiuosi trečiaisiais asmenimis*****</w:t>
            </w:r>
          </w:p>
        </w:tc>
        <w:tc>
          <w:tcPr>
            <w:tcW w:w="3037"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sz w:val="24"/>
              </w:rPr>
              <w:t>Trečiojo asmens pavadinimas. Nurodoma: juridinio asmens kodas (jei pasitelkiamas juridinis asmuo), adresas arba vardas, pavardė. el. paštas (jei pasitelkiamas fizinis asmuo)</w:t>
            </w:r>
          </w:p>
        </w:tc>
        <w:tc>
          <w:tcPr>
            <w:tcW w:w="3620"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Standard"/>
              <w:jc w:val="center"/>
              <w:rPr/>
            </w:pPr>
            <w:r>
              <w:rPr>
                <w:rStyle w:val="Numatytasispastraiposriftas1"/>
                <w:rFonts w:ascii="Times New Roman" w:hAnsi="Times New Roman"/>
                <w:b/>
                <w:i/>
                <w:sz w:val="24"/>
              </w:rPr>
              <w:t>Nurodomas dokumentas pridedamas kartu su pasiūlymu</w:t>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25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303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20"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sz w:val="24"/>
              </w:rPr>
            </w:pPr>
            <w:r>
              <w:rPr>
                <w:rFonts w:ascii="Times New Roman" w:hAnsi="Times New Roman"/>
                <w:sz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25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03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20"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sz w:val="24"/>
              </w:rPr>
            </w:pPr>
            <w:r>
              <w:rPr>
                <w:rFonts w:ascii="Times New Roman" w:hAnsi="Times New Roman"/>
                <w:sz w:val="24"/>
              </w:rPr>
            </w:r>
          </w:p>
        </w:tc>
      </w:tr>
    </w:tbl>
    <w:p>
      <w:pPr>
        <w:pStyle w:val="Standard"/>
        <w:ind w:firstLine="567"/>
        <w:jc w:val="both"/>
        <w:textAlignment w:val="top"/>
        <w:rPr/>
      </w:pPr>
      <w:r>
        <w:rPr>
          <w:rStyle w:val="Numatytasispastraiposriftas1"/>
          <w:rFonts w:ascii="Times New Roman" w:hAnsi="Times New Roman"/>
          <w:i/>
          <w:sz w:val="24"/>
        </w:rPr>
        <w:t xml:space="preserve">***** </w:t>
      </w:r>
      <w:r>
        <w:rPr>
          <w:rStyle w:val="Numatytasispastraiposriftas1"/>
          <w:rFonts w:ascii="Times New Roman" w:hAnsi="Times New Roman"/>
          <w:b/>
          <w:i/>
          <w:sz w:val="24"/>
        </w:rPr>
        <w:t>Tretieji asmenys</w:t>
      </w:r>
      <w:r>
        <w:rPr>
          <w:rStyle w:val="Numatytasispastraiposriftas1"/>
          <w:rFonts w:ascii="Times New Roman" w:hAnsi="Times New Roman"/>
          <w:i/>
          <w:sz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pPr>
        <w:pStyle w:val="Standard"/>
        <w:tabs>
          <w:tab w:val="clear" w:pos="1296"/>
          <w:tab w:val="left" w:pos="993" w:leader="none"/>
          <w:tab w:val="left" w:pos="1560" w:leader="none"/>
        </w:tabs>
        <w:rPr/>
      </w:pPr>
      <w:r>
        <w:rPr>
          <w:rStyle w:val="Numatytasispastraiposriftas1"/>
          <w:rFonts w:ascii="Times New Roman" w:hAnsi="Times New Roman"/>
          <w:b/>
          <w:sz w:val="24"/>
        </w:rPr>
        <w:t>3.</w:t>
      </w:r>
      <w:r>
        <w:rPr>
          <w:rStyle w:val="Numatytasispastraiposriftas1"/>
          <w:rFonts w:ascii="Times New Roman" w:hAnsi="Times New Roman"/>
          <w:sz w:val="24"/>
        </w:rPr>
        <w:t xml:space="preserve"> </w:t>
      </w:r>
      <w:r>
        <w:rPr>
          <w:rStyle w:val="Numatytasispastraiposriftas1"/>
          <w:rFonts w:ascii="Times New Roman" w:hAnsi="Times New Roman"/>
          <w:b/>
          <w:sz w:val="24"/>
        </w:rPr>
        <w:t>Šiame pasiūlyme pateikta ši konfidenciali informacija</w:t>
      </w:r>
      <w:r>
        <w:rPr>
          <w:rStyle w:val="Numatytasispastraiposriftas1"/>
          <w:rFonts w:ascii="Times New Roman" w:hAnsi="Times New Roman"/>
          <w:sz w:val="24"/>
        </w:rPr>
        <w:t xml:space="preserve"> (</w:t>
      </w:r>
      <w:r>
        <w:rPr>
          <w:rStyle w:val="Numatytasispastraiposriftas1"/>
          <w:rFonts w:ascii="Times New Roman" w:hAnsi="Times New Roman"/>
          <w:i/>
          <w:sz w:val="24"/>
        </w:rPr>
        <w:t>pildyti tuomet, jei bus pateikta konfidenciali informacija):</w:t>
      </w:r>
    </w:p>
    <w:tbl>
      <w:tblPr>
        <w:tblW w:w="9952" w:type="dxa"/>
        <w:jc w:val="left"/>
        <w:tblInd w:w="84" w:type="dxa"/>
        <w:tblLayout w:type="fixed"/>
        <w:tblCellMar>
          <w:top w:w="0" w:type="dxa"/>
          <w:left w:w="108" w:type="dxa"/>
          <w:bottom w:w="0" w:type="dxa"/>
          <w:right w:w="108" w:type="dxa"/>
        </w:tblCellMar>
        <w:tblLook w:firstRow="1" w:noVBand="1" w:lastRow="0" w:firstColumn="1" w:lastColumn="0" w:noHBand="0" w:val="04a0"/>
      </w:tblPr>
      <w:tblGrid>
        <w:gridCol w:w="742"/>
        <w:gridCol w:w="3119"/>
        <w:gridCol w:w="1413"/>
        <w:gridCol w:w="4677"/>
      </w:tblGrid>
      <w:tr>
        <w:trPr/>
        <w:tc>
          <w:tcPr>
            <w:tcW w:w="74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iCs/>
                <w:sz w:val="24"/>
              </w:rPr>
              <w:t>Eil. Nr.</w:t>
            </w:r>
          </w:p>
        </w:tc>
        <w:tc>
          <w:tcPr>
            <w:tcW w:w="311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iCs/>
                <w:sz w:val="24"/>
              </w:rPr>
              <w:t>Pateikto dokumento pavadinimas</w:t>
            </w:r>
          </w:p>
        </w:tc>
        <w:tc>
          <w:tcPr>
            <w:tcW w:w="141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iCs/>
                <w:sz w:val="24"/>
              </w:rPr>
              <w:t>Lapų skaičius</w:t>
            </w:r>
          </w:p>
        </w:tc>
        <w:tc>
          <w:tcPr>
            <w:tcW w:w="4677"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Standard"/>
              <w:jc w:val="center"/>
              <w:rPr/>
            </w:pPr>
            <w:r>
              <w:rPr>
                <w:rStyle w:val="Numatytasispastraiposriftas1"/>
                <w:rFonts w:ascii="Times New Roman" w:hAnsi="Times New Roman"/>
                <w:b/>
                <w:i/>
                <w:iCs/>
                <w:sz w:val="24"/>
              </w:rPr>
              <w:t>Paaiškinimas kokia konkrečiai informacija, esanti dokumente yra konfidenciali ir kodėl</w:t>
            </w:r>
            <w:r>
              <w:rPr>
                <w:rStyle w:val="Numatytasispastraiposriftas1"/>
                <w:rFonts w:ascii="Times New Roman" w:hAnsi="Times New Roman"/>
                <w:b/>
                <w:i/>
                <w:iCs/>
                <w:sz w:val="24"/>
                <w:vertAlign w:val="superscript"/>
              </w:rPr>
              <w:t>1</w:t>
            </w:r>
          </w:p>
        </w:tc>
      </w:tr>
      <w:tr>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Standard"/>
              <w:ind w:firstLine="67"/>
              <w:rPr>
                <w:rFonts w:ascii="Times New Roman" w:hAnsi="Times New Roman"/>
                <w:sz w:val="24"/>
              </w:rPr>
            </w:pPr>
            <w:r>
              <w:rPr>
                <w:rFonts w:ascii="Times New Roman" w:hAnsi="Times New Roman"/>
                <w:sz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742" w:type="dxa"/>
            <w:tcBorders>
              <w:top w:val="single" w:sz="4" w:space="0" w:color="000000"/>
              <w:left w:val="single" w:sz="4" w:space="0" w:color="000000"/>
              <w:bottom w:val="single" w:sz="4" w:space="0" w:color="000000"/>
              <w:right w:val="single" w:sz="4" w:space="0" w:color="000000"/>
            </w:tcBorders>
            <w:shd w:color="auto" w:fill="auto" w:val="clear"/>
          </w:tcPr>
          <w:p>
            <w:pPr>
              <w:pStyle w:val="Standard"/>
              <w:ind w:firstLine="67"/>
              <w:rPr>
                <w:rFonts w:ascii="Times New Roman" w:hAnsi="Times New Roman"/>
                <w:sz w:val="24"/>
              </w:rPr>
            </w:pPr>
            <w:r>
              <w:rPr>
                <w:rFonts w:ascii="Times New Roman" w:hAnsi="Times New Roman"/>
                <w:sz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tabs>
                <w:tab w:val="left" w:pos="1296" w:leader="none"/>
                <w:tab w:val="center" w:pos="4819" w:leader="none"/>
                <w:tab w:val="right" w:pos="9638" w:leader="none"/>
              </w:tabs>
              <w:rPr>
                <w:rFonts w:ascii="Times New Roman" w:hAnsi="Times New Roman"/>
                <w:sz w:val="24"/>
              </w:rPr>
            </w:pPr>
            <w:r>
              <w:rPr>
                <w:rFonts w:ascii="Times New Roman" w:hAnsi="Times New Roman"/>
                <w:sz w:val="24"/>
              </w:rPr>
            </w:r>
          </w:p>
        </w:tc>
        <w:tc>
          <w:tcPr>
            <w:tcW w:w="1413"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bl>
    <w:p>
      <w:pPr>
        <w:pStyle w:val="Standard"/>
        <w:jc w:val="both"/>
        <w:rPr/>
      </w:pPr>
      <w:r>
        <w:rPr>
          <w:rStyle w:val="Numatytasispastraiposriftas1"/>
          <w:rFonts w:ascii="Times New Roman" w:hAnsi="Times New Roman"/>
          <w:i/>
          <w:sz w:val="24"/>
        </w:rPr>
        <w:t xml:space="preserve"> </w:t>
      </w:r>
      <w:r>
        <w:rPr>
          <w:rStyle w:val="Numatytasispastraiposriftas1"/>
          <w:rFonts w:ascii="Times New Roman" w:hAnsi="Times New Roman"/>
          <w:b/>
          <w:i/>
          <w:sz w:val="24"/>
        </w:rPr>
        <w:t>Pastaba:</w:t>
      </w:r>
      <w:r>
        <w:rPr>
          <w:rStyle w:val="Numatytasispastraiposriftas1"/>
          <w:rFonts w:ascii="Times New Roman" w:hAnsi="Times New Roman"/>
          <w:i/>
          <w:sz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w:t>
      </w:r>
    </w:p>
    <w:p>
      <w:pPr>
        <w:pStyle w:val="Standard"/>
        <w:jc w:val="both"/>
        <w:rPr>
          <w:rStyle w:val="Numatytasispastraiposriftas1"/>
          <w:rFonts w:ascii="Times New Roman" w:hAnsi="Times New Roman"/>
          <w:i/>
          <w:i/>
          <w:sz w:val="24"/>
        </w:rPr>
      </w:pPr>
      <w:r>
        <w:rPr>
          <w:rStyle w:val="Numatytasispastraiposriftas1"/>
          <w:rFonts w:ascii="Times New Roman" w:hAnsi="Times New Roman"/>
          <w:i/>
          <w:sz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pPr>
        <w:pStyle w:val="Standard"/>
        <w:jc w:val="both"/>
        <w:rPr>
          <w:rStyle w:val="Numatytasispastraiposriftas1"/>
          <w:rFonts w:ascii="Times New Roman" w:hAnsi="Times New Roman"/>
          <w:i/>
          <w:i/>
          <w:sz w:val="24"/>
        </w:rPr>
      </w:pPr>
      <w:r>
        <w:rPr>
          <w:rFonts w:ascii="Times New Roman" w:hAnsi="Times New Roman"/>
          <w:i/>
          <w:sz w:val="24"/>
        </w:rPr>
      </w:r>
    </w:p>
    <w:p>
      <w:pPr>
        <w:pStyle w:val="Standard"/>
        <w:jc w:val="both"/>
        <w:rPr/>
      </w:pPr>
      <w:r>
        <w:rPr/>
      </w:r>
    </w:p>
    <w:p>
      <w:pPr>
        <w:pStyle w:val="Sraopastraipa1"/>
        <w:tabs>
          <w:tab w:val="clear" w:pos="1296"/>
          <w:tab w:val="left" w:pos="709" w:leader="none"/>
        </w:tabs>
        <w:ind w:hanging="709" w:left="709"/>
        <w:jc w:val="both"/>
        <w:rPr/>
      </w:pPr>
      <w:r>
        <w:rPr>
          <w:rStyle w:val="Numatytasispastraiposriftas1"/>
          <w:rFonts w:ascii="Times New Roman" w:hAnsi="Times New Roman"/>
          <w:b/>
          <w:iCs/>
          <w:sz w:val="24"/>
        </w:rPr>
        <w:t>KAINA</w:t>
      </w:r>
    </w:p>
    <w:p>
      <w:pPr>
        <w:pStyle w:val="Standard"/>
        <w:rPr/>
      </w:pPr>
      <w:r>
        <w:rPr>
          <w:rStyle w:val="Numatytasispastraiposriftas1"/>
          <w:rFonts w:ascii="Times New Roman" w:hAnsi="Times New Roman"/>
          <w:b/>
          <w:sz w:val="24"/>
        </w:rPr>
        <w:t xml:space="preserve">Mes siūlome pirkimo </w:t>
      </w:r>
      <w:r>
        <w:rPr>
          <w:rStyle w:val="Numatytasispastraiposriftas1"/>
          <w:rFonts w:ascii="Times New Roman" w:hAnsi="Times New Roman"/>
          <w:b/>
          <w:bCs/>
          <w:sz w:val="24"/>
        </w:rPr>
        <w:t>objektą už šią kainą:</w:t>
      </w:r>
    </w:p>
    <w:p>
      <w:pPr>
        <w:pStyle w:val="Normal"/>
        <w:rPr>
          <w:rFonts w:ascii="Times New Roman" w:hAnsi="Times New Roman" w:cs="Times New Roman"/>
          <w:b/>
          <w:bCs/>
          <w:sz w:val="24"/>
          <w:szCs w:val="24"/>
        </w:rPr>
      </w:pPr>
      <w:r>
        <w:rPr>
          <w:rFonts w:cs="Times New Roman" w:ascii="Times New Roman" w:hAnsi="Times New Roman"/>
          <w:b/>
          <w:bCs/>
          <w:sz w:val="24"/>
          <w:szCs w:val="24"/>
        </w:rPr>
      </w:r>
    </w:p>
    <w:p>
      <w:pPr>
        <w:pStyle w:val="Normal"/>
        <w:rPr>
          <w:rFonts w:ascii="Times New Roman" w:hAnsi="Times New Roman" w:cs="Times New Roman"/>
          <w:b/>
          <w:bCs/>
          <w:caps/>
          <w:sz w:val="24"/>
          <w:szCs w:val="24"/>
        </w:rPr>
      </w:pPr>
      <w:r>
        <w:rPr>
          <w:rFonts w:cs="Times New Roman" w:ascii="Times New Roman" w:hAnsi="Times New Roman"/>
          <w:b/>
          <w:bCs/>
          <w:caps/>
          <w:sz w:val="24"/>
          <w:szCs w:val="24"/>
        </w:rPr>
        <w:t>I pirkimo objekto dalis</w:t>
      </w:r>
    </w:p>
    <w:p>
      <w:pPr>
        <w:pStyle w:val="Normal"/>
        <w:rPr>
          <w:rFonts w:ascii="Times New Roman" w:hAnsi="Times New Roman" w:cs="Times New Roman"/>
          <w:b/>
          <w:bCs/>
          <w:sz w:val="24"/>
          <w:szCs w:val="24"/>
        </w:rPr>
      </w:pPr>
      <w:r>
        <w:rPr>
          <w:rFonts w:cs="Times New Roman" w:ascii="Times New Roman" w:hAnsi="Times New Roman"/>
          <w:b/>
          <w:bCs/>
          <w:sz w:val="24"/>
          <w:szCs w:val="24"/>
        </w:rPr>
      </w:r>
    </w:p>
    <w:tbl>
      <w:tblPr>
        <w:tblW w:w="9495" w:type="dxa"/>
        <w:jc w:val="left"/>
        <w:tblInd w:w="109" w:type="dxa"/>
        <w:tblLayout w:type="fixed"/>
        <w:tblCellMar>
          <w:top w:w="0" w:type="dxa"/>
          <w:left w:w="108" w:type="dxa"/>
          <w:bottom w:w="0" w:type="dxa"/>
          <w:right w:w="108" w:type="dxa"/>
        </w:tblCellMar>
        <w:tblLook w:firstRow="1" w:noVBand="0" w:lastRow="0" w:firstColumn="1" w:lastColumn="0" w:noHBand="0" w:val="00a0"/>
      </w:tblPr>
      <w:tblGrid>
        <w:gridCol w:w="709"/>
        <w:gridCol w:w="3822"/>
        <w:gridCol w:w="1561"/>
        <w:gridCol w:w="1413"/>
        <w:gridCol w:w="147"/>
        <w:gridCol w:w="1843"/>
      </w:tblGrid>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bCs/>
                <w:kern w:val="2"/>
                <w:sz w:val="24"/>
                <w:szCs w:val="24"/>
                <w:lang w:eastAsia="en-US"/>
              </w:rPr>
            </w:pPr>
            <w:r>
              <w:rPr>
                <w:rFonts w:cs="Times New Roman" w:ascii="Times New Roman" w:hAnsi="Times New Roman"/>
                <w:b/>
                <w:bCs/>
                <w:kern w:val="2"/>
                <w:sz w:val="24"/>
                <w:szCs w:val="24"/>
                <w:lang w:eastAsia="en-US"/>
              </w:rPr>
              <w:t>Eil.</w:t>
            </w:r>
          </w:p>
          <w:p>
            <w:pPr>
              <w:pStyle w:val="Normal"/>
              <w:spacing w:before="0" w:after="160"/>
              <w:jc w:val="both"/>
              <w:rPr>
                <w:rFonts w:ascii="Times New Roman" w:hAnsi="Times New Roman" w:cs="Times New Roman"/>
                <w:b/>
                <w:bCs/>
                <w:kern w:val="2"/>
                <w:sz w:val="24"/>
                <w:szCs w:val="24"/>
                <w:lang w:eastAsia="en-US"/>
              </w:rPr>
            </w:pPr>
            <w:r>
              <w:rPr>
                <w:rFonts w:cs="Times New Roman" w:ascii="Times New Roman" w:hAnsi="Times New Roman"/>
                <w:b/>
                <w:bCs/>
                <w:kern w:val="2"/>
                <w:sz w:val="24"/>
                <w:szCs w:val="24"/>
                <w:lang w:eastAsia="en-US"/>
              </w:rPr>
              <w:t>Nr.</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b/>
                <w:bCs/>
                <w:kern w:val="2"/>
                <w:sz w:val="24"/>
                <w:szCs w:val="24"/>
                <w:lang w:eastAsia="en-US"/>
              </w:rPr>
            </w:pPr>
            <w:r>
              <w:rPr>
                <w:rFonts w:cs="Times New Roman" w:ascii="Times New Roman" w:hAnsi="Times New Roman"/>
                <w:b/>
                <w:bCs/>
                <w:kern w:val="2"/>
                <w:sz w:val="24"/>
                <w:szCs w:val="24"/>
                <w:lang w:eastAsia="en-US"/>
              </w:rPr>
              <w:t>Paslaugų pavadinimas</w:t>
            </w:r>
          </w:p>
        </w:tc>
        <w:tc>
          <w:tcPr>
            <w:tcW w:w="1561"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200" w:leader="none"/>
              </w:tabs>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Vieneto kaina (įkainis),</w:t>
            </w:r>
          </w:p>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Eur be PVM*</w:t>
            </w:r>
          </w:p>
        </w:tc>
        <w:tc>
          <w:tcPr>
            <w:tcW w:w="15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Kiekis</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Viso kaina (5=3x4), Eur be PVM*</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b/>
                <w:bCs/>
                <w:kern w:val="2"/>
                <w:sz w:val="24"/>
                <w:szCs w:val="24"/>
                <w:lang w:eastAsia="en-US"/>
              </w:rPr>
            </w:pPr>
            <w:r>
              <w:rPr>
                <w:rFonts w:cs="Times New Roman" w:ascii="Times New Roman" w:hAnsi="Times New Roman"/>
                <w:b/>
                <w:bCs/>
                <w:kern w:val="2"/>
                <w:sz w:val="24"/>
                <w:szCs w:val="24"/>
                <w:lang w:eastAsia="en-US"/>
              </w:rPr>
              <w:t>1</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b/>
                <w:bCs/>
                <w:kern w:val="2"/>
                <w:sz w:val="24"/>
                <w:szCs w:val="24"/>
                <w:lang w:eastAsia="en-US"/>
              </w:rPr>
            </w:pPr>
            <w:r>
              <w:rPr>
                <w:rFonts w:cs="Times New Roman" w:ascii="Times New Roman" w:hAnsi="Times New Roman"/>
                <w:b/>
                <w:bCs/>
                <w:kern w:val="2"/>
                <w:sz w:val="24"/>
                <w:szCs w:val="24"/>
                <w:lang w:eastAsia="en-US"/>
              </w:rPr>
              <w:t>2</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3</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4</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5</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1.</w:t>
            </w:r>
          </w:p>
        </w:tc>
        <w:tc>
          <w:tcPr>
            <w:tcW w:w="3822"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276" w:leader="none"/>
              </w:tabs>
              <w:spacing w:before="0" w:after="0"/>
              <w:contextualSpacing/>
              <w:jc w:val="both"/>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NUOTOLINIŲ MOKYMŲ, TEMA „UŽKREČIAMŲJŲ LIGŲ VALDYMAS SKIEPIJIMAIS IR PASITIKĖJIMO SKIEPAIS DIDINIMAS“, PARENGIMO PASLAUGOS</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1 vnt.</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r>
          </w:p>
        </w:tc>
      </w:tr>
      <w:tr>
        <w:trPr/>
        <w:tc>
          <w:tcPr>
            <w:tcW w:w="7505" w:type="dxa"/>
            <w:gridSpan w:val="4"/>
            <w:tcBorders/>
          </w:tcPr>
          <w:p>
            <w:pPr>
              <w:pStyle w:val="Normal"/>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rmal"/>
              <w:spacing w:before="0" w:after="160"/>
              <w:jc w:val="both"/>
              <w:rPr>
                <w:rFonts w:cs="Times New Roman"/>
                <w:sz w:val="24"/>
                <w:szCs w:val="24"/>
                <w:lang w:eastAsia="en-US"/>
              </w:rPr>
            </w:pPr>
            <w:r>
              <w:rPr>
                <w:rFonts w:cs="Times New Roman" w:ascii="Times New Roman" w:hAnsi="Times New Roman"/>
                <w:sz w:val="24"/>
                <w:szCs w:val="24"/>
                <w:lang w:eastAsia="en-US"/>
              </w:rPr>
              <w:t xml:space="preserve">PVM </w:t>
            </w:r>
            <w:r>
              <w:rPr>
                <w:rFonts w:cs="Times New Roman" w:ascii="Times New Roman" w:hAnsi="Times New Roman"/>
                <w:bCs/>
                <w:i/>
                <w:iCs/>
                <w:sz w:val="24"/>
                <w:szCs w:val="24"/>
                <w:highlight w:val="lightGray"/>
              </w:rPr>
              <w:t>[nurodyti PVM tarifą]</w:t>
            </w:r>
            <w:r>
              <w:rPr>
                <w:rFonts w:cs="Times New Roman" w:ascii="Times New Roman" w:hAnsi="Times New Roman"/>
                <w:b/>
                <w:sz w:val="24"/>
                <w:szCs w:val="24"/>
              </w:rPr>
              <w:t xml:space="preserve"> proc.</w:t>
            </w:r>
            <w:r>
              <w:rPr>
                <w:rFonts w:cs="Times New Roman" w:ascii="Times New Roman" w:hAnsi="Times New Roman"/>
                <w:sz w:val="24"/>
                <w:szCs w:val="24"/>
                <w:lang w:eastAsia="en-US"/>
              </w:rPr>
              <w:t>, Eur</w:t>
            </w:r>
          </w:p>
        </w:tc>
        <w:tc>
          <w:tcPr>
            <w:tcW w:w="1990" w:type="dxa"/>
            <w:gridSpan w:val="2"/>
            <w:tcBorders/>
          </w:tcPr>
          <w:p>
            <w:pPr>
              <w:pStyle w:val="Normal"/>
              <w:spacing w:before="0" w:after="160"/>
              <w:jc w:val="both"/>
              <w:rPr>
                <w:rFonts w:cs="Times New Roman"/>
                <w:sz w:val="24"/>
                <w:szCs w:val="24"/>
                <w:lang w:eastAsia="en-US"/>
              </w:rPr>
            </w:pPr>
            <w:r>
              <w:rPr>
                <w:rFonts w:cs="Times New Roman"/>
                <w:sz w:val="24"/>
                <w:szCs w:val="24"/>
                <w:lang w:eastAsia="en-US"/>
              </w:rPr>
            </w:r>
          </w:p>
        </w:tc>
      </w:tr>
      <w:tr>
        <w:trPr/>
        <w:tc>
          <w:tcPr>
            <w:tcW w:w="7505" w:type="dxa"/>
            <w:gridSpan w:val="4"/>
            <w:tcBorders/>
          </w:tcPr>
          <w:p>
            <w:pPr>
              <w:pStyle w:val="Normal"/>
              <w:spacing w:before="0" w:after="160"/>
              <w:jc w:val="both"/>
              <w:rPr>
                <w:rFonts w:cs="Times New Roman"/>
                <w:i/>
                <w:i/>
                <w:iCs/>
                <w:sz w:val="24"/>
                <w:szCs w:val="24"/>
                <w:lang w:eastAsia="en-US"/>
              </w:rPr>
            </w:pPr>
            <w:r>
              <w:rPr>
                <w:rFonts w:cs="Times New Roman" w:ascii="Times New Roman" w:hAnsi="Times New Roman"/>
                <w:b/>
                <w:sz w:val="24"/>
                <w:szCs w:val="24"/>
              </w:rPr>
              <w:t>PASIŪLYMO KAINA, EUR SU PVM</w:t>
            </w:r>
            <w:r>
              <w:rPr>
                <w:rFonts w:cs="Times New Roman" w:ascii="Times New Roman" w:hAnsi="Times New Roman"/>
                <w:sz w:val="24"/>
                <w:szCs w:val="24"/>
              </w:rPr>
              <w:t>*</w:t>
            </w:r>
          </w:p>
        </w:tc>
        <w:tc>
          <w:tcPr>
            <w:tcW w:w="1990" w:type="dxa"/>
            <w:gridSpan w:val="2"/>
            <w:tcBorders/>
          </w:tcPr>
          <w:p>
            <w:pPr>
              <w:pStyle w:val="Normal"/>
              <w:spacing w:before="0" w:after="160"/>
              <w:jc w:val="both"/>
              <w:rPr>
                <w:rFonts w:cs="Times New Roman"/>
                <w:sz w:val="24"/>
                <w:szCs w:val="24"/>
                <w:lang w:eastAsia="en-US"/>
              </w:rPr>
            </w:pPr>
            <w:r>
              <w:rPr>
                <w:rFonts w:cs="Times New Roman"/>
                <w:sz w:val="24"/>
                <w:szCs w:val="24"/>
                <w:lang w:eastAsia="en-US"/>
              </w:rPr>
            </w:r>
          </w:p>
        </w:tc>
      </w:tr>
    </w:tbl>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ind w:firstLine="600"/>
        <w:jc w:val="both"/>
        <w:rPr>
          <w:rFonts w:ascii="Times New Roman" w:hAnsi="Times New Roman" w:cs="Times New Roman"/>
          <w:i/>
          <w:i/>
          <w:sz w:val="24"/>
          <w:szCs w:val="24"/>
        </w:rPr>
      </w:pPr>
      <w:r>
        <w:rPr>
          <w:rFonts w:cs="Times New Roman" w:ascii="Times New Roman" w:hAnsi="Times New Roman"/>
          <w:i/>
          <w:sz w:val="24"/>
          <w:szCs w:val="24"/>
        </w:rPr>
        <w:t>* Į šią sumą įeina visos išlaidos ir visi mokesčiai.</w:t>
      </w:r>
    </w:p>
    <w:p>
      <w:pPr>
        <w:pStyle w:val="Normal"/>
        <w:ind w:firstLine="720"/>
        <w:jc w:val="both"/>
        <w:rPr>
          <w:rFonts w:ascii="Times New Roman" w:hAnsi="Times New Roman" w:cs="Times New Roman"/>
          <w:i/>
          <w:i/>
          <w:sz w:val="24"/>
          <w:szCs w:val="24"/>
        </w:rPr>
      </w:pPr>
      <w:r>
        <w:rPr>
          <w:rStyle w:val="Numatytasispastraiposriftas1"/>
          <w:rFonts w:cs="Times New Roman" w:ascii="Times New Roman" w:hAnsi="Times New Roman"/>
          <w:i/>
          <w:sz w:val="24"/>
          <w:szCs w:val="24"/>
        </w:rPr>
        <w:t>Jei suma skaičiais neatitinka sumos žodžiais, teisinga laikoma suma žodžiais.</w:t>
      </w:r>
    </w:p>
    <w:p>
      <w:pPr>
        <w:pStyle w:val="Standard"/>
        <w:rPr>
          <w:rStyle w:val="Numatytasispastraiposriftas1"/>
          <w:rFonts w:ascii="Times New Roman" w:hAnsi="Times New Roman"/>
          <w:b/>
          <w:sz w:val="24"/>
        </w:rPr>
      </w:pPr>
      <w:r>
        <w:rPr>
          <w:rFonts w:ascii="Times New Roman" w:hAnsi="Times New Roman"/>
          <w:b/>
          <w:sz w:val="24"/>
        </w:rPr>
      </w:r>
    </w:p>
    <w:p>
      <w:pPr>
        <w:pStyle w:val="Standard"/>
        <w:rPr>
          <w:rStyle w:val="Numatytasispastraiposriftas1"/>
          <w:rFonts w:ascii="Times New Roman" w:hAnsi="Times New Roman"/>
          <w:b/>
          <w:sz w:val="24"/>
        </w:rPr>
      </w:pPr>
      <w:r>
        <w:rPr>
          <w:rFonts w:ascii="Times New Roman" w:hAnsi="Times New Roman"/>
          <w:b/>
          <w:sz w:val="24"/>
        </w:rPr>
      </w:r>
    </w:p>
    <w:p>
      <w:pPr>
        <w:pStyle w:val="Standard"/>
        <w:rPr/>
      </w:pPr>
      <w:r>
        <w:rPr>
          <w:rStyle w:val="Numatytasispastraiposriftas1"/>
          <w:rFonts w:ascii="Times New Roman" w:hAnsi="Times New Roman"/>
          <w:b/>
          <w:sz w:val="24"/>
        </w:rPr>
        <w:t>Pastabos:</w:t>
      </w:r>
    </w:p>
    <w:p>
      <w:pPr>
        <w:pStyle w:val="Standard"/>
        <w:ind w:firstLine="709"/>
        <w:jc w:val="both"/>
        <w:rPr/>
      </w:pPr>
      <w:r>
        <w:rPr>
          <w:rStyle w:val="Numatytasispastraiposriftas1"/>
          <w:rFonts w:ascii="Times New Roman" w:hAnsi="Times New Roman"/>
          <w:sz w:val="24"/>
        </w:rPr>
        <w:t xml:space="preserve">a) tais atvejais, kai pagal galiojančius teisės aktus tiekėjui nereikia mokėti PVM, Tiekėjas gali nepildyti eilutės „PVM (skaičiais)“, </w:t>
      </w:r>
      <w:r>
        <w:rPr>
          <w:rStyle w:val="Numatytasispastraiposriftas1"/>
          <w:rFonts w:ascii="Times New Roman" w:hAnsi="Times New Roman"/>
          <w:sz w:val="24"/>
          <w:u w:val="single"/>
        </w:rPr>
        <w:t>tačiau turi nurodyti priežastis, dėl kurių PVM nemoka:___________(nurodomos priežastys)</w:t>
      </w:r>
      <w:r>
        <w:rPr>
          <w:rStyle w:val="Numatytasispastraiposriftas1"/>
          <w:rFonts w:ascii="Times New Roman" w:hAnsi="Times New Roman"/>
          <w:sz w:val="24"/>
        </w:rPr>
        <w:t>;</w:t>
      </w:r>
    </w:p>
    <w:p>
      <w:pPr>
        <w:pStyle w:val="Standard"/>
        <w:ind w:firstLine="720"/>
        <w:jc w:val="both"/>
        <w:rPr/>
      </w:pPr>
      <w:r>
        <w:rPr>
          <w:rStyle w:val="Numatytasispastraiposriftas1"/>
          <w:rFonts w:ascii="Times New Roman" w:hAnsi="Times New Roman"/>
          <w:sz w:val="24"/>
        </w:rPr>
        <w:t>b) bendra pasiūlymo kaina turi atitikti sudėtinių dalių sumą; jei bendra pasiūlymo kaina  yra didesnė už pirkimui skirtą lėšų sumą, pasiūlymas bus atmestas;</w:t>
      </w:r>
    </w:p>
    <w:p>
      <w:pPr>
        <w:pStyle w:val="Standard"/>
        <w:ind w:firstLine="567" w:left="142"/>
        <w:jc w:val="both"/>
        <w:rPr/>
      </w:pPr>
      <w:r>
        <w:rPr>
          <w:rStyle w:val="Numatytasispastraiposriftas1"/>
          <w:rFonts w:ascii="Times New Roman" w:hAnsi="Times New Roman"/>
          <w:sz w:val="24"/>
        </w:rPr>
        <w:t>c)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pPr>
        <w:pStyle w:val="Standard"/>
        <w:ind w:firstLine="567" w:left="142"/>
        <w:jc w:val="both"/>
        <w:rPr/>
      </w:pPr>
      <w:r>
        <w:rPr>
          <w:rStyle w:val="Numatytasispastraiposriftas1"/>
          <w:rFonts w:ascii="Times New Roman" w:hAnsi="Times New Roman"/>
          <w:sz w:val="24"/>
        </w:rPr>
        <w:t xml:space="preserve">d) </w:t>
      </w:r>
      <w:r>
        <w:rPr>
          <w:rStyle w:val="Numatytasispastraiposriftas1"/>
          <w:rFonts w:ascii="Times New Roman" w:hAnsi="Times New Roman"/>
          <w:caps/>
          <w:sz w:val="24"/>
        </w:rPr>
        <w:t>T</w:t>
      </w:r>
      <w:r>
        <w:rPr>
          <w:rStyle w:val="Numatytasispastraiposriftas1"/>
          <w:rFonts w:ascii="Times New Roman" w:hAnsi="Times New Roman"/>
          <w:sz w:val="24"/>
        </w:rPr>
        <w:t>aip pat mes patvirtiname, kad visa pasiūlyme pateikta informacija yra teisinga, atitinka tikrovę ir apima viską, ko reikia visiškam ir tinkamam sutarties įvykdymui;</w:t>
      </w:r>
    </w:p>
    <w:p>
      <w:pPr>
        <w:pStyle w:val="Standard"/>
        <w:ind w:firstLine="567" w:left="142"/>
        <w:jc w:val="both"/>
        <w:rPr>
          <w:rStyle w:val="Numatytasispastraiposriftas1"/>
          <w:rFonts w:ascii="Times New Roman" w:hAnsi="Times New Roman"/>
          <w:sz w:val="24"/>
        </w:rPr>
      </w:pPr>
      <w:r>
        <w:rPr>
          <w:rFonts w:ascii="Times New Roman" w:hAnsi="Times New Roman"/>
          <w:sz w:val="24"/>
        </w:rPr>
      </w:r>
    </w:p>
    <w:p>
      <w:pPr>
        <w:pStyle w:val="Standard"/>
        <w:ind w:firstLine="567" w:left="142"/>
        <w:jc w:val="both"/>
        <w:rPr>
          <w:rStyle w:val="Numatytasispastraiposriftas1"/>
          <w:rFonts w:ascii="Times New Roman" w:hAnsi="Times New Roman"/>
          <w:sz w:val="24"/>
        </w:rPr>
      </w:pPr>
      <w:r>
        <w:rPr>
          <w:rFonts w:ascii="Times New Roman" w:hAnsi="Times New Roman"/>
          <w:sz w:val="24"/>
        </w:rPr>
      </w:r>
    </w:p>
    <w:p>
      <w:pPr>
        <w:pStyle w:val="Normal"/>
        <w:rPr>
          <w:rFonts w:ascii="Times New Roman" w:hAnsi="Times New Roman" w:cs="Times New Roman"/>
          <w:b/>
          <w:bCs/>
          <w:caps/>
          <w:sz w:val="24"/>
          <w:szCs w:val="24"/>
        </w:rPr>
      </w:pPr>
      <w:r>
        <w:rPr>
          <w:rFonts w:cs="Times New Roman" w:ascii="Times New Roman" w:hAnsi="Times New Roman"/>
          <w:b/>
          <w:bCs/>
          <w:caps/>
          <w:sz w:val="24"/>
          <w:szCs w:val="24"/>
        </w:rPr>
        <w:t>II pirkimo objekto dalis</w:t>
      </w:r>
    </w:p>
    <w:p>
      <w:pPr>
        <w:pStyle w:val="Normal"/>
        <w:rPr>
          <w:rFonts w:ascii="Times New Roman" w:hAnsi="Times New Roman" w:cs="Times New Roman"/>
          <w:b/>
          <w:bCs/>
          <w:sz w:val="24"/>
          <w:szCs w:val="24"/>
        </w:rPr>
      </w:pPr>
      <w:r>
        <w:rPr>
          <w:rFonts w:cs="Times New Roman" w:ascii="Times New Roman" w:hAnsi="Times New Roman"/>
          <w:b/>
          <w:bCs/>
          <w:sz w:val="24"/>
          <w:szCs w:val="24"/>
        </w:rPr>
      </w:r>
    </w:p>
    <w:tbl>
      <w:tblPr>
        <w:tblW w:w="9495" w:type="dxa"/>
        <w:jc w:val="left"/>
        <w:tblInd w:w="109" w:type="dxa"/>
        <w:tblLayout w:type="fixed"/>
        <w:tblCellMar>
          <w:top w:w="0" w:type="dxa"/>
          <w:left w:w="108" w:type="dxa"/>
          <w:bottom w:w="0" w:type="dxa"/>
          <w:right w:w="108" w:type="dxa"/>
        </w:tblCellMar>
        <w:tblLook w:firstRow="1" w:noVBand="0" w:lastRow="0" w:firstColumn="1" w:lastColumn="0" w:noHBand="0" w:val="00a0"/>
      </w:tblPr>
      <w:tblGrid>
        <w:gridCol w:w="709"/>
        <w:gridCol w:w="3822"/>
        <w:gridCol w:w="1561"/>
        <w:gridCol w:w="1413"/>
        <w:gridCol w:w="147"/>
        <w:gridCol w:w="1843"/>
      </w:tblGrid>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b/>
                <w:bCs/>
                <w:kern w:val="2"/>
                <w:sz w:val="24"/>
                <w:szCs w:val="24"/>
                <w:lang w:eastAsia="en-US"/>
              </w:rPr>
            </w:pPr>
            <w:r>
              <w:rPr>
                <w:rFonts w:cs="Times New Roman" w:ascii="Times New Roman" w:hAnsi="Times New Roman"/>
                <w:b/>
                <w:bCs/>
                <w:kern w:val="2"/>
                <w:sz w:val="24"/>
                <w:szCs w:val="24"/>
                <w:lang w:eastAsia="en-US"/>
              </w:rPr>
              <w:t>Eil.</w:t>
            </w:r>
          </w:p>
          <w:p>
            <w:pPr>
              <w:pStyle w:val="Normal"/>
              <w:spacing w:before="0" w:after="160"/>
              <w:jc w:val="both"/>
              <w:rPr>
                <w:rFonts w:ascii="Times New Roman" w:hAnsi="Times New Roman" w:cs="Times New Roman"/>
                <w:b/>
                <w:bCs/>
                <w:kern w:val="2"/>
                <w:sz w:val="24"/>
                <w:szCs w:val="24"/>
                <w:lang w:eastAsia="en-US"/>
              </w:rPr>
            </w:pPr>
            <w:r>
              <w:rPr>
                <w:rFonts w:cs="Times New Roman" w:ascii="Times New Roman" w:hAnsi="Times New Roman"/>
                <w:b/>
                <w:bCs/>
                <w:kern w:val="2"/>
                <w:sz w:val="24"/>
                <w:szCs w:val="24"/>
                <w:lang w:eastAsia="en-US"/>
              </w:rPr>
              <w:t>Nr.</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b/>
                <w:bCs/>
                <w:kern w:val="2"/>
                <w:sz w:val="24"/>
                <w:szCs w:val="24"/>
                <w:lang w:eastAsia="en-US"/>
              </w:rPr>
            </w:pPr>
            <w:r>
              <w:rPr>
                <w:rFonts w:cs="Times New Roman" w:ascii="Times New Roman" w:hAnsi="Times New Roman"/>
                <w:b/>
                <w:bCs/>
                <w:kern w:val="2"/>
                <w:sz w:val="24"/>
                <w:szCs w:val="24"/>
                <w:lang w:eastAsia="en-US"/>
              </w:rPr>
              <w:t>Paslaugų pavadinimas</w:t>
            </w:r>
          </w:p>
        </w:tc>
        <w:tc>
          <w:tcPr>
            <w:tcW w:w="1561"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200" w:leader="none"/>
              </w:tabs>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Vieneto kaina (įkainis),</w:t>
            </w:r>
          </w:p>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Eur be PVM*</w:t>
            </w:r>
          </w:p>
        </w:tc>
        <w:tc>
          <w:tcPr>
            <w:tcW w:w="15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Kiekis</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Viso kaina (5=3x4), Eur be PVM*</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b/>
                <w:bCs/>
                <w:kern w:val="2"/>
                <w:sz w:val="24"/>
                <w:szCs w:val="24"/>
                <w:lang w:eastAsia="en-US"/>
              </w:rPr>
            </w:pPr>
            <w:r>
              <w:rPr>
                <w:rFonts w:cs="Times New Roman" w:ascii="Times New Roman" w:hAnsi="Times New Roman"/>
                <w:b/>
                <w:bCs/>
                <w:kern w:val="2"/>
                <w:sz w:val="24"/>
                <w:szCs w:val="24"/>
                <w:lang w:eastAsia="en-US"/>
              </w:rPr>
              <w:t>1</w:t>
            </w:r>
          </w:p>
        </w:tc>
        <w:tc>
          <w:tcPr>
            <w:tcW w:w="382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b/>
                <w:bCs/>
                <w:kern w:val="2"/>
                <w:sz w:val="24"/>
                <w:szCs w:val="24"/>
                <w:lang w:eastAsia="en-US"/>
              </w:rPr>
            </w:pPr>
            <w:r>
              <w:rPr>
                <w:rFonts w:cs="Times New Roman" w:ascii="Times New Roman" w:hAnsi="Times New Roman"/>
                <w:b/>
                <w:bCs/>
                <w:kern w:val="2"/>
                <w:sz w:val="24"/>
                <w:szCs w:val="24"/>
                <w:lang w:eastAsia="en-US"/>
              </w:rPr>
              <w:t>2</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3</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4</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5</w:t>
            </w:r>
          </w:p>
        </w:tc>
      </w:tr>
      <w:tr>
        <w:trPr>
          <w:trHeight w:val="308"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1.</w:t>
            </w:r>
          </w:p>
        </w:tc>
        <w:tc>
          <w:tcPr>
            <w:tcW w:w="3822" w:type="dxa"/>
            <w:tcBorders>
              <w:top w:val="single" w:sz="4" w:space="0" w:color="000000"/>
              <w:left w:val="single" w:sz="4" w:space="0" w:color="000000"/>
              <w:bottom w:val="single" w:sz="4" w:space="0" w:color="000000"/>
              <w:right w:val="single" w:sz="4" w:space="0" w:color="000000"/>
            </w:tcBorders>
          </w:tcPr>
          <w:p>
            <w:pPr>
              <w:pStyle w:val="Normal"/>
              <w:tabs>
                <w:tab w:val="clear" w:pos="1296"/>
                <w:tab w:val="left" w:pos="1276" w:leader="none"/>
              </w:tabs>
              <w:spacing w:before="0" w:after="0"/>
              <w:contextualSpacing/>
              <w:jc w:val="both"/>
              <w:rPr>
                <w:rFonts w:ascii="Times New Roman" w:hAnsi="Times New Roman" w:cs="Times New Roman"/>
                <w:kern w:val="2"/>
                <w:sz w:val="24"/>
                <w:szCs w:val="24"/>
                <w:lang w:eastAsia="en-US"/>
              </w:rPr>
            </w:pPr>
            <w:r>
              <w:rPr>
                <w:rFonts w:cs="Times New Roman" w:ascii="Times New Roman" w:hAnsi="Times New Roman"/>
                <w:b/>
                <w:bCs/>
                <w:kern w:val="2"/>
                <w:sz w:val="24"/>
                <w:szCs w:val="24"/>
                <w:lang w:eastAsia="en-US"/>
              </w:rPr>
              <w:t> </w:t>
            </w:r>
            <w:r>
              <w:rPr>
                <w:rFonts w:cs="Times New Roman" w:ascii="Times New Roman" w:hAnsi="Times New Roman"/>
                <w:kern w:val="2"/>
                <w:sz w:val="24"/>
                <w:szCs w:val="24"/>
                <w:lang w:eastAsia="en-US"/>
              </w:rPr>
              <w:t>NUOTOLINIŲ MOKYMŲ, TEMA „ASMENS SVEIKATOS PRIEŽIŪROS PASLAUGŲ SAUGA: INFEKCIJŲ KONTROLĖS REIKALAVIMAI“, PARENGIMO PASLAUGOS</w:t>
            </w:r>
          </w:p>
          <w:p>
            <w:pPr>
              <w:pStyle w:val="Normal"/>
              <w:tabs>
                <w:tab w:val="clear" w:pos="1296"/>
                <w:tab w:val="left" w:pos="1276" w:leader="none"/>
              </w:tabs>
              <w:spacing w:before="0" w:after="0"/>
              <w:contextualSpacing/>
              <w:jc w:val="both"/>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t>1 vnt.</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kern w:val="2"/>
                <w:sz w:val="24"/>
                <w:szCs w:val="24"/>
                <w:lang w:eastAsia="en-US"/>
              </w:rPr>
            </w:pPr>
            <w:r>
              <w:rPr>
                <w:rFonts w:cs="Times New Roman" w:ascii="Times New Roman" w:hAnsi="Times New Roman"/>
                <w:kern w:val="2"/>
                <w:sz w:val="24"/>
                <w:szCs w:val="24"/>
                <w:lang w:eastAsia="en-US"/>
              </w:rPr>
            </w:r>
          </w:p>
        </w:tc>
      </w:tr>
      <w:tr>
        <w:trPr/>
        <w:tc>
          <w:tcPr>
            <w:tcW w:w="7505" w:type="dxa"/>
            <w:gridSpan w:val="4"/>
            <w:tcBorders/>
          </w:tcPr>
          <w:p>
            <w:pPr>
              <w:pStyle w:val="Normal"/>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rmal"/>
              <w:spacing w:before="0" w:after="160"/>
              <w:jc w:val="both"/>
              <w:rPr>
                <w:rFonts w:cs="Times New Roman"/>
                <w:sz w:val="24"/>
                <w:szCs w:val="24"/>
                <w:lang w:eastAsia="en-US"/>
              </w:rPr>
            </w:pPr>
            <w:r>
              <w:rPr>
                <w:rFonts w:cs="Times New Roman" w:ascii="Times New Roman" w:hAnsi="Times New Roman"/>
                <w:sz w:val="24"/>
                <w:szCs w:val="24"/>
                <w:lang w:eastAsia="en-US"/>
              </w:rPr>
              <w:t xml:space="preserve">PVM </w:t>
            </w:r>
            <w:r>
              <w:rPr>
                <w:rFonts w:cs="Times New Roman" w:ascii="Times New Roman" w:hAnsi="Times New Roman"/>
                <w:bCs/>
                <w:i/>
                <w:iCs/>
                <w:sz w:val="24"/>
                <w:szCs w:val="24"/>
                <w:highlight w:val="lightGray"/>
              </w:rPr>
              <w:t>[nurodyti PVM tarifą]</w:t>
            </w:r>
            <w:r>
              <w:rPr>
                <w:rFonts w:cs="Times New Roman" w:ascii="Times New Roman" w:hAnsi="Times New Roman"/>
                <w:b/>
                <w:sz w:val="24"/>
                <w:szCs w:val="24"/>
              </w:rPr>
              <w:t xml:space="preserve"> proc.</w:t>
            </w:r>
            <w:r>
              <w:rPr>
                <w:rFonts w:cs="Times New Roman" w:ascii="Times New Roman" w:hAnsi="Times New Roman"/>
                <w:sz w:val="24"/>
                <w:szCs w:val="24"/>
                <w:lang w:eastAsia="en-US"/>
              </w:rPr>
              <w:t>, Eur</w:t>
            </w:r>
          </w:p>
        </w:tc>
        <w:tc>
          <w:tcPr>
            <w:tcW w:w="1990" w:type="dxa"/>
            <w:gridSpan w:val="2"/>
            <w:tcBorders/>
          </w:tcPr>
          <w:p>
            <w:pPr>
              <w:pStyle w:val="Normal"/>
              <w:spacing w:before="0" w:after="160"/>
              <w:jc w:val="both"/>
              <w:rPr>
                <w:rFonts w:cs="Times New Roman"/>
                <w:sz w:val="24"/>
                <w:szCs w:val="24"/>
                <w:lang w:eastAsia="en-US"/>
              </w:rPr>
            </w:pPr>
            <w:r>
              <w:rPr>
                <w:rFonts w:cs="Times New Roman"/>
                <w:sz w:val="24"/>
                <w:szCs w:val="24"/>
                <w:lang w:eastAsia="en-US"/>
              </w:rPr>
            </w:r>
          </w:p>
        </w:tc>
      </w:tr>
      <w:tr>
        <w:trPr/>
        <w:tc>
          <w:tcPr>
            <w:tcW w:w="7505" w:type="dxa"/>
            <w:gridSpan w:val="4"/>
            <w:tcBorders/>
          </w:tcPr>
          <w:p>
            <w:pPr>
              <w:pStyle w:val="Normal"/>
              <w:spacing w:before="0" w:after="160"/>
              <w:jc w:val="both"/>
              <w:rPr>
                <w:rFonts w:cs="Times New Roman"/>
                <w:i/>
                <w:i/>
                <w:iCs/>
                <w:sz w:val="24"/>
                <w:szCs w:val="24"/>
                <w:lang w:eastAsia="en-US"/>
              </w:rPr>
            </w:pPr>
            <w:r>
              <w:rPr>
                <w:rFonts w:cs="Times New Roman" w:ascii="Times New Roman" w:hAnsi="Times New Roman"/>
                <w:b/>
                <w:sz w:val="24"/>
                <w:szCs w:val="24"/>
              </w:rPr>
              <w:t>PASIŪLYMO KAINA, EUR SU PVM</w:t>
            </w:r>
            <w:r>
              <w:rPr>
                <w:rFonts w:cs="Times New Roman" w:ascii="Times New Roman" w:hAnsi="Times New Roman"/>
                <w:sz w:val="24"/>
                <w:szCs w:val="24"/>
              </w:rPr>
              <w:t>*</w:t>
            </w:r>
          </w:p>
        </w:tc>
        <w:tc>
          <w:tcPr>
            <w:tcW w:w="1990" w:type="dxa"/>
            <w:gridSpan w:val="2"/>
            <w:tcBorders/>
          </w:tcPr>
          <w:p>
            <w:pPr>
              <w:pStyle w:val="Normal"/>
              <w:spacing w:before="0" w:after="160"/>
              <w:jc w:val="both"/>
              <w:rPr>
                <w:rFonts w:cs="Times New Roman"/>
                <w:sz w:val="24"/>
                <w:szCs w:val="24"/>
                <w:lang w:eastAsia="en-US"/>
              </w:rPr>
            </w:pPr>
            <w:r>
              <w:rPr>
                <w:rFonts w:cs="Times New Roman"/>
                <w:sz w:val="24"/>
                <w:szCs w:val="24"/>
                <w:lang w:eastAsia="en-US"/>
              </w:rPr>
            </w:r>
          </w:p>
        </w:tc>
      </w:tr>
    </w:tbl>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ind w:firstLine="600"/>
        <w:jc w:val="both"/>
        <w:rPr>
          <w:rFonts w:ascii="Times New Roman" w:hAnsi="Times New Roman" w:cs="Times New Roman"/>
          <w:i/>
          <w:i/>
          <w:sz w:val="24"/>
          <w:szCs w:val="24"/>
        </w:rPr>
      </w:pPr>
      <w:r>
        <w:rPr>
          <w:rFonts w:cs="Times New Roman" w:ascii="Times New Roman" w:hAnsi="Times New Roman"/>
          <w:i/>
          <w:sz w:val="24"/>
          <w:szCs w:val="24"/>
        </w:rPr>
        <w:t>* Į šią sumą įeina visos išlaidos ir visi mokesčiai.</w:t>
      </w:r>
    </w:p>
    <w:p>
      <w:pPr>
        <w:pStyle w:val="Normal"/>
        <w:ind w:firstLine="720"/>
        <w:jc w:val="both"/>
        <w:rPr>
          <w:rFonts w:ascii="Times New Roman" w:hAnsi="Times New Roman" w:cs="Times New Roman"/>
          <w:i/>
          <w:i/>
          <w:sz w:val="24"/>
          <w:szCs w:val="24"/>
        </w:rPr>
      </w:pPr>
      <w:r>
        <w:rPr>
          <w:rStyle w:val="Numatytasispastraiposriftas1"/>
          <w:rFonts w:cs="Times New Roman" w:ascii="Times New Roman" w:hAnsi="Times New Roman"/>
          <w:i/>
          <w:sz w:val="24"/>
          <w:szCs w:val="24"/>
        </w:rPr>
        <w:t>Jei suma skaičiais neatitinka sumos žodžiais, teisinga laikoma suma žodžiais.</w:t>
      </w:r>
    </w:p>
    <w:p>
      <w:pPr>
        <w:pStyle w:val="Standard"/>
        <w:rPr>
          <w:rStyle w:val="Numatytasispastraiposriftas1"/>
          <w:rFonts w:ascii="Times New Roman" w:hAnsi="Times New Roman"/>
          <w:b/>
          <w:sz w:val="24"/>
        </w:rPr>
      </w:pPr>
      <w:r>
        <w:rPr>
          <w:rFonts w:ascii="Times New Roman" w:hAnsi="Times New Roman"/>
          <w:b/>
          <w:sz w:val="24"/>
        </w:rPr>
      </w:r>
    </w:p>
    <w:p>
      <w:pPr>
        <w:pStyle w:val="Standard"/>
        <w:rPr>
          <w:rStyle w:val="Numatytasispastraiposriftas1"/>
          <w:rFonts w:ascii="Times New Roman" w:hAnsi="Times New Roman"/>
          <w:b/>
          <w:sz w:val="24"/>
        </w:rPr>
      </w:pPr>
      <w:r>
        <w:rPr>
          <w:rFonts w:ascii="Times New Roman" w:hAnsi="Times New Roman"/>
          <w:b/>
          <w:sz w:val="24"/>
        </w:rPr>
      </w:r>
    </w:p>
    <w:p>
      <w:pPr>
        <w:pStyle w:val="Standard"/>
        <w:rPr/>
      </w:pPr>
      <w:r>
        <w:rPr>
          <w:rStyle w:val="Numatytasispastraiposriftas1"/>
          <w:rFonts w:ascii="Times New Roman" w:hAnsi="Times New Roman"/>
          <w:b/>
          <w:sz w:val="24"/>
        </w:rPr>
        <w:t>Pastabos:</w:t>
      </w:r>
    </w:p>
    <w:p>
      <w:pPr>
        <w:pStyle w:val="Standard"/>
        <w:ind w:firstLine="709"/>
        <w:jc w:val="both"/>
        <w:rPr/>
      </w:pPr>
      <w:r>
        <w:rPr>
          <w:rStyle w:val="Numatytasispastraiposriftas1"/>
          <w:rFonts w:ascii="Times New Roman" w:hAnsi="Times New Roman"/>
          <w:sz w:val="24"/>
        </w:rPr>
        <w:t xml:space="preserve">a) tais atvejais, kai pagal galiojančius teisės aktus tiekėjui nereikia mokėti PVM, Tiekėjas gali nepildyti eilutės „PVM (skaičiais)“, </w:t>
      </w:r>
      <w:r>
        <w:rPr>
          <w:rStyle w:val="Numatytasispastraiposriftas1"/>
          <w:rFonts w:ascii="Times New Roman" w:hAnsi="Times New Roman"/>
          <w:sz w:val="24"/>
          <w:u w:val="single"/>
        </w:rPr>
        <w:t>tačiau turi nurodyti priežastis, dėl kurių PVM nemoka:___________(nurodomos priežastys)</w:t>
      </w:r>
      <w:r>
        <w:rPr>
          <w:rStyle w:val="Numatytasispastraiposriftas1"/>
          <w:rFonts w:ascii="Times New Roman" w:hAnsi="Times New Roman"/>
          <w:sz w:val="24"/>
        </w:rPr>
        <w:t>;</w:t>
      </w:r>
    </w:p>
    <w:p>
      <w:pPr>
        <w:pStyle w:val="Standard"/>
        <w:ind w:firstLine="720"/>
        <w:jc w:val="both"/>
        <w:rPr/>
      </w:pPr>
      <w:r>
        <w:rPr>
          <w:rStyle w:val="Numatytasispastraiposriftas1"/>
          <w:rFonts w:ascii="Times New Roman" w:hAnsi="Times New Roman"/>
          <w:sz w:val="24"/>
        </w:rPr>
        <w:t>b) bendra pasiūlymo kaina turi atitikti sudėtinių dalių sumą; jei bendra pasiūlymo kaina  yra didesnė už pirkimui skirtą lėšų sumą, pasiūlymas bus atmestas;</w:t>
      </w:r>
    </w:p>
    <w:p>
      <w:pPr>
        <w:pStyle w:val="Standard"/>
        <w:ind w:firstLine="567" w:left="142"/>
        <w:jc w:val="both"/>
        <w:rPr/>
      </w:pPr>
      <w:r>
        <w:rPr>
          <w:rStyle w:val="Numatytasispastraiposriftas1"/>
          <w:rFonts w:ascii="Times New Roman" w:hAnsi="Times New Roman"/>
          <w:sz w:val="24"/>
        </w:rPr>
        <w:t>c)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pPr>
        <w:pStyle w:val="Standard"/>
        <w:ind w:firstLine="567" w:left="142"/>
        <w:jc w:val="both"/>
        <w:rPr/>
      </w:pPr>
      <w:r>
        <w:rPr>
          <w:rStyle w:val="Numatytasispastraiposriftas1"/>
          <w:rFonts w:ascii="Times New Roman" w:hAnsi="Times New Roman"/>
          <w:sz w:val="24"/>
        </w:rPr>
        <w:t xml:space="preserve">d) </w:t>
      </w:r>
      <w:r>
        <w:rPr>
          <w:rStyle w:val="Numatytasispastraiposriftas1"/>
          <w:rFonts w:ascii="Times New Roman" w:hAnsi="Times New Roman"/>
          <w:caps/>
          <w:sz w:val="24"/>
        </w:rPr>
        <w:t>T</w:t>
      </w:r>
      <w:r>
        <w:rPr>
          <w:rStyle w:val="Numatytasispastraiposriftas1"/>
          <w:rFonts w:ascii="Times New Roman" w:hAnsi="Times New Roman"/>
          <w:sz w:val="24"/>
        </w:rPr>
        <w:t>aip pat mes patvirtiname, kad visa pasiūlyme pateikta informacija yra teisinga, atitinka tikrovę ir apima viską, ko reikia visiškam ir tinkamam sutarties įvykdymui;</w:t>
      </w:r>
    </w:p>
    <w:p>
      <w:pPr>
        <w:pStyle w:val="Standard"/>
        <w:ind w:firstLine="567" w:left="142"/>
        <w:jc w:val="both"/>
        <w:rPr>
          <w:rStyle w:val="Numatytasispastraiposriftas1"/>
          <w:rFonts w:ascii="Times New Roman" w:hAnsi="Times New Roman"/>
          <w:sz w:val="24"/>
        </w:rPr>
      </w:pPr>
      <w:r>
        <w:rPr>
          <w:rFonts w:ascii="Times New Roman" w:hAnsi="Times New Roman"/>
          <w:sz w:val="24"/>
        </w:rPr>
      </w:r>
    </w:p>
    <w:p>
      <w:pPr>
        <w:pStyle w:val="Normal"/>
        <w:shd w:val="clear" w:color="auto" w:fill="FFFFFF"/>
        <w:tabs>
          <w:tab w:val="clear" w:pos="1296"/>
          <w:tab w:val="left" w:pos="360" w:leader="none"/>
        </w:tabs>
        <w:jc w:val="both"/>
        <w:rPr>
          <w:rFonts w:ascii="Times New Roman" w:hAnsi="Times New Roman" w:cs="Times New Roman"/>
          <w:sz w:val="24"/>
          <w:szCs w:val="24"/>
        </w:rPr>
      </w:pPr>
      <w:r>
        <w:rPr>
          <w:rFonts w:cs="Times New Roman" w:ascii="Times New Roman" w:hAnsi="Times New Roman"/>
          <w:sz w:val="24"/>
          <w:szCs w:val="24"/>
        </w:rPr>
        <w:t>5. Teikdami šį pasiūlymą, mes patvirtiname, kad visa pasiūlyme pateikta informacija yra teisinga, atitinka tikrovę ir apima viską, ko reikia visiškam ir tinkamam sutarties įvykdymui;</w:t>
      </w:r>
    </w:p>
    <w:p>
      <w:pPr>
        <w:pStyle w:val="Normal"/>
        <w:shd w:val="clear" w:color="auto" w:fill="FFFFFF"/>
        <w:tabs>
          <w:tab w:val="clear" w:pos="1296"/>
          <w:tab w:val="left" w:pos="360" w:leader="none"/>
        </w:tabs>
        <w:jc w:val="both"/>
        <w:rPr>
          <w:rFonts w:ascii="Times New Roman" w:hAnsi="Times New Roman" w:cs="Times New Roman"/>
          <w:sz w:val="24"/>
          <w:szCs w:val="24"/>
        </w:rPr>
      </w:pPr>
      <w:r>
        <w:rPr>
          <w:rFonts w:cs="Times New Roman" w:ascii="Times New Roman" w:hAnsi="Times New Roman"/>
          <w:sz w:val="24"/>
          <w:szCs w:val="24"/>
        </w:rPr>
        <w:t>6. Patvirtiname, kad pirkimo objektas atitinka Pirkimo sąlygų priede Nr. 2 pateiktoje techninėje specifikacijoje nurodytus reikalavimus.</w:t>
      </w:r>
    </w:p>
    <w:p>
      <w:pPr>
        <w:pStyle w:val="Normal"/>
        <w:shd w:val="clear" w:color="auto" w:fill="FFFFFF"/>
        <w:tabs>
          <w:tab w:val="clear" w:pos="1296"/>
          <w:tab w:val="left" w:pos="360" w:leader="none"/>
        </w:tabs>
        <w:jc w:val="both"/>
        <w:rPr>
          <w:rFonts w:ascii="Times New Roman" w:hAnsi="Times New Roman" w:cs="Times New Roman"/>
          <w:sz w:val="24"/>
          <w:szCs w:val="24"/>
        </w:rPr>
      </w:pPr>
      <w:r>
        <w:rPr>
          <w:rStyle w:val="Numatytasispastraiposriftas1"/>
          <w:rFonts w:cs="Times New Roman" w:ascii="Times New Roman" w:hAnsi="Times New Roman"/>
          <w:sz w:val="24"/>
          <w:szCs w:val="24"/>
          <w:lang w:val="en-US"/>
        </w:rPr>
        <w:t>7.</w:t>
      </w:r>
      <w:r>
        <w:rPr>
          <w:rStyle w:val="Numatytasispastraiposriftas1"/>
          <w:rFonts w:cs="Times New Roman" w:ascii="Times New Roman" w:hAnsi="Times New Roman"/>
          <w:sz w:val="24"/>
          <w:szCs w:val="24"/>
        </w:rPr>
        <w:t xml:space="preserve"> Patvirtiname, kad pirkimo sutartį vykdys tik teisę verstis atitinkama veikla turintys asmenys.</w:t>
      </w:r>
    </w:p>
    <w:p>
      <w:pPr>
        <w:pStyle w:val="Standard"/>
        <w:tabs>
          <w:tab w:val="clear" w:pos="1296"/>
          <w:tab w:val="left" w:pos="720" w:leader="none"/>
        </w:tabs>
        <w:jc w:val="both"/>
        <w:rPr>
          <w:rFonts w:ascii="Times New Roman" w:hAnsi="Times New Roman"/>
          <w:sz w:val="24"/>
        </w:rPr>
      </w:pPr>
      <w:r>
        <w:rPr>
          <w:rFonts w:ascii="Times New Roman" w:hAnsi="Times New Roman"/>
          <w:sz w:val="24"/>
        </w:rPr>
      </w:r>
    </w:p>
    <w:p>
      <w:pPr>
        <w:pStyle w:val="Sraopastraipa1"/>
        <w:ind w:left="644"/>
        <w:jc w:val="both"/>
        <w:rPr/>
      </w:pPr>
      <w:r>
        <w:rPr>
          <w:rStyle w:val="Numatytasispastraiposriftas1"/>
          <w:rFonts w:ascii="Times New Roman" w:hAnsi="Times New Roman"/>
          <w:sz w:val="24"/>
          <w:lang w:val="en-US"/>
        </w:rPr>
        <w:t>8</w:t>
      </w:r>
      <w:r>
        <w:rPr>
          <w:rStyle w:val="Numatytasispastraiposriftas1"/>
          <w:rFonts w:ascii="Times New Roman" w:hAnsi="Times New Roman"/>
          <w:sz w:val="24"/>
        </w:rPr>
        <w:t>. Kartu su pasiūlymu pateikiami šie dokumentai:</w:t>
      </w:r>
    </w:p>
    <w:tbl>
      <w:tblPr>
        <w:tblW w:w="9607" w:type="dxa"/>
        <w:jc w:val="left"/>
        <w:tblInd w:w="118" w:type="dxa"/>
        <w:tblLayout w:type="fixed"/>
        <w:tblCellMar>
          <w:top w:w="0" w:type="dxa"/>
          <w:left w:w="108" w:type="dxa"/>
          <w:bottom w:w="0" w:type="dxa"/>
          <w:right w:w="108" w:type="dxa"/>
        </w:tblCellMar>
        <w:tblLook w:firstRow="1" w:noVBand="1" w:lastRow="0" w:firstColumn="1" w:lastColumn="0" w:noHBand="0" w:val="04a0"/>
      </w:tblPr>
      <w:tblGrid>
        <w:gridCol w:w="1119"/>
        <w:gridCol w:w="7070"/>
        <w:gridCol w:w="1418"/>
      </w:tblGrid>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jc w:val="center"/>
              <w:rPr/>
            </w:pPr>
            <w:r>
              <w:rPr>
                <w:rStyle w:val="Numatytasispastraiposriftas1"/>
                <w:rFonts w:ascii="Times New Roman" w:hAnsi="Times New Roman"/>
                <w:b/>
                <w:sz w:val="24"/>
              </w:rPr>
              <w:t>Eil. Nr.</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jc w:val="center"/>
              <w:rPr/>
            </w:pPr>
            <w:r>
              <w:rPr>
                <w:rStyle w:val="Numatytasispastraiposriftas1"/>
                <w:rFonts w:ascii="Times New Roman" w:hAnsi="Times New Roman"/>
                <w:b/>
                <w:sz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jc w:val="center"/>
              <w:rPr/>
            </w:pPr>
            <w:r>
              <w:rPr>
                <w:rStyle w:val="Numatytasispastraiposriftas1"/>
                <w:rFonts w:ascii="Times New Roman" w:hAnsi="Times New Roman"/>
                <w:b/>
                <w:sz w:val="24"/>
              </w:rPr>
              <w:t>Dokumento puslapių skaičius</w:t>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bCs/>
                <w:sz w:val="24"/>
              </w:rPr>
              <w:t>1.</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bCs/>
                <w:strike/>
                <w:sz w:val="24"/>
              </w:rPr>
            </w:pPr>
            <w:r>
              <w:rPr>
                <w:rFonts w:eastAsia="Arial Unicode MS" w:ascii="Times New Roman" w:hAnsi="Times New Roman"/>
                <w:bCs/>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bCs/>
                <w:sz w:val="24"/>
              </w:rPr>
            </w:pPr>
            <w:r>
              <w:rPr>
                <w:rFonts w:eastAsia="Arial Unicode MS" w:ascii="Times New Roman" w:hAnsi="Times New Roman"/>
                <w:bCs/>
                <w:sz w:val="24"/>
              </w:rPr>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sz w:val="24"/>
              </w:rPr>
              <w:t>2.</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trike/>
                <w:sz w:val="24"/>
              </w:rPr>
            </w:pPr>
            <w:r>
              <w:rPr>
                <w:rFonts w:eastAsia="Arial Unicode MS" w:ascii="Times New Roman" w:hAnsi="Times New Roman"/>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z w:val="24"/>
              </w:rPr>
            </w:pPr>
            <w:r>
              <w:rPr>
                <w:rFonts w:eastAsia="Arial Unicode MS" w:ascii="Times New Roman" w:hAnsi="Times New Roman"/>
                <w:sz w:val="24"/>
              </w:rPr>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sz w:val="24"/>
              </w:rPr>
              <w:t>3.</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trike/>
                <w:sz w:val="24"/>
              </w:rPr>
            </w:pPr>
            <w:r>
              <w:rPr>
                <w:rFonts w:eastAsia="Arial Unicode MS" w:ascii="Times New Roman" w:hAnsi="Times New Roman"/>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z w:val="24"/>
              </w:rPr>
            </w:pPr>
            <w:r>
              <w:rPr>
                <w:rFonts w:eastAsia="Arial Unicode MS" w:ascii="Times New Roman" w:hAnsi="Times New Roman"/>
                <w:sz w:val="24"/>
              </w:rPr>
            </w:r>
          </w:p>
        </w:tc>
      </w:tr>
    </w:tbl>
    <w:p>
      <w:pPr>
        <w:pStyle w:val="Standard"/>
        <w:rPr>
          <w:rFonts w:ascii="Times New Roman" w:hAnsi="Times New Roman"/>
          <w:sz w:val="24"/>
        </w:rPr>
      </w:pPr>
      <w:r>
        <w:rPr>
          <w:rFonts w:ascii="Times New Roman" w:hAnsi="Times New Roman"/>
          <w:sz w:val="24"/>
        </w:rPr>
      </w:r>
    </w:p>
    <w:p>
      <w:pPr>
        <w:pStyle w:val="Standard"/>
        <w:ind w:firstLine="709"/>
        <w:rPr/>
      </w:pPr>
      <w:r>
        <w:rPr>
          <w:rStyle w:val="Numatytasispastraiposriftas1"/>
          <w:rFonts w:ascii="Times New Roman" w:hAnsi="Times New Roman"/>
          <w:sz w:val="24"/>
        </w:rPr>
        <w:t>9. Pasiūlymas galioja _________________________________</w:t>
      </w:r>
    </w:p>
    <w:p>
      <w:pPr>
        <w:pStyle w:val="Standard"/>
        <w:shd w:val="clear" w:color="auto" w:fill="FFFFFF"/>
        <w:ind w:firstLine="720"/>
        <w:jc w:val="both"/>
        <w:rPr/>
      </w:pPr>
      <w:r>
        <w:rPr>
          <w:rStyle w:val="Numatytasispastraiposriftas1"/>
          <w:rFonts w:ascii="Times New Roman" w:hAnsi="Times New Roman"/>
          <w:bCs/>
          <w:i/>
          <w:sz w:val="24"/>
        </w:rPr>
        <w:t>(pasiūlymas turi galioti ne trumpiau nei iki Pirkimo sąlygų 1 priedo „Terminai“ 7 punkte nustatyto termino. Jeigu pasiūlyme nenurodytas jo galiojimo laikas, laikoma, kad pasiūlymas galioja tiek, kiek numatyta pirkimo dokumentuose).</w:t>
      </w:r>
    </w:p>
    <w:p>
      <w:pPr>
        <w:pStyle w:val="Standard"/>
        <w:rPr>
          <w:rFonts w:ascii="Times New Roman" w:hAnsi="Times New Roman"/>
          <w:sz w:val="24"/>
        </w:rPr>
      </w:pPr>
      <w:r>
        <w:rPr>
          <w:rFonts w:ascii="Times New Roman" w:hAnsi="Times New Roman"/>
          <w:sz w:val="24"/>
        </w:rPr>
      </w:r>
    </w:p>
    <w:p>
      <w:pPr>
        <w:pStyle w:val="Standard"/>
        <w:rPr>
          <w:rFonts w:ascii="Times New Roman" w:hAnsi="Times New Roman"/>
          <w:sz w:val="24"/>
        </w:rPr>
      </w:pPr>
      <w:r>
        <w:rPr>
          <w:rFonts w:ascii="Times New Roman" w:hAnsi="Times New Roman"/>
          <w:sz w:val="24"/>
        </w:rPr>
      </w:r>
    </w:p>
    <w:tbl>
      <w:tblPr>
        <w:tblW w:w="9855" w:type="dxa"/>
        <w:jc w:val="left"/>
        <w:tblInd w:w="103" w:type="dxa"/>
        <w:tblLayout w:type="fixed"/>
        <w:tblCellMar>
          <w:top w:w="0" w:type="dxa"/>
          <w:left w:w="108" w:type="dxa"/>
          <w:bottom w:w="0" w:type="dxa"/>
          <w:right w:w="108" w:type="dxa"/>
        </w:tblCellMar>
        <w:tblLook w:firstRow="1" w:noVBand="1" w:lastRow="0" w:firstColumn="1" w:lastColumn="0" w:noHBand="0" w:val="04a0"/>
      </w:tblPr>
      <w:tblGrid>
        <w:gridCol w:w="3882"/>
        <w:gridCol w:w="607"/>
        <w:gridCol w:w="1989"/>
        <w:gridCol w:w="710"/>
        <w:gridCol w:w="2667"/>
      </w:tblGrid>
      <w:tr>
        <w:trPr>
          <w:trHeight w:val="186" w:hRule="atLeast"/>
        </w:trPr>
        <w:tc>
          <w:tcPr>
            <w:tcW w:w="3882" w:type="dxa"/>
            <w:tcBorders>
              <w:top w:val="single" w:sz="4" w:space="0" w:color="000000"/>
            </w:tcBorders>
            <w:shd w:color="auto" w:fill="auto" w:val="clear"/>
          </w:tcPr>
          <w:p>
            <w:pPr>
              <w:pStyle w:val="Standard"/>
              <w:rPr/>
            </w:pPr>
            <w:r>
              <w:rPr>
                <w:rStyle w:val="Numatytasispastraiposriftas1"/>
                <w:rFonts w:ascii="Times New Roman" w:hAnsi="Times New Roman"/>
                <w:i/>
                <w:sz w:val="24"/>
                <w:vertAlign w:val="superscript"/>
              </w:rPr>
              <w:t>(Tiekėjo arba jo įgalioto asmens pareigų pavadinimas)</w:t>
            </w:r>
          </w:p>
        </w:tc>
        <w:tc>
          <w:tcPr>
            <w:tcW w:w="607" w:type="dxa"/>
            <w:tcBorders/>
            <w:shd w:color="auto" w:fill="auto" w:val="clear"/>
          </w:tcPr>
          <w:p>
            <w:pPr>
              <w:pStyle w:val="Standard"/>
              <w:rPr>
                <w:rFonts w:ascii="Times New Roman" w:hAnsi="Times New Roman"/>
                <w:sz w:val="24"/>
                <w:vertAlign w:val="superscript"/>
              </w:rPr>
            </w:pPr>
            <w:r>
              <w:rPr>
                <w:rFonts w:ascii="Times New Roman" w:hAnsi="Times New Roman"/>
                <w:sz w:val="24"/>
                <w:vertAlign w:val="superscript"/>
              </w:rPr>
            </w:r>
          </w:p>
        </w:tc>
        <w:tc>
          <w:tcPr>
            <w:tcW w:w="1989" w:type="dxa"/>
            <w:tcBorders>
              <w:top w:val="single" w:sz="4" w:space="0" w:color="000000"/>
            </w:tcBorders>
            <w:shd w:color="auto" w:fill="auto" w:val="clear"/>
          </w:tcPr>
          <w:p>
            <w:pPr>
              <w:pStyle w:val="Standard"/>
              <w:jc w:val="center"/>
              <w:rPr/>
            </w:pPr>
            <w:r>
              <w:rPr>
                <w:rStyle w:val="Numatytasispastraiposriftas1"/>
                <w:rFonts w:ascii="Times New Roman" w:hAnsi="Times New Roman"/>
                <w:i/>
                <w:sz w:val="24"/>
                <w:vertAlign w:val="superscript"/>
              </w:rPr>
              <w:t>(Parašas)</w:t>
            </w:r>
          </w:p>
        </w:tc>
        <w:tc>
          <w:tcPr>
            <w:tcW w:w="710" w:type="dxa"/>
            <w:tcBorders/>
            <w:shd w:color="auto" w:fill="auto" w:val="clear"/>
          </w:tcPr>
          <w:p>
            <w:pPr>
              <w:pStyle w:val="Standard"/>
              <w:rPr>
                <w:rFonts w:ascii="Times New Roman" w:hAnsi="Times New Roman"/>
                <w:sz w:val="24"/>
                <w:vertAlign w:val="superscript"/>
              </w:rPr>
            </w:pPr>
            <w:r>
              <w:rPr>
                <w:rFonts w:ascii="Times New Roman" w:hAnsi="Times New Roman"/>
                <w:sz w:val="24"/>
                <w:vertAlign w:val="superscript"/>
              </w:rPr>
            </w:r>
          </w:p>
        </w:tc>
        <w:tc>
          <w:tcPr>
            <w:tcW w:w="2667" w:type="dxa"/>
            <w:tcBorders>
              <w:top w:val="single" w:sz="4" w:space="0" w:color="000000"/>
            </w:tcBorders>
            <w:shd w:color="auto" w:fill="auto" w:val="clear"/>
          </w:tcPr>
          <w:p>
            <w:pPr>
              <w:pStyle w:val="Standard"/>
              <w:jc w:val="right"/>
              <w:rPr/>
            </w:pPr>
            <w:r>
              <w:rPr>
                <w:rStyle w:val="Numatytasispastraiposriftas1"/>
                <w:rFonts w:ascii="Times New Roman" w:hAnsi="Times New Roman"/>
                <w:i/>
                <w:sz w:val="24"/>
                <w:vertAlign w:val="superscript"/>
              </w:rPr>
              <w:t>(Vardas, pavardė)</w:t>
            </w:r>
          </w:p>
        </w:tc>
      </w:tr>
    </w:tbl>
    <w:p>
      <w:pPr>
        <w:pStyle w:val="Normal"/>
        <w:jc w:val="center"/>
        <w:rPr>
          <w:rFonts w:ascii="Times New Roman" w:hAnsi="Times New Roman" w:cs="Times New Roman"/>
          <w:color w:val="7030A0"/>
        </w:rPr>
      </w:pPr>
      <w:r>
        <w:rPr>
          <w:rFonts w:cs="Times New Roman" w:ascii="Times New Roman" w:hAnsi="Times New Roman"/>
        </w:rPr>
        <w:t>__________</w:t>
      </w:r>
    </w:p>
    <w:p>
      <w:pPr>
        <w:pStyle w:val="Normal"/>
        <w:rPr>
          <w:rFonts w:ascii="Times New Roman" w:hAnsi="Times New Roman" w:cs="Times New Roman"/>
          <w:color w:val="7030A0"/>
        </w:rPr>
      </w:pPr>
      <w:r>
        <w:rPr>
          <w:rFonts w:cs="Times New Roman" w:ascii="Times New Roman" w:hAnsi="Times New Roman"/>
          <w:color w:val="7030A0"/>
        </w:rPr>
      </w:r>
      <w:r>
        <w:br w:type="page"/>
      </w:r>
    </w:p>
    <w:p>
      <w:pPr>
        <w:pStyle w:val="Heading2"/>
        <w:spacing w:before="0" w:after="0"/>
        <w:ind w:left="5103"/>
        <w:rPr>
          <w:rFonts w:ascii="Times New Roman" w:hAnsi="Times New Roman" w:eastAsia="Calibri" w:cs="Times New Roman"/>
          <w:color w:val="0070C0"/>
          <w:sz w:val="21"/>
          <w:szCs w:val="21"/>
        </w:rPr>
      </w:pPr>
      <w:bookmarkStart w:id="63" w:name="_Toc185177418"/>
      <w:bookmarkStart w:id="64" w:name="_Ref40278562"/>
      <w:bookmarkStart w:id="65" w:name="_Ref39484039"/>
      <w:r>
        <w:rPr>
          <w:rFonts w:eastAsia="Calibri" w:cs="Times New Roman" w:ascii="Times New Roman" w:hAnsi="Times New Roman"/>
          <w:color w:val="0070C0"/>
          <w:sz w:val="21"/>
          <w:szCs w:val="21"/>
        </w:rPr>
        <w:t>Pirkimo sąlygų 7 priedas „Pasiūlymų vertinimo kriterijai ir sąlygos“</w:t>
      </w:r>
      <w:bookmarkEnd w:id="63"/>
      <w:bookmarkEnd w:id="64"/>
      <w:bookmarkEnd w:id="65"/>
    </w:p>
    <w:p>
      <w:pPr>
        <w:pStyle w:val="Normal"/>
        <w:jc w:val="center"/>
        <w:rPr>
          <w:rFonts w:ascii="Times New Roman" w:hAnsi="Times New Roman" w:cs="Times New Roman"/>
          <w:b/>
          <w:szCs w:val="24"/>
        </w:rPr>
      </w:pPr>
      <w:r>
        <w:rPr>
          <w:rFonts w:cs="Times New Roman" w:ascii="Times New Roman" w:hAnsi="Times New Roman"/>
          <w:b/>
          <w:szCs w:val="24"/>
        </w:rPr>
      </w:r>
    </w:p>
    <w:p>
      <w:pPr>
        <w:pStyle w:val="Subtitle"/>
        <w:spacing w:before="0" w:after="0"/>
        <w:jc w:val="center"/>
        <w:rPr>
          <w:rFonts w:ascii="Times New Roman" w:hAnsi="Times New Roman" w:cs="Times New Roman"/>
        </w:rPr>
      </w:pPr>
      <w:r>
        <w:rPr>
          <w:rFonts w:cs="Times New Roman" w:ascii="Times New Roman" w:hAnsi="Times New Roman"/>
        </w:rPr>
        <w:t>PASIŪLYMŲ VERTINIMO KRITERIJAI ir Sąlygos</w:t>
      </w:r>
    </w:p>
    <w:p>
      <w:pPr>
        <w:pStyle w:val="Normal"/>
        <w:spacing w:before="0" w:after="0"/>
        <w:rPr>
          <w:rFonts w:ascii="Times New Roman" w:hAnsi="Times New Roman" w:cs="Times New Roman"/>
          <w:iCs/>
          <w:sz w:val="24"/>
          <w:szCs w:val="24"/>
        </w:rPr>
      </w:pPr>
      <w:r>
        <w:rPr>
          <w:rFonts w:cs="Times New Roman" w:ascii="Times New Roman" w:hAnsi="Times New Roman"/>
          <w:iCs/>
          <w:sz w:val="24"/>
          <w:szCs w:val="24"/>
        </w:rPr>
      </w:r>
    </w:p>
    <w:p>
      <w:pPr>
        <w:pStyle w:val="Normal"/>
        <w:widowControl w:val="false"/>
        <w:numPr>
          <w:ilvl w:val="0"/>
          <w:numId w:val="30"/>
        </w:numPr>
        <w:shd w:val="clear" w:color="auto" w:fill="FFFFFF"/>
        <w:spacing w:lineRule="auto" w:line="240" w:before="326" w:after="0"/>
        <w:jc w:val="both"/>
        <w:rPr>
          <w:rFonts w:ascii="Times New Roman" w:hAnsi="Times New Roman"/>
        </w:rPr>
      </w:pPr>
      <w:r>
        <w:rPr>
          <w:rFonts w:cs="Times New Roman" w:ascii="Times New Roman" w:hAnsi="Times New Roman"/>
          <w:sz w:val="22"/>
          <w:szCs w:val="22"/>
          <w:lang w:eastAsia="en-US"/>
        </w:rPr>
        <w:t xml:space="preserve">Perkančioji organizacija ekonomiškai naudingiausią pasiūlymą išrenka </w:t>
      </w:r>
      <w:r>
        <w:rPr>
          <w:rFonts w:cs="Times New Roman" w:ascii="Times New Roman" w:hAnsi="Times New Roman"/>
          <w:b/>
          <w:sz w:val="22"/>
          <w:szCs w:val="22"/>
          <w:lang w:eastAsia="en-US"/>
        </w:rPr>
        <w:t>pagal kainą.</w:t>
      </w:r>
    </w:p>
    <w:p>
      <w:pPr>
        <w:pStyle w:val="Normal"/>
        <w:widowControl w:val="false"/>
        <w:numPr>
          <w:ilvl w:val="0"/>
          <w:numId w:val="31"/>
        </w:numPr>
        <w:shd w:val="clear" w:color="auto" w:fill="FFFFFF"/>
        <w:spacing w:lineRule="auto" w:line="240" w:before="326" w:after="0"/>
        <w:jc w:val="both"/>
        <w:rPr>
          <w:rFonts w:ascii="Times New Roman" w:hAnsi="Times New Roman"/>
        </w:rPr>
      </w:pPr>
      <w:r>
        <w:rPr>
          <w:rFonts w:cs="Times New Roman" w:ascii="Times New Roman" w:hAnsi="Times New Roman"/>
          <w:bCs/>
          <w:iCs/>
          <w:sz w:val="22"/>
          <w:szCs w:val="22"/>
          <w:lang w:eastAsia="en-U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pPr>
        <w:pStyle w:val="Normal"/>
        <w:widowControl w:val="false"/>
        <w:numPr>
          <w:ilvl w:val="0"/>
          <w:numId w:val="32"/>
        </w:numPr>
        <w:shd w:val="clear" w:color="auto" w:fill="FFFFFF"/>
        <w:spacing w:lineRule="auto" w:line="240" w:before="326" w:after="0"/>
        <w:jc w:val="both"/>
        <w:rPr>
          <w:rFonts w:ascii="Times New Roman" w:hAnsi="Times New Roman"/>
        </w:rPr>
      </w:pPr>
      <w:r>
        <w:rPr>
          <w:rFonts w:cs="Times New Roman" w:ascii="Times New Roman" w:hAnsi="Times New Roman"/>
          <w:sz w:val="22"/>
          <w:szCs w:val="22"/>
          <w:lang w:eastAsia="en-US"/>
        </w:rPr>
        <w:t>Laimėjusiu Pasiūlymu bus pripažintas Pasiūlymas, atitinkantis visus Pirkimo dokumentuose nustatytus reikalavimus ir kurio pasiūlymo kaina be PVM bus mažiausia.</w:t>
      </w:r>
    </w:p>
    <w:p>
      <w:pPr>
        <w:pStyle w:val="Normal"/>
        <w:widowControl w:val="false"/>
        <w:numPr>
          <w:ilvl w:val="0"/>
          <w:numId w:val="33"/>
        </w:numPr>
        <w:shd w:val="clear" w:color="auto" w:fill="FFFFFF"/>
        <w:spacing w:lineRule="auto" w:line="240" w:before="326" w:after="0"/>
        <w:jc w:val="both"/>
        <w:rPr>
          <w:rFonts w:ascii="Times New Roman" w:hAnsi="Times New Roman"/>
        </w:rPr>
      </w:pPr>
      <w:r>
        <w:rPr>
          <w:rFonts w:cs="Times New Roman" w:ascii="Times New Roman" w:hAnsi="Times New Roman"/>
          <w:sz w:val="22"/>
          <w:szCs w:val="22"/>
          <w:lang w:eastAsia="en-US"/>
        </w:rPr>
        <w:t>Tais atvejais, kai kelių dalyvių pasiūlymų kaina yra vienoda, nustatant pasiūlymų eilę, pirmesnis į šią eilę įrašomas dalyvis, kurio pasiūlymas pateiktas anksčiausiai.</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rPr>
      </w:pPr>
      <w:r>
        <w:rPr>
          <w:rFonts w:cs="Times New Roman" w:ascii="Times New Roman" w:hAnsi="Times New Roman"/>
          <w:sz w:val="24"/>
          <w:szCs w:val="24"/>
        </w:rPr>
        <w:t>__________</w:t>
      </w:r>
      <w:r>
        <w:br w:type="page"/>
      </w:r>
    </w:p>
    <w:p>
      <w:pPr>
        <w:pStyle w:val="Heading2"/>
        <w:spacing w:before="0" w:after="0"/>
        <w:ind w:left="5103"/>
        <w:rPr>
          <w:rFonts w:ascii="Times New Roman" w:hAnsi="Times New Roman" w:cs="Times New Roman"/>
          <w:color w:val="0070C0"/>
          <w:sz w:val="21"/>
          <w:szCs w:val="21"/>
        </w:rPr>
      </w:pPr>
      <w:r>
        <w:rPr>
          <w:rFonts w:cs="Times New Roman" w:ascii="Times New Roman" w:hAnsi="Times New Roman"/>
          <w:color w:themeColor="accent2" w:val="0070C0"/>
          <w:sz w:val="21"/>
          <w:szCs w:val="21"/>
        </w:rPr>
      </w:r>
    </w:p>
    <w:p>
      <w:pPr>
        <w:pStyle w:val="Heading2"/>
        <w:ind w:left="5103"/>
        <w:rPr>
          <w:rFonts w:ascii="Times New Roman" w:hAnsi="Times New Roman" w:cs="Times New Roman"/>
          <w:color w:val="0070C0"/>
          <w:sz w:val="21"/>
          <w:szCs w:val="21"/>
        </w:rPr>
      </w:pPr>
      <w:bookmarkStart w:id="66" w:name="_Toc185177421"/>
      <w:r>
        <w:rPr>
          <w:rFonts w:cs="Times New Roman" w:ascii="Times New Roman" w:hAnsi="Times New Roman"/>
          <w:color w:val="0070C0"/>
          <w:sz w:val="21"/>
          <w:szCs w:val="21"/>
        </w:rPr>
        <w:t>Pirkimo sąlygų 8 priedas „Sutarties projektas“</w:t>
      </w:r>
      <w:bookmarkEnd w:id="66"/>
    </w:p>
    <w:p>
      <w:pPr>
        <w:pStyle w:val="Normal"/>
        <w:jc w:val="both"/>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rmal"/>
        <w:rPr>
          <w:rFonts w:ascii="Times New Roman" w:hAnsi="Times New Roman" w:cs="Times New Roman"/>
          <w:sz w:val="24"/>
          <w:szCs w:val="24"/>
        </w:rPr>
      </w:pPr>
      <w:r>
        <w:rPr>
          <w:rFonts w:cs="Times New Roman" w:ascii="Times New Roman" w:hAnsi="Times New Roman"/>
          <w:sz w:val="24"/>
          <w:szCs w:val="24"/>
        </w:rPr>
        <w:t>Pateikiama atskirame priede</w:t>
      </w:r>
    </w:p>
    <w:p>
      <w:pPr>
        <w:pStyle w:val="Normal"/>
        <w:spacing w:before="0" w:after="160"/>
        <w:jc w:val="both"/>
        <w:rPr>
          <w:rFonts w:ascii="Times New Roman" w:hAnsi="Times New Roman" w:cs="Times New Roman"/>
          <w:b/>
          <w:bCs/>
          <w:smallCaps/>
          <w:sz w:val="22"/>
          <w:szCs w:val="22"/>
        </w:rPr>
      </w:pPr>
      <w:r>
        <w:rPr>
          <w:rFonts w:cs="Times New Roman" w:ascii="Times New Roman" w:hAnsi="Times New Roman"/>
          <w:b/>
          <w:bCs/>
          <w:smallCaps/>
          <w:sz w:val="22"/>
          <w:szCs w:val="22"/>
        </w:rPr>
      </w:r>
    </w:p>
    <w:sectPr>
      <w:headerReference w:type="default" r:id="rId15"/>
      <w:headerReference w:type="first" r:id="rId16"/>
      <w:footerReference w:type="default" r:id="rId17"/>
      <w:footerReference w:type="first" r:id="rId18"/>
      <w:footnotePr>
        <w:numFmt w:val="decimal"/>
      </w:footnotePr>
      <w:type w:val="nextPage"/>
      <w:pgSz w:w="12240" w:h="15840"/>
      <w:pgMar w:left="1701" w:right="567" w:gutter="0" w:header="720" w:top="1134" w:footer="720" w:bottom="777"/>
      <w:pgNumType w:start="22" w:fmt="decimal"/>
      <w:formProt w:val="false"/>
      <w:titlePg/>
      <w:textDirection w:val="lrTb"/>
      <w:docGrid w:type="default" w:linePitch="360" w:charSpace="1187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Courier New">
    <w:charset w:val="01"/>
    <w:family w:val="modern"/>
    <w:pitch w:val="fixed"/>
  </w:font>
  <w:font w:name="Wingdings">
    <w:charset w:val="02"/>
    <w:family w:val="auto"/>
    <w:pitch w:val="variable"/>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3</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47988628"/>
    </w:sdtPr>
    <w:sdtContent>
      <w:p>
        <w:pPr>
          <w:pStyle w:val="Footer"/>
          <w:jc w:val="right"/>
          <w:rPr/>
        </w:pPr>
        <w:r>
          <w:rPr/>
          <w:fldChar w:fldCharType="begin"/>
        </w:r>
        <w:r>
          <w:rPr/>
          <w:instrText xml:space="preserve"> PAGE </w:instrText>
        </w:r>
        <w:r>
          <w:rPr/>
          <w:fldChar w:fldCharType="separate"/>
        </w:r>
        <w:r>
          <w:rPr/>
          <w:t>49</w:t>
        </w:r>
        <w:r>
          <w:rPr/>
          <w:fldChar w:fldCharType="end"/>
        </w:r>
      </w:p>
    </w:sdtContent>
  </w:sdt>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22</w:t>
    </w:r>
    <w:r>
      <w:rPr/>
      <w:fldChar w:fldCharType="end"/>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spacing w:lineRule="auto" w:line="240" w:before="0" w:after="0"/>
        <w:jc w:val="both"/>
        <w:textAlignment w:val="baseline"/>
        <w:rPr>
          <w:rFonts w:ascii="Times New Roman" w:hAnsi="Times New Roman" w:cs="Times New Roman"/>
          <w:sz w:val="20"/>
          <w:szCs w:val="20"/>
        </w:rPr>
      </w:pPr>
      <w:r>
        <w:rPr>
          <w:rStyle w:val="FootnoteCharacters"/>
        </w:rPr>
        <w:footnoteRef/>
      </w:r>
      <w:r>
        <w:rPr/>
        <w:t xml:space="preserve"> </w:t>
      </w:r>
      <w:r>
        <w:rPr>
          <w:rFonts w:cs="Times New Roman" w:ascii="Times New Roman" w:hAnsi="Times New Roman"/>
          <w:szCs w:val="20"/>
        </w:rPr>
        <w:t>gaminys turi būti pagamintas iš 100 proc. perdirbto popieriaus (naudoto popieriaus ir (ar) gamybos atliekų) plaušų arba ne mažiau kaip 30 proc. pirminės medienos plaušų, gautų iš miškų, sertifikuotų naudojant </w:t>
      </w:r>
      <w:r>
        <w:rPr>
          <w:rFonts w:cs="Times New Roman" w:ascii="Times New Roman" w:hAnsi="Times New Roman"/>
          <w:i/>
          <w:iCs/>
          <w:szCs w:val="20"/>
        </w:rPr>
        <w:t>Forest Stewardship Council</w:t>
      </w:r>
      <w:r>
        <w:rPr>
          <w:rFonts w:cs="Times New Roman" w:ascii="Times New Roman" w:hAnsi="Times New Roman"/>
          <w:szCs w:val="20"/>
        </w:rPr>
        <w:t> (toliau – FSC) ar Miškų sertifikavimo sistemų pripažinimo programą (angl. </w:t>
      </w:r>
      <w:r>
        <w:rPr>
          <w:rFonts w:cs="Times New Roman" w:ascii="Times New Roman" w:hAnsi="Times New Roman"/>
          <w:i/>
          <w:iCs/>
          <w:szCs w:val="20"/>
        </w:rPr>
        <w:t>Programme for the Endorsement of Forest Certification schemes</w:t>
      </w:r>
      <w:r>
        <w:rPr>
          <w:rFonts w:cs="Times New Roman" w:ascii="Times New Roman" w:hAnsi="Times New Roman"/>
          <w:szCs w:val="20"/>
        </w:rPr>
        <w:t> (toliau – PEFC) arba lygiavertes miškų sertifikavimo sistemas, kita dalis – iš perdirbto popieriaus plaušų;</w:t>
      </w:r>
    </w:p>
    <w:p>
      <w:pPr>
        <w:pStyle w:val="Normal"/>
        <w:spacing w:lineRule="auto" w:line="240" w:before="0" w:after="0"/>
        <w:jc w:val="both"/>
        <w:textAlignment w:val="baseline"/>
        <w:rPr>
          <w:rFonts w:ascii="Times New Roman" w:hAnsi="Times New Roman" w:cs="Times New Roman"/>
          <w:szCs w:val="20"/>
        </w:rPr>
      </w:pPr>
      <w:r>
        <w:rPr>
          <w:rFonts w:cs="Times New Roman" w:ascii="Times New Roman" w:hAnsi="Times New Roman"/>
          <w:szCs w:val="20"/>
          <w:shd w:fill="FFFFFF" w:val="clear"/>
        </w:rPr>
        <w:t>gaminys turi būti nebalintas arba balintas nenaudojant chloro dujų.</w:t>
      </w:r>
    </w:p>
    <w:p>
      <w:pPr>
        <w:pStyle w:val="FootnoteText"/>
        <w:spacing w:before="0" w:after="160"/>
        <w:rPr>
          <w:rFonts w:ascii="Calibri" w:hAnsi="Calibri" w:cs="Times New Roman"/>
        </w:rPr>
      </w:pPr>
      <w:r>
        <w:rPr/>
      </w:r>
    </w:p>
  </w:footnote>
  <w:footnote w:id="3">
    <w:p>
      <w:pPr>
        <w:pStyle w:val="FootnoteText"/>
        <w:spacing w:before="0" w:after="160"/>
        <w:rPr/>
      </w:pPr>
      <w:r>
        <w:rPr>
          <w:rStyle w:val="FootnoteCharacters"/>
        </w:rPr>
        <w:footnoteRef/>
      </w:r>
      <w:r>
        <w:rPr/>
        <w:t xml:space="preserve"> </w:t>
      </w:r>
      <w:r>
        <w:rPr/>
        <w:t>Tiekėjo ir ūkio subjekto, kurio pajėgumais remiamasi kvalifikacijai pagrįsti.</w:t>
      </w:r>
    </w:p>
  </w:footnote>
  <w:footnote w:id="4">
    <w:p>
      <w:pPr>
        <w:pStyle w:val="FootnoteText"/>
        <w:spacing w:lineRule="auto" w:line="240" w:before="0" w:after="0"/>
        <w:ind w:right="49"/>
        <w:jc w:val="both"/>
        <w:rPr>
          <w:rFonts w:ascii="Times New Roman" w:hAnsi="Times New Roman" w:cs="Times New Roman"/>
          <w:i/>
          <w:i/>
          <w:iCs/>
        </w:rPr>
      </w:pPr>
      <w:r>
        <w:rPr>
          <w:rStyle w:val="FootnoteCharacters"/>
        </w:rPr>
        <w:footnoteRef/>
      </w:r>
      <w:r>
        <w:rPr>
          <w:rFonts w:eastAsia="Yu Mincho" w:cs="Arial"/>
          <w:i/>
          <w:iCs/>
        </w:rPr>
        <w:t xml:space="preserve"> </w:t>
      </w:r>
      <w:r>
        <w:rPr>
          <w:rFonts w:eastAsia="Yu Mincho" w:cs="Times New Roman"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7"/>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 xml:space="preserve">priesaikos deklaracija; </w:t>
      </w:r>
    </w:p>
    <w:p>
      <w:pPr>
        <w:pStyle w:val="FootnoteText"/>
        <w:numPr>
          <w:ilvl w:val="0"/>
          <w:numId w:val="17"/>
        </w:numPr>
        <w:spacing w:lineRule="auto" w:line="240" w:before="0" w:after="0"/>
        <w:ind w:hanging="360" w:left="720" w:right="49"/>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pPr>
        <w:pStyle w:val="FootnoteText"/>
        <w:ind w:right="49"/>
        <w:jc w:val="both"/>
        <w:rPr>
          <w:rFonts w:ascii="Times New Roman" w:hAnsi="Times New Roman" w:cs="Times New Roman"/>
          <w:i/>
          <w:i/>
          <w:iCs/>
        </w:rPr>
      </w:pPr>
      <w:r>
        <w:rPr>
          <w:rStyle w:val="FootnoteCharacters"/>
        </w:rPr>
        <w:footnoteRef/>
      </w:r>
      <w:r>
        <w:rPr>
          <w:rFonts w:eastAsia="Yu Mincho" w:cs="Arial"/>
        </w:rPr>
        <w:t xml:space="preserve"> </w:t>
      </w:r>
      <w:r>
        <w:rPr>
          <w:rFonts w:eastAsia="Yu Mincho" w:cs="Times New Roman"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8"/>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 xml:space="preserve">priesaikos deklaracija; </w:t>
      </w:r>
    </w:p>
    <w:p>
      <w:pPr>
        <w:pStyle w:val="FootnoteText"/>
        <w:numPr>
          <w:ilvl w:val="0"/>
          <w:numId w:val="18"/>
        </w:numPr>
        <w:spacing w:lineRule="auto" w:line="240" w:before="0" w:after="0"/>
        <w:ind w:hanging="360" w:left="720" w:right="49"/>
        <w:jc w:val="both"/>
        <w:rPr>
          <w:rFonts w:ascii="Times New Roman" w:hAnsi="Times New Roman" w:eastAsia="Yu Mincho" w:cs="Times New Roman"/>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pPr>
        <w:pStyle w:val="FootnoteText"/>
        <w:ind w:right="49"/>
        <w:jc w:val="both"/>
        <w:rPr>
          <w:rFonts w:ascii="Times New Roman" w:hAnsi="Times New Roman" w:cs="Times New Roman"/>
          <w:i/>
          <w:i/>
          <w:iCs/>
        </w:rPr>
      </w:pPr>
      <w:r>
        <w:rPr>
          <w:rStyle w:val="FootnoteCharacters"/>
        </w:rPr>
        <w:footnoteRef/>
      </w:r>
      <w:r>
        <w:rPr>
          <w:rFonts w:eastAsia="Yu Mincho" w:cs="Arial"/>
        </w:rPr>
        <w:t xml:space="preserve"> </w:t>
      </w:r>
      <w:r>
        <w:rPr>
          <w:rFonts w:eastAsia="Yu Mincho" w:cs="Times New Roman" w:ascii="Times New Roman"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9"/>
        </w:numPr>
        <w:spacing w:lineRule="auto" w:line="240" w:before="0" w:after="0"/>
        <w:ind w:hanging="360" w:left="720" w:right="49"/>
        <w:jc w:val="both"/>
        <w:rPr>
          <w:rFonts w:ascii="Times New Roman" w:hAnsi="Times New Roman" w:eastAsia="Yu Mincho" w:cs="Times New Roman"/>
          <w:i/>
          <w:i/>
          <w:iCs/>
        </w:rPr>
      </w:pPr>
      <w:r>
        <w:rPr>
          <w:rFonts w:eastAsia="Yu Mincho" w:cs="Times New Roman" w:ascii="Times New Roman" w:hAnsi="Times New Roman"/>
          <w:i/>
          <w:iCs/>
        </w:rPr>
        <w:t xml:space="preserve">priesaikos deklaracija; </w:t>
      </w:r>
    </w:p>
    <w:p>
      <w:pPr>
        <w:pStyle w:val="FootnoteText"/>
        <w:numPr>
          <w:ilvl w:val="0"/>
          <w:numId w:val="19"/>
        </w:numPr>
        <w:spacing w:lineRule="auto" w:line="240" w:before="0" w:after="0"/>
        <w:ind w:hanging="360" w:left="720" w:right="49"/>
        <w:jc w:val="both"/>
        <w:rPr>
          <w:rFonts w:ascii="Calibri" w:hAnsi="Calibri" w:eastAsia="Yu Mincho" w:cs="Arial"/>
        </w:rPr>
      </w:pPr>
      <w:r>
        <w:rPr>
          <w:rFonts w:eastAsia="Yu Mincho" w:cs="Times New Roman" w:ascii="Times New Roman"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eastAsia="Yu Mincho" w:cs="Arial"/>
          <w:i/>
          <w:iCs/>
        </w:rPr>
        <w:t>.</w:t>
      </w:r>
    </w:p>
  </w:footnote>
  <w:footnote w:id="7">
    <w:p>
      <w:pPr>
        <w:pStyle w:val="FootnoteText"/>
        <w:jc w:val="both"/>
        <w:rPr/>
      </w:pPr>
      <w:r>
        <w:rPr>
          <w:rStyle w:val="FootnoteCharacters"/>
        </w:rPr>
        <w:footnoteRef/>
      </w:r>
      <w:r>
        <w:rPr/>
        <w:t xml:space="preserve"> </w:t>
      </w:r>
      <w:r>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pPr>
        <w:pStyle w:val="FootnoteText"/>
        <w:spacing w:before="0" w:after="160"/>
        <w:rPr/>
      </w:pPr>
      <w:r>
        <w:rPr/>
      </w:r>
    </w:p>
  </w:footnote>
  <w:footnote w:id="8">
    <w:p>
      <w:pPr>
        <w:pStyle w:val="FootnoteText"/>
        <w:jc w:val="both"/>
        <w:rPr/>
      </w:pPr>
      <w:r>
        <w:rPr>
          <w:rStyle w:val="FootnoteCharacters"/>
        </w:rPr>
        <w:footnoteRef/>
      </w:r>
      <w:r>
        <w:rPr/>
        <w:t xml:space="preserve"> </w:t>
      </w:r>
      <w:r>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pPr>
        <w:pStyle w:val="FootnoteText"/>
        <w:spacing w:before="0" w:after="160"/>
        <w:rPr/>
      </w:pPr>
      <w:r>
        <w:rPr/>
      </w:r>
    </w:p>
  </w:footnote>
  <w:footnote w:id="9">
    <w:p>
      <w:pPr>
        <w:pStyle w:val="FootnoteText"/>
        <w:jc w:val="both"/>
        <w:rPr/>
      </w:pPr>
      <w:r>
        <w:rPr>
          <w:rStyle w:val="FootnoteCharacters"/>
        </w:rPr>
        <w:footnoteRef/>
      </w:r>
      <w:r>
        <w:rPr/>
        <w:t xml:space="preserve"> </w:t>
      </w:r>
      <w:r>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pPr>
        <w:pStyle w:val="FootnoteText"/>
        <w:spacing w:before="0" w:after="160"/>
        <w:rPr/>
      </w:pPr>
      <w:r>
        <w:rPr/>
      </w:r>
    </w:p>
  </w:footnote>
  <w:footnote w:id="10">
    <w:p>
      <w:pPr>
        <w:pStyle w:val="Footnote"/>
        <w:rPr/>
      </w:pPr>
      <w:r>
        <w:rPr>
          <w:rStyle w:val="FootnoteCharacters"/>
        </w:rPr>
        <w:footnoteRef/>
      </w:r>
      <w:r>
        <w:rPr>
          <w:rStyle w:val="Numatytasispastraiposriftas1"/>
          <w:iCs/>
          <w:sz w:val="18"/>
          <w:szCs w:val="18"/>
        </w:rPr>
        <w:t xml:space="preserve"> </w:t>
      </w:r>
      <w:r>
        <w:rPr>
          <w:rStyle w:val="Numatytasispastraiposriftas1"/>
          <w:rFonts w:ascii="Times New Roman" w:hAnsi="Times New Roman"/>
          <w:iCs/>
          <w:sz w:val="18"/>
          <w:szCs w:val="18"/>
        </w:rPr>
        <w:t>Tuo atveju, jei Pasiūlymą teikia Jungtinei veiklai susivienijusių Tiekėjų grupė, pateikiama informacija apie visus jungtinei veiklai susivienijusius Tiekėjus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502"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
    <w:lvl w:ilvl="0">
      <w:start w:val="2"/>
      <w:numFmt w:val="decimal"/>
      <w:lvlText w:val="%1"/>
      <w:lvlJc w:val="left"/>
      <w:pPr>
        <w:tabs>
          <w:tab w:val="num" w:pos="0"/>
        </w:tabs>
        <w:ind w:left="360" w:hanging="360"/>
      </w:pPr>
      <w:rPr>
        <w:rFonts w:eastAsia="Calibri" w:cs="" w:cstheme="minorBidi"/>
        <w:color w:themeColor="text1" w:val="000000"/>
      </w:rPr>
    </w:lvl>
    <w:lvl w:ilvl="1">
      <w:start w:val="1"/>
      <w:numFmt w:val="decimal"/>
      <w:lvlText w:val="%1.%2"/>
      <w:lvlJc w:val="left"/>
      <w:pPr>
        <w:tabs>
          <w:tab w:val="num" w:pos="0"/>
        </w:tabs>
        <w:ind w:left="360" w:hanging="360"/>
      </w:pPr>
      <w:rPr>
        <w:rFonts w:eastAsia="Calibri" w:cs="" w:cstheme="minorBidi"/>
        <w:color w:themeColor="text1" w:val="000000"/>
      </w:rPr>
    </w:lvl>
    <w:lvl w:ilvl="2">
      <w:start w:val="1"/>
      <w:numFmt w:val="decimal"/>
      <w:lvlText w:val="%1.%2.%3"/>
      <w:lvlJc w:val="left"/>
      <w:pPr>
        <w:tabs>
          <w:tab w:val="num" w:pos="0"/>
        </w:tabs>
        <w:ind w:left="720" w:hanging="720"/>
      </w:pPr>
      <w:rPr>
        <w:rFonts w:eastAsia="Calibri" w:cs="" w:cstheme="minorBidi"/>
        <w:color w:themeColor="text1" w:val="000000"/>
      </w:rPr>
    </w:lvl>
    <w:lvl w:ilvl="3">
      <w:start w:val="1"/>
      <w:numFmt w:val="decimal"/>
      <w:lvlText w:val="%1.%2.%3.%4"/>
      <w:lvlJc w:val="left"/>
      <w:pPr>
        <w:tabs>
          <w:tab w:val="num" w:pos="0"/>
        </w:tabs>
        <w:ind w:left="720" w:hanging="720"/>
      </w:pPr>
      <w:rPr>
        <w:rFonts w:eastAsia="Calibri" w:cs="" w:cstheme="minorBidi"/>
        <w:color w:themeColor="text1" w:val="000000"/>
      </w:rPr>
    </w:lvl>
    <w:lvl w:ilvl="4">
      <w:start w:val="1"/>
      <w:numFmt w:val="decimal"/>
      <w:lvlText w:val="%1.%2.%3.%4.%5"/>
      <w:lvlJc w:val="left"/>
      <w:pPr>
        <w:tabs>
          <w:tab w:val="num" w:pos="0"/>
        </w:tabs>
        <w:ind w:left="1080" w:hanging="1080"/>
      </w:pPr>
      <w:rPr>
        <w:rFonts w:eastAsia="Calibri" w:cs="" w:cstheme="minorBidi"/>
        <w:color w:themeColor="text1" w:val="000000"/>
      </w:rPr>
    </w:lvl>
    <w:lvl w:ilvl="5">
      <w:start w:val="1"/>
      <w:numFmt w:val="decimal"/>
      <w:lvlText w:val="%1.%2.%3.%4.%5.%6"/>
      <w:lvlJc w:val="left"/>
      <w:pPr>
        <w:tabs>
          <w:tab w:val="num" w:pos="0"/>
        </w:tabs>
        <w:ind w:left="1080" w:hanging="1080"/>
      </w:pPr>
      <w:rPr>
        <w:rFonts w:eastAsia="Calibri" w:cs="" w:cstheme="minorBidi"/>
        <w:color w:themeColor="text1" w:val="000000"/>
      </w:rPr>
    </w:lvl>
    <w:lvl w:ilvl="6">
      <w:start w:val="1"/>
      <w:numFmt w:val="decimal"/>
      <w:lvlText w:val="%1.%2.%3.%4.%5.%6.%7"/>
      <w:lvlJc w:val="left"/>
      <w:pPr>
        <w:tabs>
          <w:tab w:val="num" w:pos="0"/>
        </w:tabs>
        <w:ind w:left="1080" w:hanging="1080"/>
      </w:pPr>
      <w:rPr>
        <w:rFonts w:eastAsia="Calibri" w:cs="" w:cstheme="minorBidi"/>
        <w:color w:themeColor="text1" w:val="000000"/>
      </w:rPr>
    </w:lvl>
    <w:lvl w:ilvl="7">
      <w:start w:val="1"/>
      <w:numFmt w:val="decimal"/>
      <w:lvlText w:val="%1.%2.%3.%4.%5.%6.%7.%8"/>
      <w:lvlJc w:val="left"/>
      <w:pPr>
        <w:tabs>
          <w:tab w:val="num" w:pos="0"/>
        </w:tabs>
        <w:ind w:left="1440" w:hanging="1440"/>
      </w:pPr>
      <w:rPr>
        <w:rFonts w:eastAsia="Calibri" w:cs="" w:cstheme="minorBidi"/>
        <w:color w:themeColor="text1" w:val="000000"/>
      </w:rPr>
    </w:lvl>
    <w:lvl w:ilvl="8">
      <w:start w:val="1"/>
      <w:numFmt w:val="decimal"/>
      <w:lvlText w:val="%1.%2.%3.%4.%5.%6.%7.%8.%9"/>
      <w:lvlJc w:val="left"/>
      <w:pPr>
        <w:tabs>
          <w:tab w:val="num" w:pos="0"/>
        </w:tabs>
        <w:ind w:left="1440" w:hanging="1440"/>
      </w:pPr>
      <w:rPr>
        <w:rFonts w:eastAsia="Calibri" w:cs="" w:cstheme="minorBidi"/>
        <w:color w:themeColor="text1" w:val="000000"/>
      </w:rPr>
    </w:lvl>
  </w:abstractNum>
  <w:abstractNum w:abstractNumId="4">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1"/>
      <w:numFmt w:val="decimal"/>
      <w:lvlText w:val="%1."/>
      <w:lvlJc w:val="left"/>
      <w:pPr>
        <w:tabs>
          <w:tab w:val="num" w:pos="0"/>
        </w:tabs>
        <w:ind w:left="360" w:hanging="360"/>
      </w:pPr>
      <w:rPr>
        <w:color w:val="00B050"/>
      </w:rPr>
    </w:lvl>
    <w:lvl w:ilvl="1">
      <w:start w:val="5"/>
      <w:numFmt w:val="decimal"/>
      <w:lvlText w:val="%1.%2."/>
      <w:lvlJc w:val="left"/>
      <w:pPr>
        <w:tabs>
          <w:tab w:val="num" w:pos="0"/>
        </w:tabs>
        <w:ind w:left="360" w:hanging="360"/>
      </w:pPr>
      <w:rPr>
        <w:sz w:val="21"/>
        <w:i w:val="false"/>
        <w:szCs w:val="21"/>
        <w:iCs w:val="false"/>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6">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2140" w:hanging="720"/>
      </w:pPr>
      <w:rPr>
        <w:i w:val="false"/>
        <w:iCs/>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7">
    <w:lvl w:ilvl="0">
      <w:start w:val="6"/>
      <w:numFmt w:val="decimal"/>
      <w:lvlText w:val="%1."/>
      <w:lvlJc w:val="left"/>
      <w:pPr>
        <w:tabs>
          <w:tab w:val="num" w:pos="0"/>
        </w:tabs>
        <w:ind w:left="504" w:hanging="504"/>
      </w:pPr>
      <w:rPr>
        <w:u w:val="none"/>
        <w:b w:val="false"/>
        <w:bCs w:val="false"/>
        <w:rFonts w:eastAsia="Calibri"/>
      </w:rPr>
    </w:lvl>
    <w:lvl w:ilvl="1">
      <w:start w:val="2"/>
      <w:numFmt w:val="decimal"/>
      <w:lvlText w:val="%1.%2."/>
      <w:lvlJc w:val="left"/>
      <w:pPr>
        <w:tabs>
          <w:tab w:val="num" w:pos="0"/>
        </w:tabs>
        <w:ind w:left="1214" w:hanging="504"/>
      </w:pPr>
      <w:rPr>
        <w:i w:val="false"/>
        <w:u w:val="none"/>
        <w:iCs w:val="false"/>
        <w:rFonts w:eastAsia="Calibri"/>
        <w:color w:val="auto"/>
      </w:rPr>
    </w:lvl>
    <w:lvl w:ilvl="2">
      <w:start w:val="1"/>
      <w:numFmt w:val="decimal"/>
      <w:lvlText w:val="%1.%2.%3."/>
      <w:lvlJc w:val="left"/>
      <w:pPr>
        <w:tabs>
          <w:tab w:val="num" w:pos="0"/>
        </w:tabs>
        <w:ind w:left="2140" w:hanging="720"/>
      </w:pPr>
      <w:rPr>
        <w:u w:val="none"/>
        <w:rFonts w:eastAsia="Calibri"/>
        <w:color w:val="auto"/>
      </w:rPr>
    </w:lvl>
    <w:lvl w:ilvl="3">
      <w:start w:val="1"/>
      <w:numFmt w:val="decimal"/>
      <w:lvlText w:val="%1.%2.%3.%4."/>
      <w:lvlJc w:val="left"/>
      <w:pPr>
        <w:tabs>
          <w:tab w:val="num" w:pos="0"/>
        </w:tabs>
        <w:ind w:left="2850" w:hanging="720"/>
      </w:pPr>
      <w:rPr>
        <w:u w:val="none"/>
        <w:rFonts w:eastAsia="Calibri"/>
      </w:rPr>
    </w:lvl>
    <w:lvl w:ilvl="4">
      <w:start w:val="1"/>
      <w:numFmt w:val="decimal"/>
      <w:lvlText w:val="%1.%2.%3.%4.%5."/>
      <w:lvlJc w:val="left"/>
      <w:pPr>
        <w:tabs>
          <w:tab w:val="num" w:pos="0"/>
        </w:tabs>
        <w:ind w:left="3920" w:hanging="1080"/>
      </w:pPr>
      <w:rPr>
        <w:u w:val="none"/>
        <w:rFonts w:eastAsia="Calibri"/>
      </w:rPr>
    </w:lvl>
    <w:lvl w:ilvl="5">
      <w:start w:val="1"/>
      <w:numFmt w:val="decimal"/>
      <w:lvlText w:val="%1.%2.%3.%4.%5.%6."/>
      <w:lvlJc w:val="left"/>
      <w:pPr>
        <w:tabs>
          <w:tab w:val="num" w:pos="0"/>
        </w:tabs>
        <w:ind w:left="4630" w:hanging="1080"/>
      </w:pPr>
      <w:rPr>
        <w:u w:val="none"/>
        <w:rFonts w:eastAsia="Calibri"/>
      </w:rPr>
    </w:lvl>
    <w:lvl w:ilvl="6">
      <w:start w:val="1"/>
      <w:numFmt w:val="decimal"/>
      <w:lvlText w:val="%1.%2.%3.%4.%5.%6.%7."/>
      <w:lvlJc w:val="left"/>
      <w:pPr>
        <w:tabs>
          <w:tab w:val="num" w:pos="0"/>
        </w:tabs>
        <w:ind w:left="5700" w:hanging="1440"/>
      </w:pPr>
      <w:rPr>
        <w:u w:val="none"/>
        <w:rFonts w:eastAsia="Calibri"/>
      </w:rPr>
    </w:lvl>
    <w:lvl w:ilvl="7">
      <w:start w:val="1"/>
      <w:numFmt w:val="decimal"/>
      <w:lvlText w:val="%1.%2.%3.%4.%5.%6.%7.%8."/>
      <w:lvlJc w:val="left"/>
      <w:pPr>
        <w:tabs>
          <w:tab w:val="num" w:pos="0"/>
        </w:tabs>
        <w:ind w:left="6410" w:hanging="1440"/>
      </w:pPr>
      <w:rPr>
        <w:u w:val="none"/>
        <w:rFonts w:eastAsia="Calibri"/>
      </w:rPr>
    </w:lvl>
    <w:lvl w:ilvl="8">
      <w:start w:val="1"/>
      <w:numFmt w:val="decimal"/>
      <w:lvlText w:val="%1.%2.%3.%4.%5.%6.%7.%8.%9."/>
      <w:lvlJc w:val="left"/>
      <w:pPr>
        <w:tabs>
          <w:tab w:val="num" w:pos="0"/>
        </w:tabs>
        <w:ind w:left="7120" w:hanging="1440"/>
      </w:pPr>
      <w:rPr>
        <w:u w:val="none"/>
        <w:rFonts w:eastAsia="Calibri"/>
      </w:rPr>
    </w:lvl>
  </w:abstractNum>
  <w:abstractNum w:abstractNumId="8">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9">
    <w:lvl w:ilvl="0">
      <w:start w:val="10"/>
      <w:numFmt w:val="decimal"/>
      <w:lvlText w:val="%1."/>
      <w:lvlJc w:val="left"/>
      <w:pPr>
        <w:tabs>
          <w:tab w:val="num" w:pos="0"/>
        </w:tabs>
        <w:ind w:left="444" w:hanging="444"/>
      </w:pPr>
      <w:rPr>
        <w:b w:val="false"/>
        <w:bCs w:val="false"/>
      </w:rPr>
    </w:lvl>
    <w:lvl w:ilvl="1">
      <w:start w:val="1"/>
      <w:numFmt w:val="decimal"/>
      <w:lvlText w:val="%1.%2."/>
      <w:lvlJc w:val="left"/>
      <w:pPr>
        <w:tabs>
          <w:tab w:val="num" w:pos="0"/>
        </w:tabs>
        <w:ind w:left="3280" w:hanging="444"/>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10">
    <w:lvl w:ilvl="0">
      <w:start w:val="1"/>
      <w:numFmt w:val="decimal"/>
      <w:lvlText w:val="%1."/>
      <w:lvlJc w:val="left"/>
      <w:pPr>
        <w:tabs>
          <w:tab w:val="num" w:pos="0"/>
        </w:tabs>
        <w:ind w:left="540" w:hanging="540"/>
      </w:pPr>
      <w:rPr/>
    </w:lvl>
    <w:lvl w:ilvl="1">
      <w:start w:val="4"/>
      <w:numFmt w:val="decimal"/>
      <w:lvlText w:val="%1.%2."/>
      <w:lvlJc w:val="left"/>
      <w:pPr>
        <w:tabs>
          <w:tab w:val="num" w:pos="0"/>
        </w:tabs>
        <w:ind w:left="540" w:hanging="540"/>
      </w:pPr>
      <w:rPr/>
    </w:lvl>
    <w:lvl w:ilvl="2">
      <w:start w:val="1"/>
      <w:numFmt w:val="decimal"/>
      <w:lvlText w:val="%1.%2.%3."/>
      <w:lvlJc w:val="left"/>
      <w:pPr>
        <w:tabs>
          <w:tab w:val="num" w:pos="0"/>
        </w:tabs>
        <w:ind w:left="1288" w:hanging="720"/>
      </w:pPr>
      <w:rPr>
        <w:sz w:val="22"/>
        <w:szCs w:val="22"/>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1">
    <w:lvl w:ilvl="0">
      <w:start w:val="9"/>
      <w:numFmt w:val="decimal"/>
      <w:lvlText w:val="%1."/>
      <w:lvlJc w:val="left"/>
      <w:pPr>
        <w:tabs>
          <w:tab w:val="num" w:pos="0"/>
        </w:tabs>
        <w:ind w:left="360" w:hanging="360"/>
      </w:pPr>
      <w:rPr>
        <w:i w:val="false"/>
        <w:rFonts w:eastAsia="" w:eastAsiaTheme="minorEastAsia"/>
        <w:color w:val="auto"/>
      </w:rPr>
    </w:lvl>
    <w:lvl w:ilvl="1">
      <w:start w:val="3"/>
      <w:numFmt w:val="decimal"/>
      <w:lvlText w:val="%1.%2."/>
      <w:lvlJc w:val="left"/>
      <w:pPr>
        <w:tabs>
          <w:tab w:val="num" w:pos="0"/>
        </w:tabs>
        <w:ind w:left="1070" w:hanging="360"/>
      </w:pPr>
      <w:rPr>
        <w:i w:val="false"/>
        <w:rFonts w:eastAsia="" w:eastAsiaTheme="minorEastAsia"/>
        <w:color w:val="auto"/>
      </w:rPr>
    </w:lvl>
    <w:lvl w:ilvl="2">
      <w:start w:val="1"/>
      <w:numFmt w:val="decimal"/>
      <w:lvlText w:val="%1.%2.%3."/>
      <w:lvlJc w:val="left"/>
      <w:pPr>
        <w:tabs>
          <w:tab w:val="num" w:pos="0"/>
        </w:tabs>
        <w:ind w:left="2140" w:hanging="720"/>
      </w:pPr>
      <w:rPr>
        <w:i w:val="false"/>
        <w:rFonts w:eastAsia="" w:eastAsiaTheme="minorEastAsia"/>
        <w:color w:val="auto"/>
      </w:rPr>
    </w:lvl>
    <w:lvl w:ilvl="3">
      <w:start w:val="1"/>
      <w:numFmt w:val="decimal"/>
      <w:lvlText w:val="%1.%2.%3.%4."/>
      <w:lvlJc w:val="left"/>
      <w:pPr>
        <w:tabs>
          <w:tab w:val="num" w:pos="0"/>
        </w:tabs>
        <w:ind w:left="2850" w:hanging="720"/>
      </w:pPr>
      <w:rPr>
        <w:i w:val="false"/>
        <w:rFonts w:eastAsia="" w:eastAsiaTheme="minorEastAsia"/>
        <w:color w:val="auto"/>
      </w:rPr>
    </w:lvl>
    <w:lvl w:ilvl="4">
      <w:start w:val="1"/>
      <w:numFmt w:val="decimal"/>
      <w:lvlText w:val="%1.%2.%3.%4.%5."/>
      <w:lvlJc w:val="left"/>
      <w:pPr>
        <w:tabs>
          <w:tab w:val="num" w:pos="0"/>
        </w:tabs>
        <w:ind w:left="3920" w:hanging="1080"/>
      </w:pPr>
      <w:rPr>
        <w:i w:val="false"/>
        <w:rFonts w:eastAsia="" w:eastAsiaTheme="minorEastAsia"/>
        <w:color w:val="auto"/>
      </w:rPr>
    </w:lvl>
    <w:lvl w:ilvl="5">
      <w:start w:val="1"/>
      <w:numFmt w:val="decimal"/>
      <w:lvlText w:val="%1.%2.%3.%4.%5.%6."/>
      <w:lvlJc w:val="left"/>
      <w:pPr>
        <w:tabs>
          <w:tab w:val="num" w:pos="0"/>
        </w:tabs>
        <w:ind w:left="4630" w:hanging="1080"/>
      </w:pPr>
      <w:rPr>
        <w:i w:val="false"/>
        <w:rFonts w:eastAsia="" w:eastAsiaTheme="minorEastAsia"/>
        <w:color w:val="auto"/>
      </w:rPr>
    </w:lvl>
    <w:lvl w:ilvl="6">
      <w:start w:val="1"/>
      <w:numFmt w:val="decimal"/>
      <w:lvlText w:val="%1.%2.%3.%4.%5.%6.%7."/>
      <w:lvlJc w:val="left"/>
      <w:pPr>
        <w:tabs>
          <w:tab w:val="num" w:pos="0"/>
        </w:tabs>
        <w:ind w:left="5700" w:hanging="1440"/>
      </w:pPr>
      <w:rPr>
        <w:i w:val="false"/>
        <w:rFonts w:eastAsia="" w:eastAsiaTheme="minorEastAsia"/>
        <w:color w:val="auto"/>
      </w:rPr>
    </w:lvl>
    <w:lvl w:ilvl="7">
      <w:start w:val="1"/>
      <w:numFmt w:val="decimal"/>
      <w:lvlText w:val="%1.%2.%3.%4.%5.%6.%7.%8."/>
      <w:lvlJc w:val="left"/>
      <w:pPr>
        <w:tabs>
          <w:tab w:val="num" w:pos="0"/>
        </w:tabs>
        <w:ind w:left="6410" w:hanging="1440"/>
      </w:pPr>
      <w:rPr>
        <w:i w:val="false"/>
        <w:rFonts w:eastAsia="" w:eastAsiaTheme="minorEastAsia"/>
        <w:color w:val="auto"/>
      </w:rPr>
    </w:lvl>
    <w:lvl w:ilvl="8">
      <w:start w:val="1"/>
      <w:numFmt w:val="decimal"/>
      <w:lvlText w:val="%1.%2.%3.%4.%5.%6.%7.%8.%9."/>
      <w:lvlJc w:val="left"/>
      <w:pPr>
        <w:tabs>
          <w:tab w:val="num" w:pos="0"/>
        </w:tabs>
        <w:ind w:left="7480" w:hanging="1800"/>
      </w:pPr>
      <w:rPr>
        <w:i w:val="false"/>
        <w:rFonts w:eastAsia="" w:eastAsiaTheme="minorEastAsia"/>
        <w:color w:val="auto"/>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decimal"/>
      <w:suff w:val="space"/>
      <w:lvlText w:val="%1."/>
      <w:lvlJc w:val="left"/>
      <w:pPr>
        <w:tabs>
          <w:tab w:val="num" w:pos="0"/>
        </w:tabs>
        <w:ind w:left="0" w:hanging="0"/>
      </w:pPr>
      <w:rPr>
        <w:sz w:val="21"/>
        <w:i w:val="false"/>
        <w:b w:val="false"/>
        <w:szCs w:val="21"/>
        <w:iCs/>
        <w:bCs w:val="false"/>
        <w:rFonts w:ascii="Calibri" w:hAnsi="Calibri" w:cs="Calibri" w:asciiTheme="minorHAnsi" w:cstheme="minorHAnsi" w:hAnsiTheme="minorHAnsi"/>
        <w:color w:val="auto"/>
      </w:rPr>
    </w:lvl>
    <w:lvl w:ilvl="1">
      <w:start w:val="1"/>
      <w:numFmt w:val="decimal"/>
      <w:lvlText w:val="%1.%2."/>
      <w:lvlJc w:val="left"/>
      <w:pPr>
        <w:tabs>
          <w:tab w:val="num" w:pos="0"/>
        </w:tabs>
        <w:ind w:left="720" w:hanging="360"/>
      </w:pPr>
      <w:rPr>
        <w:sz w:val="21"/>
        <w:b w:val="false"/>
        <w:szCs w:val="21"/>
        <w:b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sz w:val="21"/>
        <w:szCs w:val="21"/>
        <w:rFonts w:ascii="Calibri" w:hAnsi="Calibri" w:cs="Calibri" w:asciiTheme="minorHAnsi" w:cstheme="minorHAnsi" w:hAnsiTheme="minorHAnsi"/>
      </w:rPr>
    </w:lvl>
    <w:lvl w:ilvl="3">
      <w:start w:val="1"/>
      <w:numFmt w:val="decimal"/>
      <w:lvlText w:val="%1.%2.%3.%4."/>
      <w:lvlJc w:val="left"/>
      <w:pPr>
        <w:tabs>
          <w:tab w:val="num" w:pos="0"/>
        </w:tabs>
        <w:ind w:left="1800" w:hanging="720"/>
      </w:pPr>
      <w:rPr>
        <w:sz w:val="22"/>
        <w:rFonts w:ascii="Calibri" w:hAnsi="Calibri" w:cs="Calibri" w:asciiTheme="minorHAnsi" w:cstheme="minorHAnsi" w:hAnsiTheme="minorHAnsi"/>
      </w:rPr>
    </w:lvl>
    <w:lvl w:ilvl="4">
      <w:start w:val="1"/>
      <w:numFmt w:val="decimal"/>
      <w:lvlText w:val="%1.%2.%3.%4.%5."/>
      <w:lvlJc w:val="left"/>
      <w:pPr>
        <w:tabs>
          <w:tab w:val="num" w:pos="0"/>
        </w:tabs>
        <w:ind w:left="2520" w:hanging="1080"/>
      </w:pPr>
      <w:rPr>
        <w:sz w:val="22"/>
        <w:rFonts w:ascii="Calibri" w:hAnsi="Calibri" w:cs="Calibri" w:asciiTheme="minorHAnsi" w:cstheme="minorHAnsi" w:hAnsiTheme="minorHAnsi"/>
      </w:rPr>
    </w:lvl>
    <w:lvl w:ilvl="5">
      <w:start w:val="1"/>
      <w:numFmt w:val="decimal"/>
      <w:lvlText w:val="%1.%2.%3.%4.%5.%6."/>
      <w:lvlJc w:val="left"/>
      <w:pPr>
        <w:tabs>
          <w:tab w:val="num" w:pos="0"/>
        </w:tabs>
        <w:ind w:left="2880" w:hanging="1080"/>
      </w:pPr>
      <w:rPr>
        <w:sz w:val="22"/>
        <w:rFonts w:ascii="Calibri" w:hAnsi="Calibri" w:cs="Calibri" w:asciiTheme="minorHAnsi" w:cstheme="minorHAnsi" w:hAnsiTheme="minorHAnsi"/>
      </w:rPr>
    </w:lvl>
    <w:lvl w:ilvl="6">
      <w:start w:val="1"/>
      <w:numFmt w:val="decimal"/>
      <w:lvlText w:val="%1.%2.%3.%4.%5.%6.%7."/>
      <w:lvlJc w:val="left"/>
      <w:pPr>
        <w:tabs>
          <w:tab w:val="num" w:pos="0"/>
        </w:tabs>
        <w:ind w:left="3600" w:hanging="1440"/>
      </w:pPr>
      <w:rPr>
        <w:sz w:val="22"/>
        <w:rFonts w:ascii="Calibri" w:hAnsi="Calibri" w:cs="Calibri" w:asciiTheme="minorHAnsi" w:cstheme="minorHAnsi" w:hAnsiTheme="minorHAnsi"/>
      </w:rPr>
    </w:lvl>
    <w:lvl w:ilvl="7">
      <w:start w:val="1"/>
      <w:numFmt w:val="decimal"/>
      <w:lvlText w:val="%1.%2.%3.%4.%5.%6.%7.%8."/>
      <w:lvlJc w:val="left"/>
      <w:pPr>
        <w:tabs>
          <w:tab w:val="num" w:pos="0"/>
        </w:tabs>
        <w:ind w:left="3960" w:hanging="1440"/>
      </w:pPr>
      <w:rPr>
        <w:sz w:val="22"/>
        <w:rFonts w:ascii="Calibri" w:hAnsi="Calibri" w:cs="Calibri" w:asciiTheme="minorHAnsi" w:cstheme="minorHAnsi" w:hAnsiTheme="minorHAnsi"/>
      </w:rPr>
    </w:lvl>
    <w:lvl w:ilvl="8">
      <w:start w:val="1"/>
      <w:numFmt w:val="decimal"/>
      <w:lvlText w:val="%1.%2.%3.%4.%5.%6.%7.%8.%9."/>
      <w:lvlJc w:val="left"/>
      <w:pPr>
        <w:tabs>
          <w:tab w:val="num" w:pos="0"/>
        </w:tabs>
        <w:ind w:left="4680" w:hanging="1800"/>
      </w:pPr>
      <w:rPr>
        <w:sz w:val="22"/>
        <w:rFonts w:ascii="Calibri" w:hAnsi="Calibri" w:cs="Calibri" w:asciiTheme="minorHAnsi" w:cstheme="minorHAnsi" w:hAnsiTheme="minorHAnsi"/>
      </w:rPr>
    </w:lvl>
  </w:abstractNum>
  <w:abstractNum w:abstractNumId="16">
    <w:lvl w:ilvl="0">
      <w:start w:val="1"/>
      <w:numFmt w:val="decimal"/>
      <w:lvlText w:val="%1."/>
      <w:lvlJc w:val="left"/>
      <w:pPr>
        <w:tabs>
          <w:tab w:val="num" w:pos="0"/>
        </w:tabs>
        <w:ind w:left="720" w:hanging="360"/>
      </w:pPr>
      <w:rPr/>
    </w:lvl>
    <w:lvl w:ilvl="1">
      <w:start w:val="1"/>
      <w:numFmt w:val="decimal"/>
      <w:lvlText w:val="%1.%2."/>
      <w:lvlJc w:val="left"/>
      <w:pPr>
        <w:tabs>
          <w:tab w:val="num" w:pos="0"/>
        </w:tabs>
        <w:ind w:left="1440" w:hanging="720"/>
      </w:pPr>
      <w:rPr/>
    </w:lvl>
    <w:lvl w:ilvl="2">
      <w:start w:val="1"/>
      <w:numFmt w:val="decimal"/>
      <w:lvlText w:val="%1.%2.%3."/>
      <w:lvlJc w:val="left"/>
      <w:pPr>
        <w:tabs>
          <w:tab w:val="num" w:pos="0"/>
        </w:tabs>
        <w:ind w:left="2160" w:hanging="1080"/>
      </w:pPr>
      <w:rPr/>
    </w:lvl>
    <w:lvl w:ilvl="3">
      <w:start w:val="1"/>
      <w:numFmt w:val="decimal"/>
      <w:lvlText w:val="%1.%2.%3.%4."/>
      <w:lvlJc w:val="left"/>
      <w:pPr>
        <w:tabs>
          <w:tab w:val="num" w:pos="0"/>
        </w:tabs>
        <w:ind w:left="2520" w:hanging="1080"/>
      </w:pPr>
      <w:rPr/>
    </w:lvl>
    <w:lvl w:ilvl="4">
      <w:start w:val="1"/>
      <w:numFmt w:val="decimal"/>
      <w:lvlText w:val="%1.%2.%3.%4.%5."/>
      <w:lvlJc w:val="left"/>
      <w:pPr>
        <w:tabs>
          <w:tab w:val="num" w:pos="0"/>
        </w:tabs>
        <w:ind w:left="3240" w:hanging="1440"/>
      </w:pPr>
      <w:rPr/>
    </w:lvl>
    <w:lvl w:ilvl="5">
      <w:start w:val="1"/>
      <w:numFmt w:val="decimal"/>
      <w:lvlText w:val="%1.%2.%3.%4.%5.%6."/>
      <w:lvlJc w:val="left"/>
      <w:pPr>
        <w:tabs>
          <w:tab w:val="num" w:pos="0"/>
        </w:tabs>
        <w:ind w:left="3960" w:hanging="1800"/>
      </w:pPr>
      <w:rPr/>
    </w:lvl>
    <w:lvl w:ilvl="6">
      <w:start w:val="1"/>
      <w:numFmt w:val="decimal"/>
      <w:lvlText w:val="%1.%2.%3.%4.%5.%6.%7."/>
      <w:lvlJc w:val="left"/>
      <w:pPr>
        <w:tabs>
          <w:tab w:val="num" w:pos="0"/>
        </w:tabs>
        <w:ind w:left="4680" w:hanging="2160"/>
      </w:pPr>
      <w:rPr/>
    </w:lvl>
    <w:lvl w:ilvl="7">
      <w:start w:val="1"/>
      <w:numFmt w:val="decimal"/>
      <w:lvlText w:val="%1.%2.%3.%4.%5.%6.%7.%8."/>
      <w:lvlJc w:val="left"/>
      <w:pPr>
        <w:tabs>
          <w:tab w:val="num" w:pos="0"/>
        </w:tabs>
        <w:ind w:left="5040" w:hanging="2160"/>
      </w:pPr>
      <w:rPr/>
    </w:lvl>
    <w:lvl w:ilvl="8">
      <w:start w:val="1"/>
      <w:numFmt w:val="decimal"/>
      <w:lvlText w:val="%1.%2.%3.%4.%5.%6.%7.%8.%9."/>
      <w:lvlJc w:val="left"/>
      <w:pPr>
        <w:tabs>
          <w:tab w:val="num" w:pos="0"/>
        </w:tabs>
        <w:ind w:left="5760" w:hanging="2520"/>
      </w:pPr>
      <w:rPr/>
    </w:lvl>
  </w:abstractNum>
  <w:abstractNum w:abstractNumId="1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right"/>
      <w:pPr>
        <w:tabs>
          <w:tab w:val="num" w:pos="0"/>
        </w:tabs>
        <w:ind w:left="360" w:hanging="360"/>
      </w:pPr>
      <w:rPr/>
    </w:lvl>
    <w:lvl w:ilvl="1">
      <w:start w:val="1"/>
      <w:numFmt w:val="decimal"/>
      <w:lvlText w:val="%1.%2."/>
      <w:lvlJc w:val="left"/>
      <w:pPr>
        <w:tabs>
          <w:tab w:val="num" w:pos="792"/>
        </w:tabs>
        <w:ind w:left="792" w:hanging="432"/>
      </w:pPr>
      <w:rPr>
        <w:b w:val="false"/>
        <w:rFonts w:ascii="Trebuchet MS" w:hAnsi="Trebuchet MS"/>
      </w:rPr>
    </w:lvl>
    <w:lvl w:ilvl="2">
      <w:start w:val="1"/>
      <w:numFmt w:val="decimal"/>
      <w:lvlText w:val="%1.%2.%3."/>
      <w:lvlJc w:val="left"/>
      <w:pPr>
        <w:tabs>
          <w:tab w:val="num" w:pos="1584"/>
        </w:tabs>
        <w:ind w:left="794" w:hanging="437"/>
      </w:pPr>
      <w:rPr/>
    </w:lvl>
    <w:lvl w:ilvl="3">
      <w:start w:val="1"/>
      <w:numFmt w:val="decimal"/>
      <w:lvlText w:val="%1.%2.%3.%4."/>
      <w:lvlJc w:val="left"/>
      <w:pPr>
        <w:tabs>
          <w:tab w:val="num" w:pos="1728"/>
        </w:tabs>
        <w:ind w:left="1728" w:hanging="648"/>
      </w:pPr>
      <w:rPr/>
    </w:lvl>
    <w:lvl w:ilvl="4">
      <w:start w:val="1"/>
      <w:numFmt w:val="decimal"/>
      <w:lvlText w:val="%1.%2.%3.%4.%5."/>
      <w:lvlJc w:val="left"/>
      <w:pPr>
        <w:tabs>
          <w:tab w:val="num" w:pos="2232"/>
        </w:tabs>
        <w:ind w:left="2232" w:hanging="792"/>
      </w:pPr>
      <w:rPr/>
    </w:lvl>
    <w:lvl w:ilvl="5">
      <w:start w:val="1"/>
      <w:numFmt w:val="decimal"/>
      <w:lvlText w:val="%1.%2.%3.%4.%5.%6."/>
      <w:lvlJc w:val="left"/>
      <w:pPr>
        <w:tabs>
          <w:tab w:val="num" w:pos="2736"/>
        </w:tabs>
        <w:ind w:left="2736" w:hanging="936"/>
      </w:pPr>
      <w:rPr/>
    </w:lvl>
    <w:lvl w:ilvl="6">
      <w:start w:val="1"/>
      <w:numFmt w:val="decimal"/>
      <w:lvlText w:val="%1.%2.%3.%4.%5.%6.%7."/>
      <w:lvlJc w:val="left"/>
      <w:pPr>
        <w:tabs>
          <w:tab w:val="num" w:pos="3240"/>
        </w:tabs>
        <w:ind w:left="3240" w:hanging="1080"/>
      </w:pPr>
      <w:rPr/>
    </w:lvl>
    <w:lvl w:ilvl="7">
      <w:start w:val="1"/>
      <w:numFmt w:val="decimal"/>
      <w:lvlText w:val="%1.%2.%3.%4.%5.%6.%7.%8."/>
      <w:lvlJc w:val="left"/>
      <w:pPr>
        <w:tabs>
          <w:tab w:val="num" w:pos="3744"/>
        </w:tabs>
        <w:ind w:left="3744" w:hanging="1224"/>
      </w:pPr>
      <w:rPr/>
    </w:lvl>
    <w:lvl w:ilvl="8">
      <w:start w:val="1"/>
      <w:numFmt w:val="decimal"/>
      <w:lvlText w:val="%1.%2.%3.%4.%5.%6.%7.%8.%9."/>
      <w:lvlJc w:val="left"/>
      <w:pPr>
        <w:tabs>
          <w:tab w:val="num" w:pos="4320"/>
        </w:tabs>
        <w:ind w:left="4320" w:hanging="1440"/>
      </w:pPr>
      <w:rPr/>
    </w:lvl>
  </w:abstractNum>
  <w:abstractNum w:abstractNumId="21">
    <w:lvl w:ilvl="0">
      <w:start w:val="1"/>
      <w:numFmt w:val="decimal"/>
      <w:lvlText w:val="%1."/>
      <w:lvlJc w:val="left"/>
      <w:pPr>
        <w:tabs>
          <w:tab w:val="num" w:pos="0"/>
        </w:tabs>
        <w:ind w:left="72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1."/>
      <w:lvlJc w:val="left"/>
      <w:pPr>
        <w:tabs>
          <w:tab w:val="num" w:pos="0"/>
        </w:tabs>
        <w:ind w:left="72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4">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5">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1"/>
    <w:lvlOverride w:ilvl="0">
      <w:startOverride w:val="1"/>
    </w:lvlOverride>
  </w:num>
  <w:num w:numId="28">
    <w:abstractNumId w:val="21"/>
  </w:num>
  <w:num w:numId="29">
    <w:abstractNumId w:val="21"/>
  </w:num>
  <w:num w:numId="30">
    <w:abstractNumId w:val="23"/>
    <w:lvlOverride w:ilvl="0">
      <w:startOverride w:val="1"/>
    </w:lvlOverride>
  </w:num>
  <w:num w:numId="31">
    <w:abstractNumId w:val="23"/>
    <w:lvlOverride w:ilvl="0">
      <w:startOverride w:val="1"/>
    </w:lvlOverride>
  </w:num>
  <w:num w:numId="32">
    <w:abstractNumId w:val="23"/>
  </w:num>
  <w:num w:numId="33">
    <w:abstractNumId w:val="23"/>
  </w:num>
</w:numbering>
</file>

<file path=word/settings.xml><?xml version="1.0" encoding="utf-8"?>
<w:settings xmlns:w="http://schemas.openxmlformats.org/wordprocessingml/2006/main">
  <w:zoom w:percent="100"/>
  <w:defaultTabStop w:val="1296"/>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164f"/>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Antrat1Diagrama"/>
    <w:uiPriority w:val="9"/>
    <w:qFormat/>
    <w:rsid w:val="00eb164f"/>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unhideWhenUsed/>
    <w:qFormat/>
    <w:rsid w:val="00eb164f"/>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eb164f"/>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eb164f"/>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eb164f"/>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eb164f"/>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eb164f"/>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eb164f"/>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eb164f"/>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eb164f"/>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d05666"/>
    <w:rPr>
      <w:strike w:val="false"/>
      <w:dstrike w:val="false"/>
      <w:color w:val="auto"/>
      <w:u w:val="none"/>
      <w:effect w:val="none"/>
    </w:rPr>
  </w:style>
  <w:style w:type="character" w:styleId="PuslapioinaostekstasDiagrama" w:customStyle="1">
    <w:name w:val="Puslapio išnašos tekstas Diagrama"/>
    <w:basedOn w:val="DefaultParagraphFont"/>
    <w:link w:val="FootnoteText"/>
    <w:uiPriority w:val="99"/>
    <w:qFormat/>
    <w:rsid w:val="00d05666"/>
    <w:rPr>
      <w:rFonts w:ascii="Times New Roman" w:hAnsi="Times New Roman"/>
      <w:sz w:val="20"/>
      <w:szCs w:val="20"/>
      <w:lang w:eastAsia="en-US"/>
    </w:rPr>
  </w:style>
  <w:style w:type="character" w:styleId="KomentarotekstasDiagrama" w:customStyle="1">
    <w:name w:val="Komentaro tekstas Diagrama"/>
    <w:basedOn w:val="DefaultParagraphFont"/>
    <w:link w:val="Annotationtext"/>
    <w:uiPriority w:val="99"/>
    <w:qFormat/>
    <w:rsid w:val="00d05666"/>
    <w:rPr>
      <w:rFonts w:ascii="Times New Roman" w:hAnsi="Times New Roman"/>
      <w:sz w:val="20"/>
      <w:szCs w:val="20"/>
      <w:lang w:eastAsia="en-US"/>
    </w:rPr>
  </w:style>
  <w:style w:type="character" w:styleId="PaantratDiagrama" w:customStyle="1">
    <w:name w:val="Paantraštė Diagrama"/>
    <w:basedOn w:val="DefaultParagraphFont"/>
    <w:link w:val="Subtitle"/>
    <w:uiPriority w:val="11"/>
    <w:qFormat/>
    <w:rsid w:val="00eb164f"/>
    <w:rPr>
      <w:caps/>
      <w:color w:themeColor="text1" w:themeTint="bf" w:val="404040"/>
      <w:spacing w:val="20"/>
      <w:sz w:val="28"/>
      <w:szCs w:val="28"/>
    </w:rPr>
  </w:style>
  <w:style w:type="character" w:styleId="SraopastraipaDiagrama" w:customStyle="1">
    <w:name w:val="Sąrašo pastraipa Diagrama"/>
    <w:basedOn w:val="DefaultParagraphFont"/>
    <w:link w:val="ListParagraph"/>
    <w:uiPriority w:val="34"/>
    <w:qFormat/>
    <w:locked/>
    <w:rsid w:val="00d05666"/>
    <w:rPr/>
  </w:style>
  <w:style w:type="character" w:styleId="FootnoteCharacters" w:customStyle="1">
    <w:name w:val="Footnote Characters"/>
    <w:unhideWhenUsed/>
    <w:qFormat/>
    <w:rsid w:val="00d05666"/>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DebesliotekstasDiagrama" w:customStyle="1">
    <w:name w:val="Debesėlio tekstas Diagrama"/>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PagrindinistekstasDiagrama" w:customStyle="1">
    <w:name w:val="Pagrindinis tekstas Diagrama"/>
    <w:basedOn w:val="DefaultParagraphFont"/>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AntratsDiagrama" w:customStyle="1">
    <w:name w:val="Antraštės Diagrama"/>
    <w:basedOn w:val="DefaultParagraphFont"/>
    <w:link w:val="Header"/>
    <w:uiPriority w:val="99"/>
    <w:qFormat/>
    <w:rsid w:val="00f560b4"/>
    <w:rPr>
      <w:rFonts w:ascii="Times New Roman" w:hAnsi="Times New Roman"/>
      <w:sz w:val="24"/>
      <w:szCs w:val="24"/>
      <w:lang w:eastAsia="en-US"/>
    </w:rPr>
  </w:style>
  <w:style w:type="character" w:styleId="PoratDiagrama" w:customStyle="1">
    <w:name w:val="Poraštė Diagrama"/>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themeColor="text1" w:themeTint="a6" w:val="595959"/>
    </w:rPr>
  </w:style>
  <w:style w:type="character" w:styleId="Antrat2Diagrama" w:customStyle="1">
    <w:name w:val="Antraštė 2 Diagrama"/>
    <w:basedOn w:val="DefaultParagraphFont"/>
    <w:link w:val="Heading2"/>
    <w:uiPriority w:val="9"/>
    <w:qFormat/>
    <w:rsid w:val="00eb164f"/>
    <w:rPr>
      <w:rFonts w:ascii="Calibri Light" w:hAnsi="Calibri Light" w:eastAsia="" w:cs=""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eb164f"/>
    <w:rPr>
      <w:rFonts w:ascii="Calibri Light" w:hAnsi="Calibri Light" w:eastAsia="" w:cs=""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eb164f"/>
    <w:rPr>
      <w:rFonts w:ascii="Calibri Light" w:hAnsi="Calibri Light" w:eastAsia="" w:cs=""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eb164f"/>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eb164f"/>
    <w:rPr>
      <w:rFonts w:ascii="Calibri Light" w:hAnsi="Calibri Light" w:eastAsia="" w:cs=""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eb164f"/>
    <w:rPr>
      <w:rFonts w:ascii="Calibri Light" w:hAnsi="Calibri Light" w:eastAsia="" w:cs="" w:asciiTheme="majorHAnsi" w:cstheme="majorBidi" w:eastAsiaTheme="majorEastAsia" w:hAnsiTheme="majorHAnsi"/>
      <w:color w:themeColor="text1" w:themeTint="d9" w:val="262626"/>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themeColor="text1" w:val="000000"/>
    </w:rPr>
  </w:style>
  <w:style w:type="character" w:styleId="CitataDiagrama" w:customStyle="1">
    <w:name w:val="Citata Diagrama"/>
    <w:basedOn w:val="DefaultParagraphFont"/>
    <w:link w:val="Quote"/>
    <w:uiPriority w:val="29"/>
    <w:qFormat/>
    <w:rsid w:val="00eb164f"/>
    <w:rPr>
      <w:rFonts w:ascii="Calibri Light" w:hAnsi="Calibri Light" w:eastAsia="" w:cs=""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eb164f"/>
    <w:rPr>
      <w:rFonts w:ascii="Calibri Light" w:hAnsi="Calibri Light" w:eastAsia="" w:cs="" w:asciiTheme="majorHAnsi" w:cstheme="majorBidi" w:eastAsiaTheme="majorEastAsia" w:hAnsiTheme="majorHAnsi"/>
      <w:sz w:val="24"/>
      <w:szCs w:val="24"/>
    </w:rPr>
  </w:style>
  <w:style w:type="character" w:styleId="IntenseEmphasis">
    <w:name w:val="Intense Emphasis"/>
    <w:basedOn w:val="DefaultParagraphFont"/>
    <w:uiPriority w:val="21"/>
    <w:qFormat/>
    <w:rsid w:val="00eb164f"/>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eb164f"/>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styleId="BetarpDiagrama" w:customStyle="1">
    <w:name w:val="Be tarpų Diagrama"/>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themeColor="followedHyperlink" w:val="954F72"/>
      <w:u w:val="single"/>
    </w:rPr>
  </w:style>
  <w:style w:type="character" w:styleId="DokumentoinaostekstasDiagrama" w:customStyle="1">
    <w:name w:val="Dokumento išnašos tekstas Diagrama"/>
    <w:basedOn w:val="DefaultParagraphFont"/>
    <w:link w:val="EndnoteText"/>
    <w:uiPriority w:val="99"/>
    <w:semiHidden/>
    <w:qFormat/>
    <w:rsid w:val="00482bc0"/>
    <w:rPr>
      <w:sz w:val="20"/>
      <w:szCs w:val="20"/>
    </w:rPr>
  </w:style>
  <w:style w:type="character" w:styleId="EndnoteCharacters" w:customStyle="1">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a4394e"/>
    <w:rPr/>
  </w:style>
  <w:style w:type="character" w:styleId="Cf01" w:customStyle="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fill="E6E6E6" w:val="clear"/>
    </w:rPr>
  </w:style>
  <w:style w:type="character" w:styleId="Paragrafesrasas2lygisDiagrama" w:customStyle="1">
    <w:name w:val="_paragrafe sąrasas 2 lygis Diagrama"/>
    <w:basedOn w:val="DefaultParagraphFont"/>
    <w:link w:val="Paragrafesrasas2lygis"/>
    <w:qFormat/>
    <w:rsid w:val="00210870"/>
    <w:rPr>
      <w:rFonts w:ascii="Times New Roman" w:hAnsi="Times New Roman" w:eastAsia="Times New Roman" w:cs="Times New Roman"/>
      <w:sz w:val="22"/>
      <w:szCs w:val="22"/>
      <w:lang w:eastAsia="en-US"/>
    </w:rPr>
  </w:style>
  <w:style w:type="character" w:styleId="Pagrindiniotekstotrauka2Diagrama" w:customStyle="1">
    <w:name w:val="Pagrindinio teksto įtrauka 2 Diagrama"/>
    <w:basedOn w:val="DefaultParagraphFont"/>
    <w:link w:val="BodyTextIndent2"/>
    <w:uiPriority w:val="99"/>
    <w:semiHidden/>
    <w:qFormat/>
    <w:rsid w:val="00210870"/>
    <w:rPr/>
  </w:style>
  <w:style w:type="character" w:styleId="Cf11" w:customStyle="1">
    <w:name w:val="cf11"/>
    <w:basedOn w:val="DefaultParagraphFont"/>
    <w:qFormat/>
    <w:rsid w:val="0067282a"/>
    <w:rPr>
      <w:rFonts w:ascii="Segoe UI" w:hAnsi="Segoe UI" w:cs="Segoe UI"/>
      <w:color w:val="0000FF"/>
      <w:sz w:val="18"/>
      <w:szCs w:val="18"/>
    </w:rPr>
  </w:style>
  <w:style w:type="character" w:styleId="Cf21" w:customStyle="1">
    <w:name w:val="cf21"/>
    <w:basedOn w:val="DefaultParagraphFont"/>
    <w:qFormat/>
    <w:rsid w:val="0067282a"/>
    <w:rPr>
      <w:rFonts w:ascii="Segoe UI" w:hAnsi="Segoe UI" w:cs="Segoe UI"/>
      <w:color w:val="538135"/>
      <w:sz w:val="18"/>
      <w:szCs w:val="18"/>
    </w:rPr>
  </w:style>
  <w:style w:type="character" w:styleId="Eop" w:customStyle="1">
    <w:name w:val="eop"/>
    <w:basedOn w:val="DefaultParagraphFont"/>
    <w:qFormat/>
    <w:rsid w:val="00031e45"/>
    <w:rPr/>
  </w:style>
  <w:style w:type="character" w:styleId="Normaltextrun" w:customStyle="1">
    <w:name w:val="normaltextrun"/>
    <w:basedOn w:val="DefaultParagraphFont"/>
    <w:qFormat/>
    <w:rsid w:val="005410f2"/>
    <w:rPr/>
  </w:style>
  <w:style w:type="character" w:styleId="Skaiiai2lygisChar" w:customStyle="1">
    <w:name w:val="Skaičiai_2 lygis Char"/>
    <w:basedOn w:val="DefaultParagraphFont"/>
    <w:link w:val="Skaiiai2lygis"/>
    <w:qFormat/>
    <w:locked/>
    <w:rsid w:val="00f575f9"/>
    <w:rPr>
      <w:color w:val="000000"/>
    </w:rPr>
  </w:style>
  <w:style w:type="character" w:styleId="IndexLink" w:customStyle="1">
    <w:name w:val="Index Link"/>
    <w:qFormat/>
    <w:rPr/>
  </w:style>
  <w:style w:type="character" w:styleId="Numatytasispastraiposriftas1" w:customStyle="1">
    <w:name w:val="Numatytasis pastraipos šriftas1"/>
    <w:qFormat/>
    <w:rsid w:val="00810117"/>
    <w:rPr/>
  </w:style>
  <w:style w:type="paragraph" w:styleId="Heading" w:customStyle="1">
    <w:name w:val="Heading"/>
    <w:next w:val="Body2"/>
    <w:qFormat/>
    <w:rsid w:val="00072fe6"/>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PagrindinistekstasDiagrama"/>
    <w:rsid w:val="00fa144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FootnoteText">
    <w:name w:val="Footnote Text"/>
    <w:basedOn w:val="Normal"/>
    <w:link w:val="PuslapioinaostekstasDiagrama"/>
    <w:uiPriority w:val="99"/>
    <w:unhideWhenUsed/>
    <w:qFormat/>
    <w:rsid w:val="00d05666"/>
    <w:pPr/>
    <w:rPr>
      <w:sz w:val="20"/>
      <w:szCs w:val="20"/>
    </w:rPr>
  </w:style>
  <w:style w:type="paragraph" w:styleId="Annotationtext">
    <w:name w:val="annotation text"/>
    <w:basedOn w:val="Normal"/>
    <w:link w:val="KomentarotekstasDiagrama"/>
    <w:unhideWhenUsed/>
    <w:qFormat/>
    <w:rsid w:val="00d05666"/>
    <w:pPr/>
    <w:rPr>
      <w:sz w:val="20"/>
      <w:szCs w:val="20"/>
    </w:rPr>
  </w:style>
  <w:style w:type="paragraph" w:styleId="Subtitle">
    <w:name w:val="Subtitle"/>
    <w:basedOn w:val="Normal"/>
    <w:next w:val="Normal"/>
    <w:link w:val="PaantratDiagrama"/>
    <w:uiPriority w:val="11"/>
    <w:qFormat/>
    <w:rsid w:val="00eb164f"/>
    <w:pPr>
      <w:spacing w:before="0" w:after="240"/>
    </w:pPr>
    <w:rPr>
      <w:caps/>
      <w:color w:themeColor="text1" w:themeTint="bf" w:val="404040"/>
      <w:spacing w:val="20"/>
      <w:sz w:val="28"/>
      <w:szCs w:val="28"/>
    </w:rPr>
  </w:style>
  <w:style w:type="paragraph" w:styleId="ListParagraph">
    <w:name w:val="List Paragraph"/>
    <w:basedOn w:val="Normal"/>
    <w:link w:val="SraopastraipaDiagrama"/>
    <w:uiPriority w:val="34"/>
    <w:qFormat/>
    <w:rsid w:val="001c4f12"/>
    <w:pPr>
      <w:spacing w:before="0" w:after="160"/>
      <w:ind w:left="720"/>
      <w:contextualSpacing/>
    </w:pPr>
    <w:rPr/>
  </w:style>
  <w:style w:type="paragraph" w:styleId="BalloonText">
    <w:name w:val="Balloon Text"/>
    <w:basedOn w:val="Normal"/>
    <w:link w:val="DebesliotekstasDiagrama"/>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fb3d71"/>
    <w:pPr/>
    <w:rPr>
      <w:b/>
      <w:bCs/>
    </w:rPr>
  </w:style>
  <w:style w:type="paragraph" w:styleId="NormalWeb">
    <w:name w:val="Normal (Web)"/>
    <w:basedOn w:val="Normal"/>
    <w:uiPriority w:val="99"/>
    <w:semiHidden/>
    <w:unhideWhenUsed/>
    <w:qFormat/>
    <w:rsid w:val="00ec3339"/>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f560b4"/>
    <w:pPr>
      <w:tabs>
        <w:tab w:val="clear" w:pos="1296"/>
        <w:tab w:val="center" w:pos="4513" w:leader="none"/>
        <w:tab w:val="right" w:pos="9026" w:leader="none"/>
      </w:tabs>
    </w:pPr>
    <w:rPr/>
  </w:style>
  <w:style w:type="paragraph" w:styleId="Footer">
    <w:name w:val="Footer"/>
    <w:basedOn w:val="Normal"/>
    <w:link w:val="PoratDiagrama"/>
    <w:uiPriority w:val="99"/>
    <w:unhideWhenUsed/>
    <w:rsid w:val="00f560b4"/>
    <w:pPr>
      <w:tabs>
        <w:tab w:val="clear" w:pos="1296"/>
        <w:tab w:val="center" w:pos="4513" w:leader="none"/>
        <w:tab w:val="right" w:pos="9026" w:leader="none"/>
      </w:tabs>
    </w:pPr>
    <w:rPr/>
  </w:style>
  <w:style w:type="paragraph" w:styleId="Revision">
    <w:name w:val="Revision"/>
    <w:uiPriority w:val="99"/>
    <w:semiHidden/>
    <w:qFormat/>
    <w:rsid w:val="00e42587"/>
    <w:pPr>
      <w:widowControl/>
      <w:suppressAutoHyphens w:val="true"/>
      <w:bidi w:val="0"/>
      <w:spacing w:before="0" w:after="0"/>
      <w:jc w:val="left"/>
    </w:pPr>
    <w:rPr>
      <w:rFonts w:ascii="Times New Roman" w:hAnsi="Times New Roman" w:eastAsia="" w:cs="" w:cstheme="minorBidi" w:eastAsiaTheme="minorEastAsia"/>
      <w:color w:val="auto"/>
      <w:kern w:val="0"/>
      <w:sz w:val="24"/>
      <w:szCs w:val="24"/>
      <w:lang w:eastAsia="en-US" w:val="lt-LT" w:bidi="ar-SA"/>
    </w:rPr>
  </w:style>
  <w:style w:type="paragraph" w:styleId="Caption11" w:customStyle="1">
    <w:name w:val="caption11"/>
    <w:basedOn w:val="Normal"/>
    <w:next w:val="Normal"/>
    <w:uiPriority w:val="35"/>
    <w:semiHidden/>
    <w:unhideWhenUsed/>
    <w:qFormat/>
    <w:rsid w:val="00eb164f"/>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eb164f"/>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eb164f"/>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CitataDiagrama"/>
    <w:uiPriority w:val="29"/>
    <w:qFormat/>
    <w:rsid w:val="00eb164f"/>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eb164f"/>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1">
    <w:name w:val="index heading1"/>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eb164f"/>
    <w:pPr>
      <w:outlineLvl w:val="9"/>
    </w:pPr>
    <w:rPr/>
  </w:style>
  <w:style w:type="paragraph" w:styleId="TOC1">
    <w:name w:val="TOC 1"/>
    <w:basedOn w:val="Normal"/>
    <w:next w:val="Normal"/>
    <w:autoRedefine/>
    <w:uiPriority w:val="39"/>
    <w:unhideWhenUsed/>
    <w:rsid w:val="007e0a9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485e23"/>
    <w:pPr>
      <w:tabs>
        <w:tab w:val="clear" w:pos="1296"/>
        <w:tab w:val="right" w:pos="9962" w:leader="dot"/>
      </w:tabs>
      <w:spacing w:before="0" w:after="0"/>
      <w:ind w:left="220"/>
    </w:pPr>
    <w:rPr/>
  </w:style>
  <w:style w:type="paragraph" w:styleId="S1lygis" w:customStyle="1">
    <w:name w:val="_S 1 lygis"/>
    <w:basedOn w:val="Normal"/>
    <w:qFormat/>
    <w:rsid w:val="00bc0ec9"/>
    <w:pPr>
      <w:numPr>
        <w:ilvl w:val="0"/>
        <w:numId w:val="2"/>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2"/>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Text">
    <w:name w:val="Endnote Text"/>
    <w:basedOn w:val="Normal"/>
    <w:link w:val="DokumentoinaostekstasDiagrama"/>
    <w:uiPriority w:val="99"/>
    <w:semiHidden/>
    <w:unhideWhenUsed/>
    <w:rsid w:val="00482bc0"/>
    <w:pPr>
      <w:spacing w:lineRule="auto" w:line="240" w:before="0" w:after="0"/>
    </w:pPr>
    <w:rPr>
      <w:sz w:val="20"/>
      <w:szCs w:val="20"/>
    </w:rPr>
  </w:style>
  <w:style w:type="paragraph" w:styleId="Normal12pt" w:customStyle="1">
    <w:name w:val="Normal + 12 pt"/>
    <w:basedOn w:val="Normal"/>
    <w:link w:val="Normal12ptChar"/>
    <w:qFormat/>
    <w:rsid w:val="00a4394e"/>
    <w:pPr>
      <w:spacing w:lineRule="auto" w:line="240" w:before="0" w:after="0"/>
      <w:ind w:right="-283"/>
      <w:jc w:val="both"/>
    </w:pPr>
    <w:rPr/>
  </w:style>
  <w:style w:type="paragraph" w:styleId="Pf0" w:customStyle="1">
    <w:name w:val="pf0"/>
    <w:basedOn w:val="Normal"/>
    <w:qFormat/>
    <w:rsid w:val="009743d3"/>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210870"/>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210870"/>
    <w:pPr>
      <w:spacing w:lineRule="auto" w:line="480" w:before="0" w:after="120"/>
      <w:ind w:left="283"/>
    </w:pPr>
    <w:rPr/>
  </w:style>
  <w:style w:type="paragraph" w:styleId="Skaiiai2lygis" w:customStyle="1">
    <w:name w:val="Skaičiai_2 lygis"/>
    <w:basedOn w:val="Normal"/>
    <w:link w:val="Skaiiai2lygisChar"/>
    <w:qFormat/>
    <w:rsid w:val="00f575f9"/>
    <w:pPr>
      <w:numPr>
        <w:ilvl w:val="1"/>
        <w:numId w:val="20"/>
      </w:numPr>
      <w:spacing w:lineRule="auto" w:line="240" w:before="0" w:after="0"/>
      <w:jc w:val="both"/>
    </w:pPr>
    <w:rPr>
      <w:color w:val="000000"/>
    </w:rPr>
  </w:style>
  <w:style w:type="paragraph" w:styleId="Paragraph" w:customStyle="1">
    <w:name w:val="paragraph"/>
    <w:basedOn w:val="Normal"/>
    <w:qFormat/>
    <w:rsid w:val="00fb24f9"/>
    <w:pPr>
      <w:spacing w:lineRule="auto" w:line="240" w:before="100" w:after="100"/>
      <w:textAlignment w:val="baseline"/>
    </w:pPr>
    <w:rPr>
      <w:rFonts w:ascii="Times New Roman" w:hAnsi="Times New Roman" w:eastAsia="Times New Roman" w:cs="Times New Roman"/>
      <w:sz w:val="24"/>
      <w:szCs w:val="24"/>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Prastasis1" w:customStyle="1">
    <w:name w:val="Įprastasis1"/>
    <w:qFormat/>
    <w:rsid w:val="00810117"/>
    <w:pPr>
      <w:widowControl/>
      <w:suppressAutoHyphens w:val="true"/>
      <w:bidi w:val="0"/>
      <w:spacing w:lineRule="auto" w:line="252" w:before="0" w:after="160"/>
      <w:jc w:val="left"/>
    </w:pPr>
    <w:rPr>
      <w:rFonts w:eastAsia="Calibri" w:cs="Calibri" w:eastAsiaTheme="minorHAnsi" w:ascii="Calibri" w:hAnsi="Calibri"/>
      <w:color w:val="auto"/>
      <w:kern w:val="0"/>
      <w:sz w:val="22"/>
      <w:szCs w:val="22"/>
      <w:lang w:eastAsia="en-US" w:val="lt-LT" w:bidi="ar-SA"/>
    </w:rPr>
  </w:style>
  <w:style w:type="paragraph" w:styleId="Standard" w:customStyle="1">
    <w:name w:val="Standard"/>
    <w:qFormat/>
    <w:rsid w:val="00810117"/>
    <w:pPr>
      <w:widowControl/>
      <w:suppressAutoHyphens w:val="true"/>
      <w:bidi w:val="0"/>
      <w:spacing w:before="0" w:after="0"/>
      <w:jc w:val="left"/>
    </w:pPr>
    <w:rPr>
      <w:rFonts w:ascii="Calibri" w:hAnsi="Calibri" w:eastAsia="Times New Roman" w:cs="Times New Roman" w:asciiTheme="minorHAnsi" w:hAnsiTheme="minorHAnsi"/>
      <w:color w:val="auto"/>
      <w:kern w:val="2"/>
      <w:sz w:val="22"/>
      <w:szCs w:val="24"/>
      <w:lang w:val="lt-LT" w:eastAsia="lt-LT" w:bidi="ar-SA"/>
    </w:rPr>
  </w:style>
  <w:style w:type="paragraph" w:styleId="Footnote" w:customStyle="1">
    <w:name w:val="Footnote"/>
    <w:basedOn w:val="Standard"/>
    <w:qFormat/>
    <w:rsid w:val="00810117"/>
    <w:pPr/>
    <w:rPr>
      <w:sz w:val="20"/>
      <w:szCs w:val="20"/>
    </w:rPr>
  </w:style>
  <w:style w:type="paragraph" w:styleId="Sraopastraipa1" w:customStyle="1">
    <w:name w:val="Sąrašo pastraipa1"/>
    <w:basedOn w:val="Standard"/>
    <w:qFormat/>
    <w:rsid w:val="00810117"/>
    <w:pPr>
      <w:ind w:left="720"/>
    </w:pPr>
    <w:rPr/>
  </w:style>
  <w:style w:type="numbering" w:styleId="NoList" w:default="1">
    <w:name w:val="No List"/>
    <w:uiPriority w:val="99"/>
    <w:semiHidden/>
    <w:unhideWhenUsed/>
    <w:qFormat/>
  </w:style>
  <w:style w:type="numbering" w:styleId="List51" w:customStyle="1">
    <w:name w:val="List 51"/>
    <w:qFormat/>
    <w:rsid w:val="00197943"/>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d05666"/>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0e6657"/>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2f396f"/>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prastojilentel"/>
    <w:rsid w:val="0068660c"/>
    <w:rPr>
      <w:lang w:eastAsia="en-US"/>
      <w:sz w:val="20"/>
      <w:szCs w:val="20"/>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prastojilentel"/>
    <w:uiPriority w:val="39"/>
    <w:qFormat/>
    <w:rsid w:val="00ff3f13"/>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t/legalAct/TAR.4B60A8C9678B/as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s://ec.europa.eu/tools/ecertis/" TargetMode="External"/><Relationship Id="rId7" Type="http://schemas.openxmlformats.org/officeDocument/2006/relationships/hyperlink" Target="http://draudejai.sodra.lt/draudeju_viesi_duomenys/" TargetMode="External"/><Relationship Id="rId8" Type="http://schemas.openxmlformats.org/officeDocument/2006/relationships/hyperlink" Target="https://vpt.lrv.lt/lt/nuorodos/kiti-duomenys/powerbi/melaginga-informacija-pateikusiu-tiekeju-sarasas-3/" TargetMode="External"/><Relationship Id="rId9" Type="http://schemas.openxmlformats.org/officeDocument/2006/relationships/hyperlink" Target="https://vpt.lrv.lt/lt/nuorodos/kiti-duomenys/powerbi/nepatikimi-tiekejai-1/" TargetMode="External"/><Relationship Id="rId10" Type="http://schemas.openxmlformats.org/officeDocument/2006/relationships/hyperlink" Target="https://vpt.lrv.lt/lt/pasalinimo-pagrindai-1/nepatikimu-koncesininku-sarasas-1/nepatikimu-koncesininku-sarasas/" TargetMode="External"/><Relationship Id="rId11" Type="http://schemas.openxmlformats.org/officeDocument/2006/relationships/hyperlink" Target="https://www.registrucentras.lt/jar/p/index.php" TargetMode="External"/><Relationship Id="rId12" Type="http://schemas.openxmlformats.org/officeDocument/2006/relationships/hyperlink" Target="https://vpt.lrv.lt/lt/naujienos-3/finansiniu-ataskaitu-nepateikimas-gali-tapti-kliutimi-dalyvauti-viesuosiuose-pirkimuose/" TargetMode="External"/><Relationship Id="rId13" Type="http://schemas.openxmlformats.org/officeDocument/2006/relationships/hyperlink" Target="https://www.vmi.lt/evmi/mokesciu-moketoju-informacija" TargetMode="External"/><Relationship Id="rId14" Type="http://schemas.openxmlformats.org/officeDocument/2006/relationships/hyperlink" Target="https://kt.gov.lt/lt/atviri-duomenys/diskvalifikavimas-is-viesuju-pirkimu" TargetMode="Externa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Relationship Id="rId25" Type="http://schemas.openxmlformats.org/officeDocument/2006/relationships/customXml" Target="../customXml/item2.xml"/><Relationship Id="rId26" Type="http://schemas.openxmlformats.org/officeDocument/2006/relationships/customXml" Target="../customXml/item3.xml"/><Relationship Id="rId27"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E3B39-F8C5-4B96-AE40-0ABD20D6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2948</TotalTime>
  <Application>LibreOffice/7.6.4.1$Windows_X86_64 LibreOffice_project/e19e193f88cd6c0525a17fb7a176ed8e6a3e2aa1</Application>
  <AppVersion>15.0000</AppVersion>
  <Pages>20</Pages>
  <Words>7093</Words>
  <Characters>50574</Characters>
  <CharactersWithSpaces>57213</CharactersWithSpaces>
  <Paragraphs>490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2024-11-28T07:07:00Z</dcterms:created>
  <dc:creator/>
  <dc:description/>
  <dc:language>en-US</dc:language>
  <cp:lastModifiedBy>Juratė Miceikienė</cp:lastModifiedBy>
  <dcterms:modified xsi:type="dcterms:W3CDTF">2025-04-02T04:48:00Z</dcterms:modified>
  <cp:revision>142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