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80"/>
        <w:ind w:left="5103"/>
        <w:rPr>
          <w:rFonts w:ascii="Times New Roman" w:hAnsi="Times New Roman" w:eastAsia="Calibri" w:cs="Times New Roman"/>
          <w:color w:val="0070C0"/>
          <w:sz w:val="21"/>
          <w:szCs w:val="21"/>
        </w:rPr>
      </w:pPr>
      <w:bookmarkStart w:id="0" w:name="_Toc185177413"/>
      <w:bookmarkStart w:id="1" w:name="_Ref38899023"/>
      <w:bookmarkStart w:id="2" w:name="_Ref38885053"/>
      <w:bookmarkStart w:id="3" w:name="_Ref38541068"/>
      <w:bookmarkStart w:id="4" w:name="_Ref38539939"/>
      <w:r>
        <w:rPr>
          <w:rFonts w:eastAsia="Calibri" w:cs="Times New Roman" w:ascii="Times New Roman" w:hAnsi="Times New Roman"/>
          <w:color w:val="0070C0"/>
          <w:sz w:val="21"/>
          <w:szCs w:val="21"/>
        </w:rPr>
        <w:t>Pirkimo sąlygų 2 priedas „Techninė specifikacija“</w:t>
      </w:r>
      <w:bookmarkEnd w:id="0"/>
      <w:bookmarkEnd w:id="1"/>
      <w:bookmarkEnd w:id="2"/>
      <w:bookmarkEnd w:id="3"/>
      <w:bookmarkEnd w:id="4"/>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TECHNINĖ SPECIFIKACIJA</w:t>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I DALIS</w:t>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ĮVADINĖ INFORMACIJA APIE PROJEKTĄ</w:t>
      </w:r>
    </w:p>
    <w:p>
      <w:pPr>
        <w:pStyle w:val="Normal"/>
        <w:numPr>
          <w:ilvl w:val="0"/>
          <w:numId w:val="4"/>
        </w:numPr>
        <w:jc w:val="both"/>
        <w:rPr>
          <w:rFonts w:ascii="Times New Roman" w:hAnsi="Times New Roman" w:cs="Times New Roman"/>
          <w:sz w:val="24"/>
          <w:szCs w:val="24"/>
        </w:rPr>
      </w:pPr>
      <w:r>
        <w:rPr>
          <w:rFonts w:cs="Times New Roman" w:ascii="Times New Roman" w:hAnsi="Times New Roman"/>
          <w:sz w:val="24"/>
          <w:szCs w:val="24"/>
        </w:rPr>
        <w:t>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Nr. 09-018-P-0001 (toliau – Projektas).</w:t>
      </w:r>
    </w:p>
    <w:p>
      <w:pPr>
        <w:pStyle w:val="Normal"/>
        <w:numPr>
          <w:ilvl w:val="0"/>
          <w:numId w:val="2"/>
        </w:numPr>
        <w:jc w:val="both"/>
        <w:rPr>
          <w:rFonts w:ascii="Times New Roman" w:hAnsi="Times New Roman" w:cs="Times New Roman"/>
          <w:sz w:val="24"/>
          <w:szCs w:val="24"/>
        </w:rPr>
      </w:pPr>
      <w:r>
        <w:rPr>
          <w:rFonts w:cs="Times New Roman" w:ascii="Times New Roman" w:hAnsi="Times New Roman"/>
          <w:sz w:val="24"/>
          <w:szCs w:val="24"/>
        </w:rPr>
        <w:t>Projekto veiklos:</w:t>
      </w:r>
    </w:p>
    <w:p>
      <w:pPr>
        <w:pStyle w:val="Normal"/>
        <w:numPr>
          <w:ilvl w:val="1"/>
          <w:numId w:val="2"/>
        </w:numPr>
        <w:jc w:val="both"/>
        <w:rPr>
          <w:rFonts w:ascii="Times New Roman" w:hAnsi="Times New Roman" w:cs="Times New Roman"/>
          <w:sz w:val="24"/>
          <w:szCs w:val="24"/>
        </w:rPr>
      </w:pPr>
      <w:r>
        <w:rPr>
          <w:rFonts w:cs="Times New Roman" w:ascii="Times New Roman" w:hAnsi="Times New Roman"/>
          <w:sz w:val="24"/>
          <w:szCs w:val="24"/>
        </w:rPr>
        <w:t>Specialistų mokymas ir kvalifikacijos kėlimas Sostinės regione (Vilniaus apskritis);</w:t>
      </w:r>
    </w:p>
    <w:p>
      <w:pPr>
        <w:pStyle w:val="Normal"/>
        <w:numPr>
          <w:ilvl w:val="1"/>
          <w:numId w:val="2"/>
        </w:numPr>
        <w:jc w:val="both"/>
        <w:rPr>
          <w:rFonts w:ascii="Times New Roman" w:hAnsi="Times New Roman" w:cs="Times New Roman"/>
          <w:sz w:val="24"/>
          <w:szCs w:val="24"/>
        </w:rPr>
      </w:pPr>
      <w:r>
        <w:rPr>
          <w:rFonts w:cs="Times New Roman" w:ascii="Times New Roman" w:hAnsi="Times New Roman"/>
          <w:sz w:val="24"/>
          <w:szCs w:val="24"/>
        </w:rPr>
        <w:t xml:space="preserve">Specialistų mokymas ir kvalifikacijos kėlimas </w:t>
      </w:r>
      <w:bookmarkStart w:id="5" w:name="_Hlk159074911"/>
      <w:r>
        <w:rPr>
          <w:rFonts w:cs="Times New Roman" w:ascii="Times New Roman" w:hAnsi="Times New Roman"/>
          <w:sz w:val="24"/>
          <w:szCs w:val="24"/>
        </w:rPr>
        <w:t>Vidurio ir vakarų Lietuvos regione (visos apskritys, išskyrus Vilniaus apskritį).</w:t>
      </w:r>
    </w:p>
    <w:p>
      <w:pPr>
        <w:pStyle w:val="Normal"/>
        <w:numPr>
          <w:ilvl w:val="1"/>
          <w:numId w:val="2"/>
        </w:numPr>
        <w:jc w:val="both"/>
        <w:rPr>
          <w:rFonts w:ascii="Times New Roman" w:hAnsi="Times New Roman" w:cs="Times New Roman"/>
          <w:sz w:val="24"/>
          <w:szCs w:val="24"/>
        </w:rPr>
      </w:pPr>
      <w:r>
        <w:rPr>
          <w:rFonts w:cs="Times New Roman" w:ascii="Times New Roman" w:hAnsi="Times New Roman"/>
          <w:sz w:val="24"/>
          <w:szCs w:val="24"/>
        </w:rPr>
        <w:t>Projekto poveiklė – Mokymų programų analizė ir parengimas.</w:t>
      </w:r>
      <w:bookmarkEnd w:id="5"/>
    </w:p>
    <w:p>
      <w:pPr>
        <w:pStyle w:val="Normal"/>
        <w:numPr>
          <w:ilvl w:val="0"/>
          <w:numId w:val="2"/>
        </w:numPr>
        <w:jc w:val="both"/>
        <w:rPr>
          <w:rFonts w:ascii="Times New Roman" w:hAnsi="Times New Roman" w:cs="Times New Roman"/>
          <w:sz w:val="24"/>
          <w:szCs w:val="24"/>
        </w:rPr>
      </w:pPr>
      <w:bookmarkStart w:id="6" w:name="_Hlk159080123"/>
      <w:r>
        <w:rPr>
          <w:rFonts w:cs="Times New Roman" w:ascii="Times New Roman" w:hAnsi="Times New Roman"/>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6"/>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sz w:val="24"/>
          <w:szCs w:val="24"/>
        </w:rPr>
      </w:pPr>
      <w:r>
        <w:rPr>
          <w:rFonts w:cs="Times New Roman" w:ascii="Times New Roman" w:hAnsi="Times New Roman"/>
          <w:b/>
          <w:sz w:val="24"/>
          <w:szCs w:val="24"/>
        </w:rPr>
        <w:t>I SKYRIUS</w:t>
      </w:r>
    </w:p>
    <w:p>
      <w:pPr>
        <w:pStyle w:val="Normal"/>
        <w:jc w:val="center"/>
        <w:rPr>
          <w:rFonts w:ascii="Times New Roman" w:hAnsi="Times New Roman" w:cs="Times New Roman"/>
          <w:sz w:val="24"/>
          <w:szCs w:val="24"/>
        </w:rPr>
      </w:pPr>
      <w:r>
        <w:rPr>
          <w:rFonts w:cs="Times New Roman" w:ascii="Times New Roman" w:hAnsi="Times New Roman"/>
          <w:b/>
          <w:sz w:val="24"/>
          <w:szCs w:val="24"/>
        </w:rPr>
        <w:t>BENDRA INFORMACIJA APIE PIRKIMĄ</w:t>
      </w:r>
    </w:p>
    <w:p>
      <w:pPr>
        <w:pStyle w:val="Normal"/>
        <w:numPr>
          <w:ilvl w:val="0"/>
          <w:numId w:val="5"/>
        </w:numPr>
        <w:jc w:val="both"/>
        <w:rPr>
          <w:rFonts w:ascii="Times New Roman" w:hAnsi="Times New Roman" w:cs="Times New Roman"/>
          <w:sz w:val="24"/>
          <w:szCs w:val="24"/>
        </w:rPr>
      </w:pPr>
      <w:r>
        <w:rPr>
          <w:rFonts w:cs="Times New Roman" w:ascii="Times New Roman" w:hAnsi="Times New Roman"/>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Pirkimo objektas – nuotolinių mokymų, tema „Užkrečiamųjų ligų valdymas skiepijimais ir pasitikėjimo skiepais didinimas“, parengimo paslaugos (toliau – Paslaugos), kurios apima: mokymų programos, mokymų medžiagos turinio ir nuotolinių mokymų (toliau – e. mokymai), kūrimą.</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 xml:space="preserve">Nuotolinių mokymų tikslas – suteikti informaciją sveikatos priežiūros specialistams apie skiepijimo pagrindus, skiepais valdomas ligas, jų profilaktiką ir valdymą, skiepijimo aprėpčių didinimą ir komunikaciją. </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Mokymų tikslinė grupė (toliau – tikslinė grupė): medicinos gydytojai (visos profesinės kvalifikacijos), bendrosios praktikos slaugytojai (visos specializacijos), išplėstinės praktikos slaugytojai, akušeriai, šeimų lankymo specialistai, visuomenės sveikatos specialistai.</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Paslaugų tiekėjas (toliau – Tiekėjas) turi įgyvendinti Techninėje specifikacijoje numatytus reikalavimus per 5 (penkis) mėnesius nuo sutarties įsigaliojimo dienos.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bookmarkStart w:id="7" w:name="_Hlk77258429"/>
      <w:r>
        <w:rPr>
          <w:rFonts w:cs="Times New Roman" w:ascii="Times New Roman" w:hAnsi="Times New Roman"/>
          <w:b/>
          <w:sz w:val="24"/>
          <w:szCs w:val="24"/>
        </w:rPr>
        <w:t>II SKYRIUS</w:t>
      </w:r>
    </w:p>
    <w:p>
      <w:pPr>
        <w:pStyle w:val="Normal"/>
        <w:jc w:val="center"/>
        <w:rPr>
          <w:rFonts w:ascii="Times New Roman" w:hAnsi="Times New Roman" w:cs="Times New Roman"/>
          <w:sz w:val="24"/>
          <w:szCs w:val="24"/>
        </w:rPr>
      </w:pPr>
      <w:r>
        <w:rPr>
          <w:rFonts w:cs="Times New Roman" w:ascii="Times New Roman" w:hAnsi="Times New Roman"/>
          <w:b/>
          <w:sz w:val="24"/>
          <w:szCs w:val="24"/>
        </w:rPr>
        <w:t>BENDRIEJI REIKALAVIMAI NUOTOLINIŲ MOKYMŲ PROGRAMOS RENGIMUI</w:t>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Reikalavimai mokymų programos turiniui:</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Mokymų programa turi būti parengta vadovaujantis Sveikatos priežiūros ir farmacijos specialistų profesinės kvalifikacijos tobulinimo programų ir vienkartinių profesinės kvalifikacijos tobulinimo renginių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Mokymo programos trukmė 16 val.;</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Mokymo programą turi sudaryti šios temos:</w:t>
      </w:r>
    </w:p>
    <w:p>
      <w:pPr>
        <w:pStyle w:val="Normal"/>
        <w:numPr>
          <w:ilvl w:val="2"/>
          <w:numId w:val="1"/>
        </w:numPr>
        <w:jc w:val="both"/>
        <w:rPr>
          <w:rFonts w:ascii="Times New Roman" w:hAnsi="Times New Roman" w:cs="Times New Roman"/>
          <w:sz w:val="24"/>
          <w:szCs w:val="24"/>
        </w:rPr>
      </w:pPr>
      <w:r>
        <w:rPr>
          <w:rFonts w:cs="Times New Roman" w:ascii="Times New Roman" w:hAnsi="Times New Roman"/>
          <w:sz w:val="24"/>
          <w:szCs w:val="24"/>
        </w:rPr>
        <w:t>Vakcinomis valdomų ligų epidemiologija ir jų valdymo ir profilaktikos pagrindiniai principai. Pagrindiniai skiepijimo principai: vakcinų rūšys, specifinio imuniteto susidarymas, vakcinų saugumas ir efektyvumas, vakcinų derinimas. Individualaus skiepijimo kalendoriaus sudarymas. Komunikacijos su gyventojais apie vakcinaciją principai (mitai apie skiepijimus, dažniausiai užduodami klausimai, pagrindinės žinutės) (trukmė – 8 val.);</w:t>
      </w:r>
    </w:p>
    <w:p>
      <w:pPr>
        <w:pStyle w:val="Normal"/>
        <w:numPr>
          <w:ilvl w:val="2"/>
          <w:numId w:val="1"/>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Pasitikėjimo skiepais didinimas: bendravimas su abejojančiais dėl skiepijimo tėvais, gyventojais; mitų apie vakcinas paneigimas; įrodymais pagrįstos informacijos pateikimas visuomenei suprantamu būdu; elgsenos teorijų pritaikymas. Skiepijimo aprėpčių didinimui skirtos priemonės </w:t>
        <w:br/>
        <w:t>(trukmė – 4 val.);</w:t>
      </w:r>
    </w:p>
    <w:p>
      <w:pPr>
        <w:pStyle w:val="Normal"/>
        <w:numPr>
          <w:ilvl w:val="2"/>
          <w:numId w:val="1"/>
        </w:numPr>
        <w:jc w:val="both"/>
        <w:rPr>
          <w:rFonts w:ascii="Times New Roman" w:hAnsi="Times New Roman" w:cs="Times New Roman"/>
          <w:sz w:val="24"/>
          <w:szCs w:val="24"/>
        </w:rPr>
      </w:pPr>
      <w:r>
        <w:rPr>
          <w:rFonts w:cs="Times New Roman" w:ascii="Times New Roman" w:hAnsi="Times New Roman"/>
          <w:sz w:val="24"/>
          <w:szCs w:val="24"/>
        </w:rPr>
        <w:t xml:space="preserve">Komunikavimo apie skiepijimus ypatumai: klaidinančios informacijos ir informacijos trūkumo valdymas; komunikacinių žinučių skiepų klausimu rengimas, bendravimas su žiniasklaida </w:t>
        <w:br/>
        <w:t>(trukmė – 4 val.).</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Mokymo programa turi pasižymėti aiškiai apibrėžtais ir pagrįstais uždaviniais, orientuotais į numatomus rezultatus;</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Mokymo programoje turi būti nurodytos mokymų dalyvių įgyjamos kompetencijos; </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Mokymo programoje turi būti numatytos teorinė ir praktinė mokymo dalys; </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Mokymo programoje turi būti nurodyti šiuolaikiniai ir inovatyvūs mokymo metodai ir priemonės, padedantys įgyti reikiamas kompetencijas; mokymų metu pateikta medžiaga turi būti iliustruota praktinėmis užduotimis savarankiškam darbui bei pavyzdžiais (pritaikytais nuotoliniam mokymui); </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Mokymo programoje turi būti nurodytas programai rengti naudotos literatūros ir kitų informacinių šaltinių sąrašas. </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Mokymo programoje turi būti aiškiai suplanuota užsiėmimų struktūra (tematika, trukmė, išdėstyta užsiėmimų medžiaga, pateikiama teorinio ir praktinio mokymo trukmė akademinėmis valandomis);</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Mokymo programa turi būti parengta ir perduota Perkančiajai organizacijai. Paslaugos tiekėjas Perkančiajai organizacijai pateikia:</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Profesinės kvalifikacijos tobulinimo programos aprašą, parengtą pagal Taisyklių 2 priede pateiktą formą;</w:t>
      </w:r>
      <w:bookmarkStart w:id="8" w:name="part_39bc2eebaafa48cda81732a68d2579e3"/>
      <w:bookmarkEnd w:id="8"/>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Vertinimo rekomendacijas, parengtas pagal Taisyklių 3 priede pateiktą Profesinės kvalifikacijos tobulinimo programos vertinimo rekomendacijos formą;</w:t>
      </w:r>
      <w:bookmarkStart w:id="9" w:name="part_4469ce82a84647fdb191470318708313"/>
      <w:bookmarkEnd w:id="9"/>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Vertintojų užpildytą ir pasirašytą Vertintojo nešališkumo deklaraciją ir konfidencialumo pasižadėjimą (Taisyklių 4 priedas);</w:t>
      </w:r>
      <w:bookmarkStart w:id="10" w:name="part_03490e9540074a23a5b18ea3c7c8a89c"/>
      <w:bookmarkEnd w:id="10"/>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Dokumentus, patvirtinančius, kad vertintojai atitinka Taisyklių 13 ir (ar) 14 punktuose nustatytus kvalifikacinius reikalavimus (išsilavinimą, kvalifikaciją ir darbo patirtį patvirtinančių dokumentų kopijas).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III SKYRIUS</w:t>
      </w:r>
    </w:p>
    <w:p>
      <w:pPr>
        <w:pStyle w:val="Normal"/>
        <w:jc w:val="center"/>
        <w:rPr>
          <w:rFonts w:ascii="Times New Roman" w:hAnsi="Times New Roman" w:cs="Times New Roman"/>
          <w:sz w:val="24"/>
          <w:szCs w:val="24"/>
        </w:rPr>
      </w:pPr>
      <w:r>
        <w:rPr>
          <w:rFonts w:cs="Times New Roman" w:ascii="Times New Roman" w:hAnsi="Times New Roman"/>
          <w:b/>
          <w:bCs/>
          <w:sz w:val="24"/>
          <w:szCs w:val="24"/>
        </w:rPr>
        <w:t>REIKALAVIMAI NUOTOLINIŲ MOKYMŲ MEDŽIAGOS TURINIUI</w:t>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Reikalavimai nuotolinių mokymų medžiagos turinio kūrimui: </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Mokymų turinys turi būti parengtas lietuvių kalba; išdėstytas nuosekliai, suprantamai ir aiškiai, esant poreikiui gali būti pateikiami kai kurių vartojamų terminų paaiškinimai; </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Mokymų turinyje turi būti nurodyti mokymų tikslai, siekiami mokymosi rezultatai; </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Mokymų turinys turi būti sukurtas taip, kad tikslinėje grupėje nurodyti specialistai gautų pagrindines, aktualias ir svarbias žinias, įgytų įgūdžių bei ugdytų kompetencijas skiepijimo pagrindų, skiepais valdomas ligų, jų profilaktikos ir valdymo, skiepijimo aprėpčių didinimo ir komunikavimo apie skiepijimus srityse;</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Mokymų turinys turi būti paremtas šiuolaikiniais ir aktualiais literatūros šaltiniais, atitinkančiais tematiką;</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Mokymų turinys turi turėti aiškią struktūrą (temos turi būti aiškiai atskirtos, identifikuojant, ką kiekvienoje temoje tikslinėje grupėje nurodyti specialistai turi išmokti); </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Tobulinimo dalykai / temos turi būti išdėstyti nuosekliai, remiantis tobulinimo programos planu;</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Parengtoje mokymų medžiagoje mokymų temos turi būti pristatytos naudojant tikslingai parinktus mokymo (-si) metodus (paskaita, paskaitos skaidrių demonstravimas, atvejų analizė, įgūdžių formavimo situacijos), orientuotus į siekiamą mokymų tikslą;</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Mokymų turinys turi būti išsamus, pakankamas savarankiškam mokymuisi, orientuotas į tobulinimo programoje nurodytus rezultatus (ką tikslinėje grupėje nurodyti specialistai turėtų žinoti ir gebėti pasibaigus mokymo procesui); </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Mokymų turinys turi apimti pasakojamąjį tekstą, skirtą e. mokymų naudotojams, pavyzdinių praktinių užduočių ir žinių patikrinimo testų, pritaikytų e. mokymams ir rekomenduojamų vizualinio turinio sprendimų aprašymą; </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Parengtoje mokymų medžiagoje naudojami metodiniai ištekliai (paruošti pranešimai (metodinė medžiaga), dalomoji medžiaga mokymo dalyviams (skaitmeniniu formatu), praktinių užduočių medžiaga, videopaskaita) turi būti pakankami atskleisti mokymų programos turinį pagal pateiktą valandų skaičiaus kriterijų;</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Kiekvienos mokymo temos pabaigoje turi būti mokymų medžiagos santrauka PDF formatu (iki 5 psl.), savikontrolės testas ir / ar užduotys žinių įvertinimui (su pateiktais teisingais atsakymais). </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Mokymų pabaigoje turi būti baigiamasis žinių vertinimo testas (iki 20 klausimų, su pateiktais teisingais atsakymais);</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Kiekvienos mokymo temos pabaigoje turi būti nurodytas literatūros sąrašas, rekomenduojami / papildomi literatūros šaltiniai, norintiems daugiau pasigilinti į temą.</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Parengtos mokymų medžiagos turinyje pateikiama informacija neturi prieštarauti galiojantiems Lietuvos Respublikos teisėms aktams.</w:t>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IV SKYRIUS</w:t>
      </w:r>
    </w:p>
    <w:p>
      <w:pPr>
        <w:pStyle w:val="Normal"/>
        <w:jc w:val="center"/>
        <w:rPr>
          <w:rFonts w:ascii="Times New Roman" w:hAnsi="Times New Roman" w:cs="Times New Roman"/>
          <w:sz w:val="24"/>
          <w:szCs w:val="24"/>
        </w:rPr>
      </w:pPr>
      <w:r>
        <w:rPr>
          <w:rFonts w:cs="Times New Roman" w:ascii="Times New Roman" w:hAnsi="Times New Roman"/>
          <w:b/>
          <w:bCs/>
          <w:sz w:val="24"/>
          <w:szCs w:val="24"/>
        </w:rPr>
        <w:t>REIKALAVIMAI NUOTOLINIŲ E. MOKYMŲ KŪRIMUI</w:t>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 xml:space="preserve">Nuotolinių e. mokymų kūrimą apima: </w:t>
      </w:r>
    </w:p>
    <w:p>
      <w:pPr>
        <w:pStyle w:val="Normal"/>
        <w:numPr>
          <w:ilvl w:val="1"/>
          <w:numId w:val="1"/>
        </w:numPr>
        <w:tabs>
          <w:tab w:val="clear" w:pos="720"/>
          <w:tab w:val="left" w:pos="709" w:leader="none"/>
        </w:tabs>
        <w:jc w:val="both"/>
        <w:rPr>
          <w:rFonts w:ascii="Times New Roman" w:hAnsi="Times New Roman" w:cs="Times New Roman"/>
          <w:sz w:val="24"/>
          <w:szCs w:val="24"/>
        </w:rPr>
      </w:pPr>
      <w:r>
        <w:rPr>
          <w:rFonts w:cs="Times New Roman" w:ascii="Times New Roman" w:hAnsi="Times New Roman"/>
          <w:sz w:val="24"/>
          <w:szCs w:val="24"/>
        </w:rPr>
        <w:t>E. mokymų kūrimo planavimą (koncepcijos išgryninimą, e. mokymų kūrimo plano parengimą ir pan.);</w:t>
      </w:r>
    </w:p>
    <w:p>
      <w:pPr>
        <w:pStyle w:val="Normal"/>
        <w:numPr>
          <w:ilvl w:val="1"/>
          <w:numId w:val="1"/>
        </w:numPr>
        <w:tabs>
          <w:tab w:val="clear" w:pos="720"/>
          <w:tab w:val="left" w:pos="709" w:leader="none"/>
        </w:tabs>
        <w:jc w:val="both"/>
        <w:rPr>
          <w:rFonts w:ascii="Times New Roman" w:hAnsi="Times New Roman" w:cs="Times New Roman"/>
          <w:sz w:val="24"/>
          <w:szCs w:val="24"/>
        </w:rPr>
      </w:pPr>
      <w:r>
        <w:rPr>
          <w:rFonts w:cs="Times New Roman" w:ascii="Times New Roman" w:hAnsi="Times New Roman"/>
          <w:sz w:val="24"/>
          <w:szCs w:val="24"/>
        </w:rPr>
        <w:t>E. mokymų turinio kūrimą (scenarijaus rengimą, tekstų, testų, užduočių paruošimą ir pan.);</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E. mokymų gamybą (grafinių elementų parinkimą, įgarsinimo, maketavimo / montavimo darbus, video mokymų ir kitų elementų integravimą);</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E. mokymų testavimą.</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 xml:space="preserve">Parengtuose e. mokymuose turi būti: </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 xml:space="preserve">pateiktas grafinis apipavidalinimas (ikonos, nuotraukos, iliustracijos ir kt.), nepažeidžiant </w:t>
        <w:br/>
        <w:t>29 p. reikalavimų;</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savikontrolės testai ir / ar užduotys, baigiamasis žinių vertinimo testas pritaikyti virtualiai mokymosi aplinkai Moodle arba lygiavertei šiai sistemai platformai, užtikrinančiai panašias funkcionalumo ir naudojimo galimybes. Jei pasirinkami testo tipo klausimai, jie gali būti su vienu arba keliais atsakymo variantais, „True / False“, „Drag-and-drop” pratimai ir pan.;</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naudojamas kokybiškas, be pašalinių garsų ar trikdžių vaizdo medžiagos įgarsinimas, užtikrinant sklandų mokymosi procesą. Vaizdo įraše matomas lektorius, pristatantis dėstomą temą;</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vaizdo įrašai ir kita e. mokymų medžiaga suglaudinta optimaliam kokybės ir failo dydžio santykiui;</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naudojama taisyklinga lietuvių kalba visam e. mokymų turiniui.</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Užtikrinti aktyvų įsitraukimą ir efektyvų mokymąsi e. mokymo turinys turi būti pateiktas šiomis formomis:</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vaizdo medžiaga – išlaikyti dėmesį, paaiškinti sudėtingas temas vizualiai ir interaktyviai;</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 xml:space="preserve">skaidrės – struktūruotas turinys, aiškūs pagrindiniai punktai, lengvai peržiūrima informacija; </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tekstiniai failai – suteikti gilesnį supratimą ir papildomą informaciją, leidžia gilintis į specifines detales;</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interaktyvus turinys – testai, atvejų analizės, užduotys, skatinantys aktyvų dalyvavimą, padedantys geriau įsisavinti informaciją ir įtvirtinti žinias.</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Galimi e. mokymų turinio pateikimo formatai (suderinami su virtualia mokymosi aplinka Moodle arba lygiaverte šiai sistemai platforma, užtikrinančia panašias funkcionalumo ir naudojimo galimybes):</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PDF – mokymo medžiaga, infografikai ar vizualizuoti teoriniai aspektai, papildoma informacija;</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MP4 – vaizdo paskaitos, animuoti vaizdo įrašai, demonstracijos, praktiniai pavyzdžiai;</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PPTX – skaidrių rinkinys interaktyviems pristatymams;</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JPEG, PNG, GIF, SVG – paveikslėliai, infografikai;</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H5P – interaktyvūs turinio elementai, papildantys mokymų turinį (užduotys, interaktyvūs vaizdo įrašai ir prezentacijos);</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SCORM – standartizuotas mokymo turinio formatas, leidžiantis integruoti mokymo medžiagą į mokymosi valdymo sistemas;</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Kiti interaktyvūs e. mokymų kūrimo formatai, kurie suderinami su virtualia mokymosi aplinka Moodle arba lygiaverte šiai sistemai platforma, užtikrinančia panašias funkcionalumo ir naudojimo galimybes.</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Visose mokymų medžiagos temose / dalyse turi būti naudojamos tokios pačios technologijos, kurios tarpusavyje turi derėti technologiškai ir funkciškai.</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E. mokymų turinys turi būti estetiškas: derėti fonas, iliustracijos ir tekstas, harmoningai išdėstyti elementai, pasižymėti vientisa, stilinga grafika, šriftu, spalvomis, vaizdais ir kitais daugialypės terpės elementais.</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E. mokymai turi būti tinkamai atvaizduojami nepriklausomai nuo įrenginio (kompiuterio, mobilaus įrenginio, planšetinio kompiuterio). </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Tiekėjas kurdamas mokymų turinį, dizainą, mokymų funkcionalumą privalo juos suderinti su Perkančiąja organizacija.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IV SKYRIUS</w:t>
      </w:r>
    </w:p>
    <w:p>
      <w:pPr>
        <w:pStyle w:val="Normal"/>
        <w:jc w:val="center"/>
        <w:rPr>
          <w:rFonts w:ascii="Times New Roman" w:hAnsi="Times New Roman" w:cs="Times New Roman"/>
          <w:sz w:val="24"/>
          <w:szCs w:val="24"/>
        </w:rPr>
      </w:pPr>
      <w:r>
        <w:rPr>
          <w:rFonts w:cs="Times New Roman" w:ascii="Times New Roman" w:hAnsi="Times New Roman"/>
          <w:b/>
          <w:bCs/>
          <w:sz w:val="24"/>
          <w:szCs w:val="24"/>
        </w:rPr>
        <w:t>MOKYMŲ PROGRAMOS, MOKYMŲ MEDŽIAGOS IR E. MOKYMŲ RENGIMO TVARKA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Pasirašius paslaugų teikimo sutartį Tiekėjas ne vėliau kaip per 10 darbo dienų turi pateikti Perkančiajai organizacijai derinti paslaugų vykdymo planą, kuriame turi būti nurodytas planuojamas galutinis paslaugų suteikimo terminas, atskiri Paslaugų teikimo etapai, jų apimtys bei kita Tiekėjui ir Perkančiajai organizacijai svarbi informacija.</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Paslaugų vykdymo planą turi sudaryti šie mokymų kūrimo etapai:</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paslaugų vykdymo koncepcijos parengimas (detalus Perkančiosios organizacijos poreikio išsiaiškinimas, išgryninant mokymo tikslą, siektinus rezultatus, tikslinę auditoriją, mokymų temas);</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mokymų programos parengimas;</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mokymų medžiagos scenarijaus sukūrimas pagal patvirtintą mokymų programą (turinio struktūros parengimas, mokymų medžiagos pateikimo būdų (taip pat suderinant kokia forma (tekstinė, vaizdo ar kt.) medžiaga bus pateikiama) bei testų ir / ar užduočių ir baigiamojo vertinimo priemonių nustatymas);</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E. mokymų grafinio dizaino parengimas;</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E. mokymų techninis išpildymas;</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E. mokymų testavimas ir klaidų šalinimas;</w:t>
      </w:r>
    </w:p>
    <w:p>
      <w:pPr>
        <w:pStyle w:val="Normal"/>
        <w:numPr>
          <w:ilvl w:val="1"/>
          <w:numId w:val="1"/>
        </w:numPr>
        <w:jc w:val="both"/>
        <w:rPr>
          <w:rFonts w:ascii="Times New Roman" w:hAnsi="Times New Roman" w:cs="Times New Roman"/>
          <w:sz w:val="24"/>
          <w:szCs w:val="24"/>
        </w:rPr>
      </w:pPr>
      <w:r>
        <w:rPr>
          <w:rFonts w:cs="Times New Roman" w:ascii="Times New Roman" w:hAnsi="Times New Roman"/>
          <w:sz w:val="24"/>
          <w:szCs w:val="24"/>
        </w:rPr>
        <w:t>E. mokymų perdavimas Perkančiajai organizacijai.</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Tiekėjas pradeda teikti paslaugą gavęs Perkančiosios organizacijos pritarimą raštu.</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Tiekėjas atsakingas už visą nuotolinių mokymų parengimo paslaugos proceso valdymą, darbų organizavimą ir atlikimą.</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Teikėjas korekcijas pagal Perkančiosios organizacijos pateiktas pastabas viso nuotolinių mokymų parengimo paslaugos proceso metu turi atlikti ne vėliau kaip per 5 darbo dienas nuo pastabų pateikimo.</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Sukurtiems e. mokymams turi būti suteikiama garantija techniniams nesklandumams ir trūkumams šalinti – neribotai per 12 mėnesių nuo Paslaugų priėmimo–perdavimo akto pasirašymo dienos, jei tai susiję su Tiekėjo technine klaida arba neatitinka techninės specifikacijos, kitų reikalavimų, kurie buvo pateikti ir suderinti e. mokymų kūrimo metu.</w:t>
      </w:r>
      <w:bookmarkEnd w:id="7"/>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V SKYRIUS</w:t>
      </w:r>
    </w:p>
    <w:p>
      <w:pPr>
        <w:pStyle w:val="Normal"/>
        <w:jc w:val="center"/>
        <w:rPr>
          <w:rFonts w:ascii="Times New Roman" w:hAnsi="Times New Roman" w:cs="Times New Roman"/>
          <w:sz w:val="24"/>
          <w:szCs w:val="24"/>
        </w:rPr>
      </w:pPr>
      <w:r>
        <w:rPr>
          <w:rFonts w:cs="Times New Roman" w:ascii="Times New Roman" w:hAnsi="Times New Roman"/>
          <w:b/>
          <w:bCs/>
          <w:sz w:val="24"/>
          <w:szCs w:val="24"/>
        </w:rPr>
        <w:t>BENDRI REIKALAVIMAI PIRKIMUI</w:t>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 xml:space="preserve">Tiekėjas turi paskirti atsakingą asmenį, į kurį Perkančioji organizacija galėtų kreiptis dėl teikiamos Paslaugos. </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Jeigu tiekėjas, teikdamas Paslaugą, pasinaudoja trečiųjų asmenų intelektine nuosavybe, įskaitant, bet tuo neapsiribojant, autorių teises, licencijas, patentus, brėžinius, modelius, prekių ženklus, kuri integruojama ar kitaip susiejama su Paslaugų rezultatu, tai teikėjas užtikrina ir garantuoja savo sąskaita, kad nebus pažeistos šių trečiųjų asmenų teisės.</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Tiekėjas užtikrina ir atsako, kad jo suteiktos Paslaugos ir jų rezultatas nepažeis trečiųjų asmenų intelektinės nuosavybės teisių ir, kad Perkančioji organizacija nepatirs jokių teisinių išlaidų ar nuostolių dėl reikalavimų arba įsipareigojimų, susijusių su intelektinės nuosavybės teisėmis į Sutarties dalyką.</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Paslauga bus laikoma suteikta tinkamai Perkančiajai organizacijai pasirašius Paslaugų priėmimo–perdavimo aktą.</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 xml:space="preserve">Nuo Perkančiosios organizacijos galutinio atsiskaitymo su Tiekėju dienos sukurtos Paslaugos intelektinė nuosavybė perduodama Perkančiajai organizacijai neterminuotai ir su galimybe jomis naudotis be apribojimų. Perkančiajai organizacijai suteikiama teisė naudotis minėtais rezultatais bet kokia forma, daryti kopijas, platinti, daryti pakeitimus ar kitaip disponuoti. Tiekėjas patvirtina, kad perduotos autorių turtinės teisės į jo sukurtus paslaugų rezultatus yra įskaičiuotos į pateikto pasiūlymo kainą už suteiktas paslaugas. </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Minimalūs aplinkos apsaugos kriterijai, kurie taikomi paslaugoms -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VII SKYRIUS</w:t>
      </w:r>
    </w:p>
    <w:p>
      <w:pPr>
        <w:pStyle w:val="Normal"/>
        <w:jc w:val="center"/>
        <w:rPr>
          <w:rFonts w:ascii="Times New Roman" w:hAnsi="Times New Roman" w:cs="Times New Roman"/>
          <w:sz w:val="24"/>
          <w:szCs w:val="24"/>
        </w:rPr>
      </w:pPr>
      <w:r>
        <w:rPr>
          <w:rFonts w:cs="Times New Roman" w:ascii="Times New Roman" w:hAnsi="Times New Roman"/>
          <w:b/>
          <w:bCs/>
          <w:sz w:val="24"/>
          <w:szCs w:val="24"/>
        </w:rPr>
        <w:t>ASMENS DUOMENŲ TVARKYMAS</w:t>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Perkančioji organizacija, kaip duomenų valdytojas, tvarkys pasiūlyme nurodytus bei pirkimo procedūrų metu iš Tiekėjo gautus duomenų subjektų – fizinių asmenų –Tiekėjo arba jo įgaliotų asmenų, darbuotojų, subtiekėjų, partnerių, kitų asmenų duomenis (vardas, pavardė, pareigos, telefono ryšio numeris, elektroninio pašto adresas, atitiktį kvalifikaciniams reikalavimams patvirtinantys duomenys, kiti Perkančiajai organizacijai Tiekėjo pateikti būtini duomenys) viešųjų pirkimų organizavimo ir vykdymo tikslu vadovaudamasi Reglamento (ES) 2016/679 6 straipsnio 1 dalies c punktu, įgyvendindama pareigas, įtvirtintas Lietuvos Respublikos viešųjų pirkimų įstatyme ir kituose viešuosius pirkimus reglamentuojančiuose teisės aktuose, bei saugos juos pirkimų organizavimo ir vykdymo laikotarpiu bei 10 metų pirkimo procedūroms pasibaigus.</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Perkančioji organizacija tvarkys Tiekėjo, kurio pasiūlymas bus pripažintas laimėjusiu ir su kuriuo bus sudaryta Sutartis, pateiktus fizinių asmenų – Tiekėjo arba jo įgaliotų asmenų, darbuotojų,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Kilus ginčams dėl viešųjų pirkimų organizavimo ar Sutarties vykdymo, Perkančioji organizacija gali tvarkyti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  </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Tuo atveju, kai nurodytų asmenų duomenys bus pateikiami finansiniuose dokumentuose, Perkančioji organizacija juos tvarkys finansinės apskaitos tikslu  vadovaudamasi Reglamento (ES) 2016/679 6 straipsnio 1 dalies c punktu, įgyvendindama pareigas, įtvirtintas Lietuvos Respublikos finansinės apskaitos įstatyme, kituose teisės aktuose.</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Tiekėjo pasiūlymas negalės būti vertinamas bei nebus galima sudaryti ir vykdyti Sutarties.</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 xml:space="preserve">Asmens duomenis Perkančioji organizacija gali teikti Viešųjų pirkimų tarnybai, teismams, kitoms ginčus nagrinėjančioms institucijoms, bankams ar kitoms mokėjimo įstaigoms (atliekant mokėjimus už paslaugas), paslaugų teikėjams, teikiantiems Perkančiajai organizacijai informacinių technologijų infrastruktūros, programinės įrangos ir jų priežiūros bei administravimo, elektroninių ryšių, auditorių, teisines, konsultavimo, duomenų apsaugos pareigūno bei kitas paslaugas. Laimėjusio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Tiekėjas arba jo įgalioti asmenys, darbuotojai, subtiekėjai, partneriai, kiti asmenys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Perkančiosios organizacijos intereso; 7) teisę į duomenų perkeliamumą, tuo atveju, kai asmens duomenys tvarkomi sutarties sudarymo ir vykdymo pagrindu; 8) teisę pateikti skundą Valstybinei duomenų apsaugos inspekcijai, kurios kontaktai skelbiami čia: </w:t>
      </w:r>
      <w:hyperlink r:id="rId2">
        <w:r>
          <w:rPr>
            <w:rStyle w:val="Hyperlink"/>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 xml:space="preserve">Duomenų subjektai prašymus dėl aukščiau nurodytų savo teisių įgyvendinimo, taip pat kitus skundus/prašymus dėl asmens duomenų tvarkymo gali pateikti Perkančiajai organizacijai paštu adresu Studentų g. 45A, Vilnius, el. paštu </w:t>
      </w:r>
      <w:hyperlink r:id="rId3">
        <w:r>
          <w:rPr>
            <w:rStyle w:val="Hyperlink"/>
            <w:rFonts w:cs="Times New Roman" w:ascii="Times New Roman" w:hAnsi="Times New Roman"/>
            <w:sz w:val="24"/>
            <w:szCs w:val="24"/>
          </w:rPr>
          <w:t>institutas@hi.lt</w:t>
        </w:r>
      </w:hyperlink>
      <w:r>
        <w:rPr>
          <w:rFonts w:cs="Times New Roman" w:ascii="Times New Roman" w:hAnsi="Times New Roman"/>
          <w:sz w:val="24"/>
          <w:szCs w:val="24"/>
        </w:rPr>
        <w:t xml:space="preserve"> arba jos duomenų apsaugos pareigūnui el. paštu info@adaekspertai.lt. </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Daugiau informacijos apie Perkančiosios organizacijos atliekamą asmens duomenų tvarkymą galima rasti jos interneto svetainėje adresu https://www.hi.lt/asmens-duomenu-apsauga/.</w:t>
      </w:r>
    </w:p>
    <w:p>
      <w:pPr>
        <w:pStyle w:val="Normal"/>
        <w:numPr>
          <w:ilvl w:val="0"/>
          <w:numId w:val="1"/>
        </w:numPr>
        <w:jc w:val="both"/>
        <w:rPr>
          <w:rFonts w:ascii="Times New Roman" w:hAnsi="Times New Roman" w:cs="Times New Roman"/>
          <w:sz w:val="24"/>
          <w:szCs w:val="24"/>
        </w:rPr>
      </w:pPr>
      <w:r>
        <w:rPr>
          <w:rFonts w:cs="Times New Roman" w:ascii="Times New Roman" w:hAnsi="Times New Roman"/>
          <w:sz w:val="24"/>
          <w:szCs w:val="24"/>
        </w:rPr>
        <w:t xml:space="preserve">Tiekėjas, prieš teikdamas pasiūlymą ir prieš sudarydamas Sutartį, nurodytus fizinius asmenis privalo supažindinti su 30-39 punktuose pateikta informacija apie Perkančiosios organizacijos vykdomą asmens duomenų tvarkymą.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b/>
          <w:sz w:val="24"/>
          <w:szCs w:val="24"/>
        </w:rPr>
        <w:t>_______________________</w:t>
      </w:r>
      <w:r>
        <w:br w:type="page"/>
      </w:r>
    </w:p>
    <w:p>
      <w:pPr>
        <w:pStyle w:val="Normal"/>
        <w:spacing w:before="0" w:after="16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II DALIS</w:t>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ĮVADINĖ INFORMACIJA APIE PROJEKTĄ</w:t>
      </w:r>
    </w:p>
    <w:p>
      <w:pPr>
        <w:pStyle w:val="Normal"/>
        <w:jc w:val="both"/>
        <w:rPr>
          <w:rFonts w:ascii="Times New Roman" w:hAnsi="Times New Roman" w:cs="Times New Roman"/>
          <w:sz w:val="24"/>
          <w:szCs w:val="24"/>
        </w:rPr>
      </w:pPr>
      <w:r>
        <w:rPr>
          <w:rFonts w:cs="Times New Roman" w:ascii="Times New Roman" w:hAnsi="Times New Roman"/>
          <w:sz w:val="24"/>
          <w:szCs w:val="24"/>
        </w:rPr>
        <w:t>1. 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Nr. 09-018-P-0001 (toliau – Projektas).</w:t>
      </w:r>
    </w:p>
    <w:p>
      <w:pPr>
        <w:pStyle w:val="Normal"/>
        <w:jc w:val="both"/>
        <w:rPr>
          <w:rFonts w:ascii="Times New Roman" w:hAnsi="Times New Roman" w:cs="Times New Roman"/>
          <w:sz w:val="24"/>
          <w:szCs w:val="24"/>
        </w:rPr>
      </w:pPr>
      <w:r>
        <w:rPr>
          <w:rFonts w:cs="Times New Roman" w:ascii="Times New Roman" w:hAnsi="Times New Roman"/>
          <w:sz w:val="24"/>
          <w:szCs w:val="24"/>
        </w:rPr>
        <w:t>2. Projekto veiklos:</w:t>
      </w:r>
    </w:p>
    <w:p>
      <w:pPr>
        <w:pStyle w:val="Normal"/>
        <w:jc w:val="both"/>
        <w:rPr>
          <w:rFonts w:ascii="Times New Roman" w:hAnsi="Times New Roman" w:cs="Times New Roman"/>
          <w:sz w:val="24"/>
          <w:szCs w:val="24"/>
        </w:rPr>
      </w:pPr>
      <w:r>
        <w:rPr>
          <w:rFonts w:cs="Times New Roman" w:ascii="Times New Roman" w:hAnsi="Times New Roman"/>
          <w:sz w:val="24"/>
          <w:szCs w:val="24"/>
        </w:rPr>
        <w:t>2.1. Specialistų mokymas ir kvalifikacijos kėlimas Sostinės regione (Vilniaus apskritis);</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2.2. Specialistų mokymas ir kvalifikacijos kėlimas </w:t>
      </w:r>
      <w:bookmarkStart w:id="11" w:name="_Hlk159074911_Copy_3"/>
      <w:r>
        <w:rPr>
          <w:rFonts w:cs="Times New Roman" w:ascii="Times New Roman" w:hAnsi="Times New Roman"/>
          <w:sz w:val="24"/>
          <w:szCs w:val="24"/>
        </w:rPr>
        <w:t>Vidurio ir vakarų Lietuvos regione (visos apskritys, išskyrus Vilniaus apskritį).</w:t>
      </w:r>
    </w:p>
    <w:p>
      <w:pPr>
        <w:pStyle w:val="Normal"/>
        <w:jc w:val="both"/>
        <w:rPr>
          <w:rFonts w:ascii="Times New Roman" w:hAnsi="Times New Roman" w:cs="Times New Roman"/>
          <w:sz w:val="24"/>
          <w:szCs w:val="24"/>
        </w:rPr>
      </w:pPr>
      <w:r>
        <w:rPr>
          <w:rFonts w:cs="Times New Roman" w:ascii="Times New Roman" w:hAnsi="Times New Roman"/>
          <w:sz w:val="24"/>
          <w:szCs w:val="24"/>
        </w:rPr>
        <w:t>2.3. Projekto poveiklė – Mokymų programų analizė ir parengimas.</w:t>
      </w:r>
      <w:bookmarkEnd w:id="11"/>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3. 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sz w:val="24"/>
          <w:szCs w:val="24"/>
        </w:rPr>
      </w:pPr>
      <w:r>
        <w:rPr>
          <w:rFonts w:cs="Times New Roman" w:ascii="Times New Roman" w:hAnsi="Times New Roman"/>
          <w:b/>
          <w:sz w:val="24"/>
          <w:szCs w:val="24"/>
        </w:rPr>
        <w:t>I SKYRIUS</w:t>
      </w:r>
    </w:p>
    <w:p>
      <w:pPr>
        <w:pStyle w:val="Normal"/>
        <w:jc w:val="center"/>
        <w:rPr>
          <w:rFonts w:ascii="Times New Roman" w:hAnsi="Times New Roman" w:cs="Times New Roman"/>
          <w:sz w:val="24"/>
          <w:szCs w:val="24"/>
        </w:rPr>
      </w:pPr>
      <w:r>
        <w:rPr>
          <w:rFonts w:cs="Times New Roman" w:ascii="Times New Roman" w:hAnsi="Times New Roman"/>
          <w:b/>
          <w:sz w:val="24"/>
          <w:szCs w:val="24"/>
        </w:rPr>
        <w:t>BENDRA INFORMACIJA APIE PIRKIMĄ</w:t>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4. Perkančioji organizacija – Higienos institutas, valstybės biudžetinė įstaiga, adresas: Studentų g. 45A, 08107, Vilnius, tel. + 370 5 262 4583, el. p. institutas@hi.lt, įmonės kodas 111958286. </w:t>
      </w:r>
    </w:p>
    <w:p>
      <w:pPr>
        <w:pStyle w:val="Normal"/>
        <w:jc w:val="both"/>
        <w:rPr>
          <w:rFonts w:ascii="Times New Roman" w:hAnsi="Times New Roman" w:cs="Times New Roman"/>
          <w:sz w:val="24"/>
          <w:szCs w:val="24"/>
        </w:rPr>
      </w:pPr>
      <w:r>
        <w:rPr>
          <w:rFonts w:cs="Times New Roman" w:ascii="Times New Roman" w:hAnsi="Times New Roman"/>
          <w:sz w:val="24"/>
          <w:szCs w:val="24"/>
        </w:rPr>
        <w:t>5. Pirkimo objektas – nuotolinių mokymų, tema „Asmens sveikatos priežiūros paslaugų sauga: infekcijų kontrolės reikalavimai“, parengimo paslaugos (toliau – Paslaugos), kurios apima: mokymų programos, mokymų medžiagos turinio ir nuotolinių mokymų (toliau – e. mokymai), kūrimą.</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6. Nuotolinių mokymų tikslas – suteikti informaciją sveikatos priežiūros specialistams apie infekcijų kontrolės procedūras, medicinos priemonių naudojimą ir priežiūrą, asmeninės apsaugos priemonių naudojimą ir medicininių atliekų tvarkymo reikalavimus. </w:t>
      </w:r>
    </w:p>
    <w:p>
      <w:pPr>
        <w:pStyle w:val="Normal"/>
        <w:jc w:val="both"/>
        <w:rPr>
          <w:rFonts w:ascii="Times New Roman" w:hAnsi="Times New Roman" w:cs="Times New Roman"/>
          <w:sz w:val="24"/>
          <w:szCs w:val="24"/>
        </w:rPr>
      </w:pPr>
      <w:r>
        <w:rPr>
          <w:rFonts w:cs="Times New Roman" w:ascii="Times New Roman" w:hAnsi="Times New Roman"/>
          <w:sz w:val="24"/>
          <w:szCs w:val="24"/>
        </w:rPr>
        <w:t>7. Mokymų tikslinė grupė (toliau – tikslinė grupė): visuomenės sveikatos specialistai, dirbantys ūkio subjektų priežiūros, visuomenės sveikatos saugos kontrolės ir (ar) saugos srityje, asmens sveikatos priežiūros specialistai, dirbantys infekcijų kontrolės srityje.</w:t>
      </w:r>
    </w:p>
    <w:p>
      <w:pPr>
        <w:pStyle w:val="Normal"/>
        <w:jc w:val="both"/>
        <w:rPr>
          <w:rFonts w:ascii="Times New Roman" w:hAnsi="Times New Roman" w:cs="Times New Roman"/>
          <w:sz w:val="24"/>
          <w:szCs w:val="24"/>
        </w:rPr>
      </w:pPr>
      <w:r>
        <w:rPr>
          <w:rFonts w:cs="Times New Roman" w:ascii="Times New Roman" w:hAnsi="Times New Roman"/>
          <w:sz w:val="24"/>
          <w:szCs w:val="24"/>
        </w:rPr>
        <w:t>8. Paslaugų tiekėjas (toliau – Tiekėjas) turi įgyvendinti Techninėje specifikacijoje numatytus reikalavimus per 5 (penkis) mėnesius nuo sutarties įsigaliojimo dienos</w:t>
      </w:r>
    </w:p>
    <w:p>
      <w:pPr>
        <w:pStyle w:val="Normal"/>
        <w:jc w:val="both"/>
        <w:rPr>
          <w:rFonts w:ascii="Times New Roman" w:hAnsi="Times New Roman" w:cs="Times New Roman"/>
          <w:b/>
          <w:sz w:val="24"/>
          <w:szCs w:val="24"/>
        </w:rPr>
      </w:pPr>
      <w:r>
        <w:rPr>
          <w:rFonts w:cs="Times New Roman" w:ascii="Times New Roman" w:hAnsi="Times New Roman"/>
          <w:b/>
          <w:sz w:val="24"/>
          <w:szCs w:val="24"/>
        </w:rPr>
      </w:r>
      <w:bookmarkStart w:id="12" w:name="_Hlk77258429_Copy_3"/>
      <w:bookmarkStart w:id="13" w:name="_Hlk77258429_Copy_3"/>
    </w:p>
    <w:p>
      <w:pPr>
        <w:pStyle w:val="Normal"/>
        <w:jc w:val="center"/>
        <w:rPr>
          <w:rFonts w:ascii="Times New Roman" w:hAnsi="Times New Roman" w:cs="Times New Roman"/>
          <w:sz w:val="24"/>
          <w:szCs w:val="24"/>
        </w:rPr>
      </w:pPr>
      <w:r>
        <w:rPr>
          <w:rFonts w:cs="Times New Roman" w:ascii="Times New Roman" w:hAnsi="Times New Roman"/>
          <w:b/>
          <w:sz w:val="24"/>
          <w:szCs w:val="24"/>
        </w:rPr>
        <w:t>II SKYRIUS</w:t>
      </w:r>
    </w:p>
    <w:p>
      <w:pPr>
        <w:pStyle w:val="Normal"/>
        <w:jc w:val="center"/>
        <w:rPr>
          <w:rFonts w:ascii="Times New Roman" w:hAnsi="Times New Roman" w:cs="Times New Roman"/>
          <w:sz w:val="24"/>
          <w:szCs w:val="24"/>
        </w:rPr>
      </w:pPr>
      <w:r>
        <w:rPr>
          <w:rFonts w:cs="Times New Roman" w:ascii="Times New Roman" w:hAnsi="Times New Roman"/>
          <w:b/>
          <w:sz w:val="24"/>
          <w:szCs w:val="24"/>
        </w:rPr>
        <w:t>BENDRIEJI REIKALAVIMAI NUOTOLINIŲ MOKYMŲ PROGRAMOS RENGIMUI</w:t>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9. Reikalavimai mokymų programos turiniui:</w:t>
      </w:r>
    </w:p>
    <w:p>
      <w:pPr>
        <w:pStyle w:val="Normal"/>
        <w:jc w:val="both"/>
        <w:rPr>
          <w:rFonts w:ascii="Times New Roman" w:hAnsi="Times New Roman" w:cs="Times New Roman"/>
          <w:sz w:val="24"/>
          <w:szCs w:val="24"/>
        </w:rPr>
      </w:pPr>
      <w:r>
        <w:rPr>
          <w:rFonts w:cs="Times New Roman" w:ascii="Times New Roman" w:hAnsi="Times New Roman"/>
          <w:sz w:val="24"/>
          <w:szCs w:val="24"/>
        </w:rPr>
        <w:t>9.1. Mokymų programa turi būti parengta vadovaujantis Sveikatos priežiūros ir farmacijos specialistų profesinės kvalifikacijos tobulinimo programų ir vienkartinių profesinės kvalifikacijos tobulinimo renginių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jc w:val="both"/>
        <w:rPr>
          <w:rFonts w:ascii="Times New Roman" w:hAnsi="Times New Roman" w:cs="Times New Roman"/>
          <w:sz w:val="24"/>
          <w:szCs w:val="24"/>
        </w:rPr>
      </w:pPr>
      <w:r>
        <w:rPr>
          <w:rFonts w:cs="Times New Roman" w:ascii="Times New Roman" w:hAnsi="Times New Roman"/>
          <w:sz w:val="24"/>
          <w:szCs w:val="24"/>
        </w:rPr>
        <w:t>Mokymo programos trukmė 16 val.;</w:t>
      </w:r>
    </w:p>
    <w:p>
      <w:pPr>
        <w:pStyle w:val="Normal"/>
        <w:jc w:val="both"/>
        <w:rPr>
          <w:rFonts w:ascii="Times New Roman" w:hAnsi="Times New Roman" w:cs="Times New Roman"/>
          <w:sz w:val="24"/>
          <w:szCs w:val="24"/>
        </w:rPr>
      </w:pPr>
      <w:r>
        <w:rPr>
          <w:rFonts w:cs="Times New Roman" w:ascii="Times New Roman" w:hAnsi="Times New Roman"/>
          <w:sz w:val="24"/>
          <w:szCs w:val="24"/>
        </w:rPr>
        <w:t>9.2. Mokymo programą turi sudaryti šios temos:</w:t>
      </w:r>
    </w:p>
    <w:p>
      <w:pPr>
        <w:pStyle w:val="Normal"/>
        <w:jc w:val="both"/>
        <w:rPr>
          <w:rFonts w:ascii="Times New Roman" w:hAnsi="Times New Roman" w:cs="Times New Roman"/>
          <w:sz w:val="24"/>
          <w:szCs w:val="24"/>
        </w:rPr>
      </w:pPr>
      <w:r>
        <w:rPr>
          <w:rFonts w:cs="Times New Roman" w:ascii="Times New Roman" w:hAnsi="Times New Roman"/>
          <w:sz w:val="24"/>
          <w:szCs w:val="24"/>
        </w:rPr>
        <w:t>9.3. Rankų higiena, asmens sveikatos priežiūros įstaigų darbuotojų infekcijų profilaktika, pacientų izoliavimas (trukmė – 2 val.);</w:t>
      </w:r>
    </w:p>
    <w:p>
      <w:pPr>
        <w:pStyle w:val="Normal"/>
        <w:jc w:val="both"/>
        <w:rPr>
          <w:rFonts w:ascii="Times New Roman" w:hAnsi="Times New Roman" w:cs="Times New Roman"/>
          <w:sz w:val="24"/>
          <w:szCs w:val="24"/>
        </w:rPr>
      </w:pPr>
      <w:r>
        <w:rPr>
          <w:rFonts w:cs="Times New Roman" w:ascii="Times New Roman" w:hAnsi="Times New Roman"/>
          <w:sz w:val="24"/>
          <w:szCs w:val="24"/>
        </w:rPr>
        <w:t>9.4. Infekcijų kontrolės procedūrų tvarkos aprašas (procedūrų parengimas) (trukmė – 2 val.);</w:t>
      </w:r>
    </w:p>
    <w:p>
      <w:pPr>
        <w:pStyle w:val="Normal"/>
        <w:jc w:val="both"/>
        <w:rPr>
          <w:rFonts w:ascii="Times New Roman" w:hAnsi="Times New Roman" w:cs="Times New Roman"/>
          <w:sz w:val="24"/>
          <w:szCs w:val="24"/>
        </w:rPr>
      </w:pPr>
      <w:r>
        <w:rPr>
          <w:rFonts w:cs="Times New Roman" w:ascii="Times New Roman" w:hAnsi="Times New Roman"/>
          <w:sz w:val="24"/>
          <w:szCs w:val="24"/>
        </w:rPr>
        <w:t>9.5. Medicinos priemonių naudojimas ir priežiūra, vienkartinio naudojimo medicinos priemonės (trukmė – 2 val.);</w:t>
      </w:r>
    </w:p>
    <w:p>
      <w:pPr>
        <w:pStyle w:val="Normal"/>
        <w:jc w:val="both"/>
        <w:rPr>
          <w:rFonts w:ascii="Times New Roman" w:hAnsi="Times New Roman" w:cs="Times New Roman"/>
          <w:sz w:val="24"/>
          <w:szCs w:val="24"/>
        </w:rPr>
      </w:pPr>
      <w:r>
        <w:rPr>
          <w:rFonts w:cs="Times New Roman" w:ascii="Times New Roman" w:hAnsi="Times New Roman"/>
          <w:sz w:val="24"/>
          <w:szCs w:val="24"/>
        </w:rPr>
        <w:t>9.6. Medicinos priemonių valymas ir dezinfekcija (mechanizuotas ir rankinis medicinos priemonių valymas, valymas ultragarsu) (trukmė – 2 val.);</w:t>
      </w:r>
    </w:p>
    <w:p>
      <w:pPr>
        <w:pStyle w:val="Normal"/>
        <w:jc w:val="both"/>
        <w:rPr>
          <w:rFonts w:ascii="Times New Roman" w:hAnsi="Times New Roman" w:cs="Times New Roman"/>
          <w:sz w:val="24"/>
          <w:szCs w:val="24"/>
        </w:rPr>
      </w:pPr>
      <w:r>
        <w:rPr>
          <w:rFonts w:cs="Times New Roman" w:ascii="Times New Roman" w:hAnsi="Times New Roman"/>
          <w:sz w:val="24"/>
          <w:szCs w:val="24"/>
        </w:rPr>
        <w:t>9.7. Medicinos priemonių sterilizacijos procesai, jų kontrolė ir atsekamumas (sterilizuojamų medicinos priemonių pakavimas, įkrovos žymėjimas, sterilizuotų medicinos priemonių laikymas), sterilizavimo procesus apibrėžiančių standartų apžvalga (trukmė – 3 val.);</w:t>
      </w:r>
    </w:p>
    <w:p>
      <w:pPr>
        <w:pStyle w:val="Normal"/>
        <w:jc w:val="both"/>
        <w:rPr>
          <w:rFonts w:ascii="Times New Roman" w:hAnsi="Times New Roman" w:cs="Times New Roman"/>
          <w:sz w:val="24"/>
          <w:szCs w:val="24"/>
        </w:rPr>
      </w:pPr>
      <w:r>
        <w:rPr>
          <w:rFonts w:cs="Times New Roman" w:ascii="Times New Roman" w:hAnsi="Times New Roman"/>
          <w:sz w:val="24"/>
          <w:szCs w:val="24"/>
        </w:rPr>
        <w:t>9.8. Asmeninės apsaugos priemonių naudojimas (trukmė – 2 val.);</w:t>
      </w:r>
    </w:p>
    <w:p>
      <w:pPr>
        <w:pStyle w:val="Normal"/>
        <w:jc w:val="both"/>
        <w:rPr>
          <w:rFonts w:ascii="Times New Roman" w:hAnsi="Times New Roman" w:cs="Times New Roman"/>
          <w:sz w:val="24"/>
          <w:szCs w:val="24"/>
        </w:rPr>
      </w:pPr>
      <w:r>
        <w:rPr>
          <w:rFonts w:cs="Times New Roman" w:ascii="Times New Roman" w:hAnsi="Times New Roman"/>
          <w:sz w:val="24"/>
          <w:szCs w:val="24"/>
        </w:rPr>
        <w:t>9.9. Medicininių atliekų tvarkymo reikalavimai (trukmė – 2 val.);</w:t>
      </w:r>
    </w:p>
    <w:p>
      <w:pPr>
        <w:pStyle w:val="Normal"/>
        <w:jc w:val="both"/>
        <w:rPr>
          <w:rFonts w:ascii="Times New Roman" w:hAnsi="Times New Roman" w:cs="Times New Roman"/>
          <w:sz w:val="24"/>
          <w:szCs w:val="24"/>
        </w:rPr>
      </w:pPr>
      <w:r>
        <w:rPr>
          <w:rFonts w:cs="Times New Roman" w:ascii="Times New Roman" w:hAnsi="Times New Roman"/>
          <w:sz w:val="24"/>
          <w:szCs w:val="24"/>
        </w:rPr>
        <w:t>9.10. Kiti esminiai infekcijų kontrolės aspektai teikiant asmens sveikatos priežiūros paslaugas (trukmė – 1 val.).</w:t>
      </w:r>
    </w:p>
    <w:p>
      <w:pPr>
        <w:pStyle w:val="Normal"/>
        <w:jc w:val="both"/>
        <w:rPr>
          <w:rFonts w:ascii="Times New Roman" w:hAnsi="Times New Roman" w:cs="Times New Roman"/>
          <w:sz w:val="24"/>
          <w:szCs w:val="24"/>
        </w:rPr>
      </w:pPr>
      <w:r>
        <w:rPr>
          <w:rFonts w:cs="Times New Roman" w:ascii="Times New Roman" w:hAnsi="Times New Roman"/>
          <w:sz w:val="24"/>
          <w:szCs w:val="24"/>
        </w:rPr>
        <w:t>9.11. Mokymo programa turi pasižymėti aiškiai apibrėžtais ir pagrįstais uždaviniais, orientuotais į numatomus rezultatus;</w:t>
      </w:r>
    </w:p>
    <w:p>
      <w:pPr>
        <w:pStyle w:val="Normal"/>
        <w:jc w:val="both"/>
        <w:rPr>
          <w:rFonts w:ascii="Times New Roman" w:hAnsi="Times New Roman" w:cs="Times New Roman"/>
          <w:sz w:val="24"/>
          <w:szCs w:val="24"/>
        </w:rPr>
      </w:pPr>
      <w:r>
        <w:rPr>
          <w:rFonts w:cs="Times New Roman" w:ascii="Times New Roman" w:hAnsi="Times New Roman"/>
          <w:sz w:val="24"/>
          <w:szCs w:val="24"/>
        </w:rPr>
        <w:t>9.12. Mokymo programoje turi būti nurodytos mokymų dalyvių įgyjamos kompetencijos; </w:t>
      </w:r>
    </w:p>
    <w:p>
      <w:pPr>
        <w:pStyle w:val="Normal"/>
        <w:jc w:val="both"/>
        <w:rPr>
          <w:rFonts w:ascii="Times New Roman" w:hAnsi="Times New Roman" w:cs="Times New Roman"/>
          <w:sz w:val="24"/>
          <w:szCs w:val="24"/>
        </w:rPr>
      </w:pPr>
      <w:r>
        <w:rPr>
          <w:rFonts w:cs="Times New Roman" w:ascii="Times New Roman" w:hAnsi="Times New Roman"/>
          <w:sz w:val="24"/>
          <w:szCs w:val="24"/>
        </w:rPr>
        <w:t>9.13. Mokymo programoje turi būti numatytos teorinė ir praktinė mokymo dalys; </w:t>
      </w:r>
    </w:p>
    <w:p>
      <w:pPr>
        <w:pStyle w:val="Normal"/>
        <w:jc w:val="both"/>
        <w:rPr>
          <w:rFonts w:ascii="Times New Roman" w:hAnsi="Times New Roman" w:cs="Times New Roman"/>
          <w:sz w:val="24"/>
          <w:szCs w:val="24"/>
        </w:rPr>
      </w:pPr>
      <w:r>
        <w:rPr>
          <w:rFonts w:cs="Times New Roman" w:ascii="Times New Roman" w:hAnsi="Times New Roman"/>
          <w:sz w:val="24"/>
          <w:szCs w:val="24"/>
        </w:rPr>
        <w:t>9.14. Mokymo programoje turi būti nurodyti šiuolaikiniai ir inovatyvūs mokymo metodai ir priemonės, padedantys įgyti reikiamas kompetencijas; mokymų metu pateikta medžiaga turi būti iliustruota praktinėmis užduotimis savarankiškam darbui bei pavyzdžiais (pritaikytais nuotoliniam mokymui); </w:t>
      </w:r>
    </w:p>
    <w:p>
      <w:pPr>
        <w:pStyle w:val="Normal"/>
        <w:jc w:val="both"/>
        <w:rPr>
          <w:rFonts w:ascii="Times New Roman" w:hAnsi="Times New Roman" w:cs="Times New Roman"/>
          <w:sz w:val="24"/>
          <w:szCs w:val="24"/>
        </w:rPr>
      </w:pPr>
      <w:r>
        <w:rPr>
          <w:rFonts w:cs="Times New Roman" w:ascii="Times New Roman" w:hAnsi="Times New Roman"/>
          <w:sz w:val="24"/>
          <w:szCs w:val="24"/>
        </w:rPr>
        <w:t>9.15. Mokymo programoje turi būti nurodytas programai rengti naudotos literatūros ir kitų informacinių šaltinių sąrašas. </w:t>
      </w:r>
    </w:p>
    <w:p>
      <w:pPr>
        <w:pStyle w:val="Normal"/>
        <w:jc w:val="both"/>
        <w:rPr>
          <w:rFonts w:ascii="Times New Roman" w:hAnsi="Times New Roman" w:cs="Times New Roman"/>
          <w:sz w:val="24"/>
          <w:szCs w:val="24"/>
        </w:rPr>
      </w:pPr>
      <w:r>
        <w:rPr>
          <w:rFonts w:cs="Times New Roman" w:ascii="Times New Roman" w:hAnsi="Times New Roman"/>
          <w:sz w:val="24"/>
          <w:szCs w:val="24"/>
        </w:rPr>
        <w:t>9.16. Mokymo programoje turi būti aiškiai suplanuota užsiėmimų struktūra (tematika, trukmė, išdėstyta užsiėmimų medžiaga, pateikiama teorinio ir praktinio mokymo trukmė akademinėmis valandomis);</w:t>
      </w:r>
    </w:p>
    <w:p>
      <w:pPr>
        <w:pStyle w:val="Normal"/>
        <w:jc w:val="both"/>
        <w:rPr>
          <w:rFonts w:ascii="Times New Roman" w:hAnsi="Times New Roman" w:cs="Times New Roman"/>
          <w:sz w:val="24"/>
          <w:szCs w:val="24"/>
        </w:rPr>
      </w:pPr>
      <w:r>
        <w:rPr>
          <w:rFonts w:cs="Times New Roman" w:ascii="Times New Roman" w:hAnsi="Times New Roman"/>
          <w:sz w:val="24"/>
          <w:szCs w:val="24"/>
        </w:rPr>
        <w:t>10. Mokymo programa turi būti parengta ir perduota Perkančiajai organizacijai. Paslaugos tiekėjas Perkančiajai organizacijai pateikia:</w:t>
      </w:r>
    </w:p>
    <w:p>
      <w:pPr>
        <w:pStyle w:val="Normal"/>
        <w:jc w:val="both"/>
        <w:rPr>
          <w:rFonts w:ascii="Times New Roman" w:hAnsi="Times New Roman" w:cs="Times New Roman"/>
          <w:sz w:val="24"/>
          <w:szCs w:val="24"/>
        </w:rPr>
      </w:pPr>
      <w:r>
        <w:rPr>
          <w:rFonts w:cs="Times New Roman" w:ascii="Times New Roman" w:hAnsi="Times New Roman"/>
          <w:sz w:val="24"/>
          <w:szCs w:val="24"/>
        </w:rPr>
        <w:t>10.1.  Profesinės kvalifikacijos tobulinimo programos aprašą, parengtą pagal Taisyklių 2 priede pateiktą formą;</w:t>
      </w:r>
      <w:bookmarkStart w:id="14" w:name="part_39bc2eebaafa48cda81732a68d2579e3_Co"/>
      <w:bookmarkEnd w:id="14"/>
    </w:p>
    <w:p>
      <w:pPr>
        <w:pStyle w:val="Normal"/>
        <w:jc w:val="both"/>
        <w:rPr>
          <w:rFonts w:ascii="Times New Roman" w:hAnsi="Times New Roman" w:cs="Times New Roman"/>
          <w:sz w:val="24"/>
          <w:szCs w:val="24"/>
        </w:rPr>
      </w:pPr>
      <w:r>
        <w:rPr>
          <w:rFonts w:cs="Times New Roman" w:ascii="Times New Roman" w:hAnsi="Times New Roman"/>
          <w:sz w:val="24"/>
          <w:szCs w:val="24"/>
        </w:rPr>
        <w:t>10.2. Vertinimo rekomendacijas, parengtas pagal Taisyklių 3 priede pateiktą Profesinės kvalifikacijos tobulinimo programos vertinimo rekomendacijos formą;</w:t>
      </w:r>
      <w:bookmarkStart w:id="15" w:name="part_4469ce82a84647fdb191470318708313_Co"/>
      <w:bookmarkEnd w:id="15"/>
    </w:p>
    <w:p>
      <w:pPr>
        <w:pStyle w:val="Normal"/>
        <w:jc w:val="both"/>
        <w:rPr>
          <w:rFonts w:ascii="Times New Roman" w:hAnsi="Times New Roman" w:cs="Times New Roman"/>
          <w:sz w:val="24"/>
          <w:szCs w:val="24"/>
        </w:rPr>
      </w:pPr>
      <w:r>
        <w:rPr>
          <w:rFonts w:cs="Times New Roman" w:ascii="Times New Roman" w:hAnsi="Times New Roman"/>
          <w:sz w:val="24"/>
          <w:szCs w:val="24"/>
        </w:rPr>
        <w:t>10.3. Vertintojų užpildytą ir pasirašytą Vertintojo nešališkumo deklaraciją ir konfidencialumo pasižadėjimą (Taisyklių 4 priedas);</w:t>
      </w:r>
      <w:bookmarkStart w:id="16" w:name="part_03490e9540074a23a5b18ea3c7c8a89c_Co"/>
      <w:bookmarkEnd w:id="16"/>
    </w:p>
    <w:p>
      <w:pPr>
        <w:pStyle w:val="Normal"/>
        <w:jc w:val="both"/>
        <w:rPr>
          <w:rFonts w:ascii="Times New Roman" w:hAnsi="Times New Roman" w:cs="Times New Roman"/>
          <w:sz w:val="24"/>
          <w:szCs w:val="24"/>
        </w:rPr>
      </w:pPr>
      <w:r>
        <w:rPr>
          <w:rFonts w:cs="Times New Roman" w:ascii="Times New Roman" w:hAnsi="Times New Roman"/>
          <w:sz w:val="24"/>
          <w:szCs w:val="24"/>
        </w:rPr>
        <w:t>10.4. Dokumentus, patvirtinančius, kad vertintojai atitinka Taisyklių 13 ir (ar) 14 punktuose nustatytus kvalifikacinius reikalavimus (išsilavinimą, kvalifikaciją ir darbo patirtį patvirtinančių dokumentų kopijas).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III SKYRIUS</w:t>
      </w:r>
    </w:p>
    <w:p>
      <w:pPr>
        <w:pStyle w:val="Normal"/>
        <w:jc w:val="center"/>
        <w:rPr>
          <w:rFonts w:ascii="Times New Roman" w:hAnsi="Times New Roman" w:cs="Times New Roman"/>
          <w:sz w:val="24"/>
          <w:szCs w:val="24"/>
        </w:rPr>
      </w:pPr>
      <w:r>
        <w:rPr>
          <w:rFonts w:cs="Times New Roman" w:ascii="Times New Roman" w:hAnsi="Times New Roman"/>
          <w:b/>
          <w:bCs/>
          <w:sz w:val="24"/>
          <w:szCs w:val="24"/>
        </w:rPr>
        <w:t>REIKALAVIMAI NUOTOLINIŲ MOKYMŲ MEDŽIAGOS TURINIUI</w:t>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11. Reikalavimai nuotolinių mokymų medžiagos turinio kūrimui: </w:t>
      </w:r>
    </w:p>
    <w:p>
      <w:pPr>
        <w:pStyle w:val="Normal"/>
        <w:jc w:val="both"/>
        <w:rPr>
          <w:rFonts w:ascii="Times New Roman" w:hAnsi="Times New Roman" w:cs="Times New Roman"/>
          <w:sz w:val="24"/>
          <w:szCs w:val="24"/>
        </w:rPr>
      </w:pPr>
      <w:r>
        <w:rPr>
          <w:rFonts w:cs="Times New Roman" w:ascii="Times New Roman" w:hAnsi="Times New Roman"/>
          <w:sz w:val="24"/>
          <w:szCs w:val="24"/>
        </w:rPr>
        <w:t>11.1. Mokymų turinys turi būti parengtas lietuvių kalba; išdėstytas nuosekliai, suprantamai ir aiškiai, esant poreikiui gali būti pateikiami kai kurių vartojamų terminų paaiškinimai; </w:t>
      </w:r>
    </w:p>
    <w:p>
      <w:pPr>
        <w:pStyle w:val="Normal"/>
        <w:jc w:val="both"/>
        <w:rPr>
          <w:rFonts w:ascii="Times New Roman" w:hAnsi="Times New Roman" w:cs="Times New Roman"/>
          <w:sz w:val="24"/>
          <w:szCs w:val="24"/>
        </w:rPr>
      </w:pPr>
      <w:r>
        <w:rPr>
          <w:rFonts w:cs="Times New Roman" w:ascii="Times New Roman" w:hAnsi="Times New Roman"/>
          <w:sz w:val="24"/>
          <w:szCs w:val="24"/>
        </w:rPr>
        <w:t>11.2. Mokymų turinyje turi būti nurodyti mokymų tikslai, siekiami mokymosi rezultatai; </w:t>
      </w:r>
    </w:p>
    <w:p>
      <w:pPr>
        <w:pStyle w:val="Normal"/>
        <w:jc w:val="both"/>
        <w:rPr>
          <w:rFonts w:ascii="Times New Roman" w:hAnsi="Times New Roman" w:cs="Times New Roman"/>
          <w:sz w:val="24"/>
          <w:szCs w:val="24"/>
        </w:rPr>
      </w:pPr>
      <w:r>
        <w:rPr>
          <w:rFonts w:cs="Times New Roman" w:ascii="Times New Roman" w:hAnsi="Times New Roman"/>
          <w:sz w:val="24"/>
          <w:szCs w:val="24"/>
        </w:rPr>
        <w:t>11.3.Mokymų turinys turi būti sukurtas taip, kad tikslinėje grupėje nurodyti specialistai gautų pagrindines, aktualias ir svarbias žinias, įgytų įgūdžių bei ugdytų kompetencijas skiepijimo pagrindų, skiepais valdomas ligų, jų profilaktikos ir valdymo, skiepijimo aprėpčių didinimo ir komunikavimo apie skiepijimus srityse;</w:t>
      </w:r>
    </w:p>
    <w:p>
      <w:pPr>
        <w:pStyle w:val="Normal"/>
        <w:jc w:val="both"/>
        <w:rPr>
          <w:rFonts w:ascii="Times New Roman" w:hAnsi="Times New Roman" w:cs="Times New Roman"/>
          <w:sz w:val="24"/>
          <w:szCs w:val="24"/>
        </w:rPr>
      </w:pPr>
      <w:r>
        <w:rPr>
          <w:rFonts w:cs="Times New Roman" w:ascii="Times New Roman" w:hAnsi="Times New Roman"/>
          <w:sz w:val="24"/>
          <w:szCs w:val="24"/>
        </w:rPr>
        <w:t>11.4. Mokymų turinys turi būti paremtas šiuolaikiniais ir aktualiais literatūros šaltiniais, atitinkančiais tematiką;</w:t>
      </w:r>
    </w:p>
    <w:p>
      <w:pPr>
        <w:pStyle w:val="Normal"/>
        <w:jc w:val="both"/>
        <w:rPr>
          <w:rFonts w:ascii="Times New Roman" w:hAnsi="Times New Roman" w:cs="Times New Roman"/>
          <w:sz w:val="24"/>
          <w:szCs w:val="24"/>
        </w:rPr>
      </w:pPr>
      <w:r>
        <w:rPr>
          <w:rFonts w:cs="Times New Roman" w:ascii="Times New Roman" w:hAnsi="Times New Roman"/>
          <w:sz w:val="24"/>
          <w:szCs w:val="24"/>
        </w:rPr>
        <w:t>11.5. Mokymų turinys turi turėti aiškią struktūrą (temos turi būti aiškiai atskirtos, identifikuojant, ką kiekvienoje temoje tikslinėje grupėje nurodyti specialistai turi išmokti); </w:t>
      </w:r>
    </w:p>
    <w:p>
      <w:pPr>
        <w:pStyle w:val="Normal"/>
        <w:jc w:val="both"/>
        <w:rPr>
          <w:rFonts w:ascii="Times New Roman" w:hAnsi="Times New Roman" w:cs="Times New Roman"/>
          <w:sz w:val="24"/>
          <w:szCs w:val="24"/>
        </w:rPr>
      </w:pPr>
      <w:r>
        <w:rPr>
          <w:rFonts w:cs="Times New Roman" w:ascii="Times New Roman" w:hAnsi="Times New Roman"/>
          <w:sz w:val="24"/>
          <w:szCs w:val="24"/>
        </w:rPr>
        <w:t>11.6. Tobulinimo dalykai / temos turi būti išdėstyti nuosekliai, remiantis tobulinimo programos planu;</w:t>
      </w:r>
    </w:p>
    <w:p>
      <w:pPr>
        <w:pStyle w:val="Normal"/>
        <w:jc w:val="both"/>
        <w:rPr>
          <w:rFonts w:ascii="Times New Roman" w:hAnsi="Times New Roman" w:cs="Times New Roman"/>
          <w:sz w:val="24"/>
          <w:szCs w:val="24"/>
        </w:rPr>
      </w:pPr>
      <w:r>
        <w:rPr>
          <w:rFonts w:cs="Times New Roman" w:ascii="Times New Roman" w:hAnsi="Times New Roman"/>
          <w:sz w:val="24"/>
          <w:szCs w:val="24"/>
        </w:rPr>
        <w:t>11.7.  Parengtoje mokymų medžiagoje mokymų temos turi būti pristatytos naudojant tikslingai parinktus mokymo (-si) metodus (paskaita, paskaitos skaidrių demonstravimas, atvejų analizė, įgūdžių formavimo situacijos), orientuotus į siekiamą mokymų tikslą;</w:t>
      </w:r>
    </w:p>
    <w:p>
      <w:pPr>
        <w:pStyle w:val="Normal"/>
        <w:jc w:val="both"/>
        <w:rPr>
          <w:rFonts w:ascii="Times New Roman" w:hAnsi="Times New Roman" w:cs="Times New Roman"/>
          <w:sz w:val="24"/>
          <w:szCs w:val="24"/>
        </w:rPr>
      </w:pPr>
      <w:r>
        <w:rPr>
          <w:rFonts w:cs="Times New Roman" w:ascii="Times New Roman" w:hAnsi="Times New Roman"/>
          <w:sz w:val="24"/>
          <w:szCs w:val="24"/>
        </w:rPr>
        <w:t>11.8. Mokymų turinys turi būti išsamus, pakankamas savarankiškam mokymuisi, orientuotas į tobulinimo programoje nurodytus rezultatus (ką tikslinėje grupėje nurodyti specialistai turėtų žinoti ir gebėti pasibaigus mokymo procesui); </w:t>
      </w:r>
    </w:p>
    <w:p>
      <w:pPr>
        <w:pStyle w:val="Normal"/>
        <w:jc w:val="both"/>
        <w:rPr>
          <w:rFonts w:ascii="Times New Roman" w:hAnsi="Times New Roman" w:cs="Times New Roman"/>
          <w:sz w:val="24"/>
          <w:szCs w:val="24"/>
        </w:rPr>
      </w:pPr>
      <w:r>
        <w:rPr>
          <w:rFonts w:cs="Times New Roman" w:ascii="Times New Roman" w:hAnsi="Times New Roman"/>
          <w:sz w:val="24"/>
          <w:szCs w:val="24"/>
        </w:rPr>
        <w:t>11.9. Mokymų turinys turi apimti pasakojamąjį tekstą, skirtą e. mokymų naudotojams, pavyzdinių praktinių užduočių ir žinių patikrinimo testų, pritaikytų e. mokymams ir rekomenduojamų vizualinio turinio sprendimų aprašymą; </w:t>
      </w:r>
    </w:p>
    <w:p>
      <w:pPr>
        <w:pStyle w:val="Normal"/>
        <w:jc w:val="both"/>
        <w:rPr>
          <w:rFonts w:ascii="Times New Roman" w:hAnsi="Times New Roman" w:cs="Times New Roman"/>
          <w:sz w:val="24"/>
          <w:szCs w:val="24"/>
        </w:rPr>
      </w:pPr>
      <w:r>
        <w:rPr>
          <w:rFonts w:cs="Times New Roman" w:ascii="Times New Roman" w:hAnsi="Times New Roman"/>
          <w:sz w:val="24"/>
          <w:szCs w:val="24"/>
        </w:rPr>
        <w:t>11.10. Parengtoje mokymų medžiagoje naudojami metodiniai ištekliai (paruošti pranešimai (metodinė medžiaga), dalomoji medžiaga mokymo dalyviams (skaitmeniniu formatu), praktinių užduočių medžiaga, videopaskaita) turi būti pakankami atskleisti mokymų programos turinį pagal pateiktą valandų skaičiaus kriterijų;</w:t>
      </w:r>
    </w:p>
    <w:p>
      <w:pPr>
        <w:pStyle w:val="Normal"/>
        <w:jc w:val="both"/>
        <w:rPr>
          <w:rFonts w:ascii="Times New Roman" w:hAnsi="Times New Roman" w:cs="Times New Roman"/>
          <w:sz w:val="24"/>
          <w:szCs w:val="24"/>
        </w:rPr>
      </w:pPr>
      <w:r>
        <w:rPr>
          <w:rFonts w:cs="Times New Roman" w:ascii="Times New Roman" w:hAnsi="Times New Roman"/>
          <w:sz w:val="24"/>
          <w:szCs w:val="24"/>
        </w:rPr>
        <w:t>11.11. Kiekvienos mokymo temos pabaigoje turi būti mokymų medžiagos santrauka PDF formatu (iki 5 psl.), savikontrolės testas ir / ar užduotys žinių įvertinimui (su pateiktais teisingais atsakymais). </w:t>
      </w:r>
    </w:p>
    <w:p>
      <w:pPr>
        <w:pStyle w:val="Normal"/>
        <w:jc w:val="both"/>
        <w:rPr>
          <w:rFonts w:ascii="Times New Roman" w:hAnsi="Times New Roman" w:cs="Times New Roman"/>
          <w:sz w:val="24"/>
          <w:szCs w:val="24"/>
        </w:rPr>
      </w:pPr>
      <w:r>
        <w:rPr>
          <w:rFonts w:cs="Times New Roman" w:ascii="Times New Roman" w:hAnsi="Times New Roman"/>
          <w:sz w:val="24"/>
          <w:szCs w:val="24"/>
        </w:rPr>
        <w:t>11.12. Mokymų pabaigoje turi būti baigiamasis žinių vertinimo testas (iki 20 klausimų, su pateiktais teisingais atsakymais);</w:t>
      </w:r>
    </w:p>
    <w:p>
      <w:pPr>
        <w:pStyle w:val="Normal"/>
        <w:jc w:val="both"/>
        <w:rPr>
          <w:rFonts w:ascii="Times New Roman" w:hAnsi="Times New Roman" w:cs="Times New Roman"/>
          <w:sz w:val="24"/>
          <w:szCs w:val="24"/>
        </w:rPr>
      </w:pPr>
      <w:r>
        <w:rPr>
          <w:rFonts w:cs="Times New Roman" w:ascii="Times New Roman" w:hAnsi="Times New Roman"/>
          <w:sz w:val="24"/>
          <w:szCs w:val="24"/>
        </w:rPr>
        <w:t>11.13. Kiekvienos mokymo temos pabaigoje turi būti nurodytas literatūros sąrašas, rekomenduojami / papildomi literatūros šaltiniai, norintiems daugiau pasigilinti į temą.</w:t>
      </w:r>
    </w:p>
    <w:p>
      <w:pPr>
        <w:pStyle w:val="Normal"/>
        <w:jc w:val="both"/>
        <w:rPr>
          <w:rFonts w:ascii="Times New Roman" w:hAnsi="Times New Roman" w:cs="Times New Roman"/>
          <w:sz w:val="24"/>
          <w:szCs w:val="24"/>
        </w:rPr>
      </w:pPr>
      <w:r>
        <w:rPr>
          <w:rFonts w:cs="Times New Roman" w:ascii="Times New Roman" w:hAnsi="Times New Roman"/>
          <w:sz w:val="24"/>
          <w:szCs w:val="24"/>
        </w:rPr>
        <w:t>12. Parengtos mokymų medžiagos turinyje pateikiama informacija neturi prieštarauti galiojantiems Lietuvos Respublikos teisėms aktams.</w:t>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IV SKYRIUS</w:t>
      </w:r>
    </w:p>
    <w:p>
      <w:pPr>
        <w:pStyle w:val="Normal"/>
        <w:jc w:val="center"/>
        <w:rPr>
          <w:rFonts w:ascii="Times New Roman" w:hAnsi="Times New Roman" w:cs="Times New Roman"/>
          <w:sz w:val="24"/>
          <w:szCs w:val="24"/>
        </w:rPr>
      </w:pPr>
      <w:r>
        <w:rPr>
          <w:rFonts w:cs="Times New Roman" w:ascii="Times New Roman" w:hAnsi="Times New Roman"/>
          <w:b/>
          <w:bCs/>
          <w:sz w:val="24"/>
          <w:szCs w:val="24"/>
        </w:rPr>
        <w:t>REIKALAVIMAI NUOTOLINIŲ E. MOKYMŲ KŪRIMUI</w:t>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13. Nuotolinių e. mokymų kūrimą apima: </w:t>
      </w:r>
    </w:p>
    <w:p>
      <w:pPr>
        <w:pStyle w:val="Normal"/>
        <w:jc w:val="both"/>
        <w:rPr>
          <w:rFonts w:ascii="Times New Roman" w:hAnsi="Times New Roman" w:cs="Times New Roman"/>
          <w:sz w:val="24"/>
          <w:szCs w:val="24"/>
        </w:rPr>
      </w:pPr>
      <w:r>
        <w:rPr>
          <w:rFonts w:cs="Times New Roman" w:ascii="Times New Roman" w:hAnsi="Times New Roman"/>
          <w:sz w:val="24"/>
          <w:szCs w:val="24"/>
        </w:rPr>
        <w:t>13.1E. mokymų kūrimo planavimą (koncepcijos išgryninimą, e. mokymų kūrimo plano parengimą ir pan.);</w:t>
      </w:r>
    </w:p>
    <w:p>
      <w:pPr>
        <w:pStyle w:val="Normal"/>
        <w:jc w:val="both"/>
        <w:rPr>
          <w:rFonts w:ascii="Times New Roman" w:hAnsi="Times New Roman" w:cs="Times New Roman"/>
          <w:sz w:val="24"/>
          <w:szCs w:val="24"/>
        </w:rPr>
      </w:pPr>
      <w:r>
        <w:rPr>
          <w:rFonts w:cs="Times New Roman" w:ascii="Times New Roman" w:hAnsi="Times New Roman"/>
          <w:sz w:val="24"/>
          <w:szCs w:val="24"/>
        </w:rPr>
        <w:t>13.2. E. mokymų turinio kūrimą (scenarijaus rengimą, tekstų, testų, užduočių paruošimą ir pan.);</w:t>
      </w:r>
    </w:p>
    <w:p>
      <w:pPr>
        <w:pStyle w:val="Normal"/>
        <w:jc w:val="both"/>
        <w:rPr>
          <w:rFonts w:ascii="Times New Roman" w:hAnsi="Times New Roman" w:cs="Times New Roman"/>
          <w:sz w:val="24"/>
          <w:szCs w:val="24"/>
        </w:rPr>
      </w:pPr>
      <w:r>
        <w:rPr>
          <w:rFonts w:cs="Times New Roman" w:ascii="Times New Roman" w:hAnsi="Times New Roman"/>
          <w:sz w:val="24"/>
          <w:szCs w:val="24"/>
        </w:rPr>
        <w:t>13.3. E. mokymų gamybą (grafinių elementų parinkimą, įgarsinimo, maketavimo / montavimo darbus, video mokymų ir kitų elementų integravimą);</w:t>
      </w:r>
    </w:p>
    <w:p>
      <w:pPr>
        <w:pStyle w:val="Normal"/>
        <w:jc w:val="both"/>
        <w:rPr>
          <w:rFonts w:ascii="Times New Roman" w:hAnsi="Times New Roman" w:cs="Times New Roman"/>
          <w:sz w:val="24"/>
          <w:szCs w:val="24"/>
        </w:rPr>
      </w:pPr>
      <w:r>
        <w:rPr>
          <w:rFonts w:cs="Times New Roman" w:ascii="Times New Roman" w:hAnsi="Times New Roman"/>
          <w:sz w:val="24"/>
          <w:szCs w:val="24"/>
        </w:rPr>
        <w:t>13.4. E. mokymų testavimą.</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14. Parengtuose e. mokymuose turi būti: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14.1. pateiktas grafinis apipavidalinimas (ikonos, nuotraukos, iliustracijos ir kt.), nepažeidžiant </w:t>
        <w:br/>
        <w:t>29 p. reikalavimų;</w:t>
      </w:r>
    </w:p>
    <w:p>
      <w:pPr>
        <w:pStyle w:val="Normal"/>
        <w:jc w:val="both"/>
        <w:rPr>
          <w:rFonts w:ascii="Times New Roman" w:hAnsi="Times New Roman" w:cs="Times New Roman"/>
          <w:sz w:val="24"/>
          <w:szCs w:val="24"/>
        </w:rPr>
      </w:pPr>
      <w:r>
        <w:rPr>
          <w:rFonts w:cs="Times New Roman" w:ascii="Times New Roman" w:hAnsi="Times New Roman"/>
          <w:sz w:val="24"/>
          <w:szCs w:val="24"/>
        </w:rPr>
        <w:t>14.2. savikontrolės testai ir / ar užduotys, baigiamasis žinių vertinimo testas pritaikyti virtualiai mokymosi aplinkai Moodle arba lygiavertei šiai sistemai platformai, užtikrinančiai panašias funkcionalumo ir naudojimo galimybes. Jei pasirinkami testo tipo klausimai, jie gali būti su vienu arba keliais atsakymo variantais, „True / False“, „Drag-and-drop” pratimai ir pan.;</w:t>
      </w:r>
    </w:p>
    <w:p>
      <w:pPr>
        <w:pStyle w:val="Normal"/>
        <w:jc w:val="both"/>
        <w:rPr>
          <w:rFonts w:ascii="Times New Roman" w:hAnsi="Times New Roman" w:cs="Times New Roman"/>
          <w:sz w:val="24"/>
          <w:szCs w:val="24"/>
        </w:rPr>
      </w:pPr>
      <w:r>
        <w:rPr>
          <w:rFonts w:cs="Times New Roman" w:ascii="Times New Roman" w:hAnsi="Times New Roman"/>
          <w:sz w:val="24"/>
          <w:szCs w:val="24"/>
        </w:rPr>
        <w:t>14.3. naudojamas kokybiškas, be pašalinių garsų ar trikdžių vaizdo medžiagos įgarsinimas, užtikrinant sklandų mokymosi procesą. Vaizdo įraše matomas lektorius, pristatantis dėstomą temą;</w:t>
      </w:r>
    </w:p>
    <w:p>
      <w:pPr>
        <w:pStyle w:val="Normal"/>
        <w:jc w:val="both"/>
        <w:rPr>
          <w:rFonts w:ascii="Times New Roman" w:hAnsi="Times New Roman" w:cs="Times New Roman"/>
          <w:sz w:val="24"/>
          <w:szCs w:val="24"/>
        </w:rPr>
      </w:pPr>
      <w:r>
        <w:rPr>
          <w:rFonts w:cs="Times New Roman" w:ascii="Times New Roman" w:hAnsi="Times New Roman"/>
          <w:sz w:val="24"/>
          <w:szCs w:val="24"/>
        </w:rPr>
        <w:t>14.4. vaizdo įrašai ir kita e. mokymų medžiaga suglaudinta optimaliam kokybės ir failo dydžio santykiui;</w:t>
      </w:r>
    </w:p>
    <w:p>
      <w:pPr>
        <w:pStyle w:val="Normal"/>
        <w:jc w:val="both"/>
        <w:rPr>
          <w:rFonts w:ascii="Times New Roman" w:hAnsi="Times New Roman" w:cs="Times New Roman"/>
          <w:sz w:val="24"/>
          <w:szCs w:val="24"/>
        </w:rPr>
      </w:pPr>
      <w:r>
        <w:rPr>
          <w:rFonts w:cs="Times New Roman" w:ascii="Times New Roman" w:hAnsi="Times New Roman"/>
          <w:sz w:val="24"/>
          <w:szCs w:val="24"/>
        </w:rPr>
        <w:t>14.5. naudojama taisyklinga lietuvių kalba visam e. mokymų turiniui.</w:t>
      </w:r>
    </w:p>
    <w:p>
      <w:pPr>
        <w:pStyle w:val="Normal"/>
        <w:jc w:val="both"/>
        <w:rPr>
          <w:rFonts w:ascii="Times New Roman" w:hAnsi="Times New Roman" w:cs="Times New Roman"/>
          <w:sz w:val="24"/>
          <w:szCs w:val="24"/>
        </w:rPr>
      </w:pPr>
      <w:r>
        <w:rPr>
          <w:rFonts w:cs="Times New Roman" w:ascii="Times New Roman" w:hAnsi="Times New Roman"/>
          <w:sz w:val="24"/>
          <w:szCs w:val="24"/>
        </w:rPr>
        <w:t>15. Užtikrinti aktyvų įsitraukimą ir efektyvų mokymąsi e. mokymo turinys turi būti pateiktas šiomis formomis:</w:t>
      </w:r>
    </w:p>
    <w:p>
      <w:pPr>
        <w:pStyle w:val="Normal"/>
        <w:jc w:val="both"/>
        <w:rPr>
          <w:rFonts w:ascii="Times New Roman" w:hAnsi="Times New Roman" w:cs="Times New Roman"/>
          <w:sz w:val="24"/>
          <w:szCs w:val="24"/>
        </w:rPr>
      </w:pPr>
      <w:r>
        <w:rPr>
          <w:rFonts w:cs="Times New Roman" w:ascii="Times New Roman" w:hAnsi="Times New Roman"/>
          <w:sz w:val="24"/>
          <w:szCs w:val="24"/>
        </w:rPr>
        <w:t>15.1. vaizdo medžiaga – išlaikyti dėmesį, paaiškinti sudėtingas temas vizualiai ir interaktyviai;</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15.2. skaidrės – struktūruotas turinys, aiškūs pagrindiniai punktai, lengvai peržiūrima informacija; </w:t>
      </w:r>
    </w:p>
    <w:p>
      <w:pPr>
        <w:pStyle w:val="Normal"/>
        <w:jc w:val="both"/>
        <w:rPr>
          <w:rFonts w:ascii="Times New Roman" w:hAnsi="Times New Roman" w:cs="Times New Roman"/>
          <w:sz w:val="24"/>
          <w:szCs w:val="24"/>
        </w:rPr>
      </w:pPr>
      <w:r>
        <w:rPr>
          <w:rFonts w:cs="Times New Roman" w:ascii="Times New Roman" w:hAnsi="Times New Roman"/>
          <w:sz w:val="24"/>
          <w:szCs w:val="24"/>
        </w:rPr>
        <w:t>15.3. tekstiniai failai – suteikti gilesnį supratimą ir papildomą informaciją, leidžia gilintis į specifines detales;</w:t>
      </w:r>
    </w:p>
    <w:p>
      <w:pPr>
        <w:pStyle w:val="Normal"/>
        <w:jc w:val="both"/>
        <w:rPr>
          <w:rFonts w:ascii="Times New Roman" w:hAnsi="Times New Roman" w:cs="Times New Roman"/>
          <w:sz w:val="24"/>
          <w:szCs w:val="24"/>
        </w:rPr>
      </w:pPr>
      <w:r>
        <w:rPr>
          <w:rFonts w:cs="Times New Roman" w:ascii="Times New Roman" w:hAnsi="Times New Roman"/>
          <w:sz w:val="24"/>
          <w:szCs w:val="24"/>
        </w:rPr>
        <w:t>15.4. interaktyvus turinys – testai, atvejų analizės, užduotys, skatinantys aktyvų dalyvavimą, padedantys geriau įsisavinti informaciją ir įtvirtinti žinias.</w:t>
      </w:r>
    </w:p>
    <w:p>
      <w:pPr>
        <w:pStyle w:val="Normal"/>
        <w:jc w:val="both"/>
        <w:rPr>
          <w:rFonts w:ascii="Times New Roman" w:hAnsi="Times New Roman" w:cs="Times New Roman"/>
          <w:sz w:val="24"/>
          <w:szCs w:val="24"/>
        </w:rPr>
      </w:pPr>
      <w:r>
        <w:rPr>
          <w:rFonts w:cs="Times New Roman" w:ascii="Times New Roman" w:hAnsi="Times New Roman"/>
          <w:sz w:val="24"/>
          <w:szCs w:val="24"/>
        </w:rPr>
        <w:t>16. Galimi e. mokymų turinio pateikimo formatai (suderinami su virtualia mokymosi aplinka Moodle arba lygiaverte šiai sistemai platforma, užtikrinančia panašias funkcionalumo ir naudojimo galimybes):</w:t>
      </w:r>
    </w:p>
    <w:p>
      <w:pPr>
        <w:pStyle w:val="Normal"/>
        <w:jc w:val="both"/>
        <w:rPr>
          <w:rFonts w:ascii="Times New Roman" w:hAnsi="Times New Roman" w:cs="Times New Roman"/>
          <w:sz w:val="24"/>
          <w:szCs w:val="24"/>
        </w:rPr>
      </w:pPr>
      <w:r>
        <w:rPr>
          <w:rFonts w:cs="Times New Roman" w:ascii="Times New Roman" w:hAnsi="Times New Roman"/>
          <w:sz w:val="24"/>
          <w:szCs w:val="24"/>
        </w:rPr>
        <w:t>16.1. PDF – mokymo medžiaga, infografikai ar vizualizuoti teoriniai aspektai, papildoma informacija;</w:t>
      </w:r>
    </w:p>
    <w:p>
      <w:pPr>
        <w:pStyle w:val="Normal"/>
        <w:jc w:val="both"/>
        <w:rPr>
          <w:rFonts w:ascii="Times New Roman" w:hAnsi="Times New Roman" w:cs="Times New Roman"/>
          <w:sz w:val="24"/>
          <w:szCs w:val="24"/>
        </w:rPr>
      </w:pPr>
      <w:r>
        <w:rPr>
          <w:rFonts w:cs="Times New Roman" w:ascii="Times New Roman" w:hAnsi="Times New Roman"/>
          <w:sz w:val="24"/>
          <w:szCs w:val="24"/>
        </w:rPr>
        <w:t>16.2. MP4 – vaizdo paskaitos, animuoti vaizdo įrašai, demonstracijos, praktiniai pavyzdžiai;</w:t>
      </w:r>
    </w:p>
    <w:p>
      <w:pPr>
        <w:pStyle w:val="Normal"/>
        <w:jc w:val="both"/>
        <w:rPr>
          <w:rFonts w:ascii="Times New Roman" w:hAnsi="Times New Roman" w:cs="Times New Roman"/>
          <w:sz w:val="24"/>
          <w:szCs w:val="24"/>
        </w:rPr>
      </w:pPr>
      <w:r>
        <w:rPr>
          <w:rFonts w:cs="Times New Roman" w:ascii="Times New Roman" w:hAnsi="Times New Roman"/>
          <w:sz w:val="24"/>
          <w:szCs w:val="24"/>
        </w:rPr>
        <w:t>16.3. PPTX – skaidrių rinkinys interaktyviems pristatymams;</w:t>
      </w:r>
    </w:p>
    <w:p>
      <w:pPr>
        <w:pStyle w:val="Normal"/>
        <w:jc w:val="both"/>
        <w:rPr>
          <w:rFonts w:ascii="Times New Roman" w:hAnsi="Times New Roman" w:cs="Times New Roman"/>
          <w:sz w:val="24"/>
          <w:szCs w:val="24"/>
        </w:rPr>
      </w:pPr>
      <w:r>
        <w:rPr>
          <w:rFonts w:cs="Times New Roman" w:ascii="Times New Roman" w:hAnsi="Times New Roman"/>
          <w:sz w:val="24"/>
          <w:szCs w:val="24"/>
        </w:rPr>
        <w:t>16.4. JPEG, PNG, GIF, SVG – paveikslėliai, infografikai;</w:t>
      </w:r>
    </w:p>
    <w:p>
      <w:pPr>
        <w:pStyle w:val="Normal"/>
        <w:jc w:val="both"/>
        <w:rPr>
          <w:rFonts w:ascii="Times New Roman" w:hAnsi="Times New Roman" w:cs="Times New Roman"/>
          <w:sz w:val="24"/>
          <w:szCs w:val="24"/>
        </w:rPr>
      </w:pPr>
      <w:r>
        <w:rPr>
          <w:rFonts w:cs="Times New Roman" w:ascii="Times New Roman" w:hAnsi="Times New Roman"/>
          <w:sz w:val="24"/>
          <w:szCs w:val="24"/>
        </w:rPr>
        <w:t>16.5. H5P – interaktyvūs turinio elementai, papildantys mokymų turinį (užduotys, interaktyvūs vaizdo įrašai ir prezentacijos);</w:t>
      </w:r>
    </w:p>
    <w:p>
      <w:pPr>
        <w:pStyle w:val="Normal"/>
        <w:jc w:val="both"/>
        <w:rPr>
          <w:rFonts w:ascii="Times New Roman" w:hAnsi="Times New Roman" w:cs="Times New Roman"/>
          <w:sz w:val="24"/>
          <w:szCs w:val="24"/>
        </w:rPr>
      </w:pPr>
      <w:r>
        <w:rPr>
          <w:rFonts w:cs="Times New Roman" w:ascii="Times New Roman" w:hAnsi="Times New Roman"/>
          <w:sz w:val="24"/>
          <w:szCs w:val="24"/>
        </w:rPr>
        <w:t>16.7. SCORM – standartizuotas mokymo turinio formatas, leidžiantis integruoti mokymo medžiagą į mokymosi valdymo sistemas;</w:t>
      </w:r>
    </w:p>
    <w:p>
      <w:pPr>
        <w:pStyle w:val="Normal"/>
        <w:jc w:val="both"/>
        <w:rPr>
          <w:rFonts w:ascii="Times New Roman" w:hAnsi="Times New Roman" w:cs="Times New Roman"/>
          <w:sz w:val="24"/>
          <w:szCs w:val="24"/>
        </w:rPr>
      </w:pPr>
      <w:r>
        <w:rPr>
          <w:rFonts w:cs="Times New Roman" w:ascii="Times New Roman" w:hAnsi="Times New Roman"/>
          <w:sz w:val="24"/>
          <w:szCs w:val="24"/>
        </w:rPr>
        <w:t>16.8. Kiti interaktyvūs e. mokymų kūrimo formatai, kurie suderinami su virtualia mokymosi aplinka Moodle arba lygiaverte šiai sistemai platforma, užtikrinančia panašias funkcionalumo ir naudojimo galimybes.</w:t>
      </w:r>
    </w:p>
    <w:p>
      <w:pPr>
        <w:pStyle w:val="Normal"/>
        <w:jc w:val="both"/>
        <w:rPr>
          <w:rFonts w:ascii="Times New Roman" w:hAnsi="Times New Roman" w:cs="Times New Roman"/>
          <w:sz w:val="24"/>
          <w:szCs w:val="24"/>
        </w:rPr>
      </w:pPr>
      <w:r>
        <w:rPr>
          <w:rFonts w:cs="Times New Roman" w:ascii="Times New Roman" w:hAnsi="Times New Roman"/>
          <w:sz w:val="24"/>
          <w:szCs w:val="24"/>
        </w:rPr>
        <w:t>17. Visose mokymų medžiagos temose / dalyse turi būti naudojamos tokios pačios technologijos, kurios tarpusavyje turi derėti technologiškai ir funkciškai.</w:t>
      </w:r>
    </w:p>
    <w:p>
      <w:pPr>
        <w:pStyle w:val="Normal"/>
        <w:jc w:val="both"/>
        <w:rPr>
          <w:rFonts w:ascii="Times New Roman" w:hAnsi="Times New Roman" w:cs="Times New Roman"/>
          <w:sz w:val="24"/>
          <w:szCs w:val="24"/>
        </w:rPr>
      </w:pPr>
      <w:r>
        <w:rPr>
          <w:rFonts w:cs="Times New Roman" w:ascii="Times New Roman" w:hAnsi="Times New Roman"/>
          <w:sz w:val="24"/>
          <w:szCs w:val="24"/>
        </w:rPr>
        <w:t>18. E. mokymų turinys turi būti estetiškas: derėti fonas, iliustracijos ir tekstas, harmoningai išdėstyti elementai, pasižymėti vientisa, stilinga grafika, šriftu, spalvomis, vaizdais ir kitais daugialypės terpės elementais.</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19. E. mokymai turi būti tinkamai atvaizduojami nepriklausomai nuo įrenginio (kompiuterio, mobilaus įrenginio, planšetinio kompiuterio). </w:t>
      </w:r>
    </w:p>
    <w:p>
      <w:pPr>
        <w:pStyle w:val="Normal"/>
        <w:jc w:val="both"/>
        <w:rPr>
          <w:rFonts w:ascii="Times New Roman" w:hAnsi="Times New Roman" w:cs="Times New Roman"/>
          <w:sz w:val="24"/>
          <w:szCs w:val="24"/>
        </w:rPr>
      </w:pPr>
      <w:r>
        <w:rPr>
          <w:rFonts w:cs="Times New Roman" w:ascii="Times New Roman" w:hAnsi="Times New Roman"/>
          <w:sz w:val="24"/>
          <w:szCs w:val="24"/>
        </w:rPr>
        <w:t>20. Tiekėjas kurdamas mokymų turinį, dizainą, mokymų funkcionalumą privalo juos suderinti su Perkančiąja organizacija.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IV SKYRIUS</w:t>
      </w:r>
    </w:p>
    <w:p>
      <w:pPr>
        <w:pStyle w:val="Normal"/>
        <w:jc w:val="center"/>
        <w:rPr>
          <w:rFonts w:ascii="Times New Roman" w:hAnsi="Times New Roman" w:cs="Times New Roman"/>
          <w:sz w:val="24"/>
          <w:szCs w:val="24"/>
        </w:rPr>
      </w:pPr>
      <w:r>
        <w:rPr>
          <w:rFonts w:cs="Times New Roman" w:ascii="Times New Roman" w:hAnsi="Times New Roman"/>
          <w:b/>
          <w:bCs/>
          <w:sz w:val="24"/>
          <w:szCs w:val="24"/>
        </w:rPr>
        <w:t>MOKYMŲ PROGRAMOS, MOKYMŲ MEDŽIAGOS IR E. MOKYMŲ RENGIMO TVARKA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21. Pasirašius paslaugų teikimo sutartį Tiekėjas ne vėliau kaip per 10 darbo dienų turi pateikti Perkančiajai organizacijai derinti paslaugų vykdymo planą, kuriame turi būti nurodytas planuojamas galutinis paslaugų suteikimo terminas, atskiri Paslaugų teikimo etapai, jų apimtys bei kita Tiekėjui ir Perkančiajai organizacijai svarbi informacija.</w:t>
      </w:r>
    </w:p>
    <w:p>
      <w:pPr>
        <w:pStyle w:val="Normal"/>
        <w:jc w:val="both"/>
        <w:rPr>
          <w:rFonts w:ascii="Times New Roman" w:hAnsi="Times New Roman" w:cs="Times New Roman"/>
          <w:sz w:val="24"/>
          <w:szCs w:val="24"/>
        </w:rPr>
      </w:pPr>
      <w:r>
        <w:rPr>
          <w:rFonts w:cs="Times New Roman" w:ascii="Times New Roman" w:hAnsi="Times New Roman"/>
          <w:sz w:val="24"/>
          <w:szCs w:val="24"/>
        </w:rPr>
        <w:t>22. Paslaugų vykdymo planą turi sudaryti šie mokymų kūrimo etapai:</w:t>
      </w:r>
    </w:p>
    <w:p>
      <w:pPr>
        <w:pStyle w:val="Normal"/>
        <w:jc w:val="both"/>
        <w:rPr>
          <w:rFonts w:ascii="Times New Roman" w:hAnsi="Times New Roman" w:cs="Times New Roman"/>
          <w:sz w:val="24"/>
          <w:szCs w:val="24"/>
        </w:rPr>
      </w:pPr>
      <w:r>
        <w:rPr>
          <w:rFonts w:cs="Times New Roman" w:ascii="Times New Roman" w:hAnsi="Times New Roman"/>
          <w:sz w:val="24"/>
          <w:szCs w:val="24"/>
        </w:rPr>
        <w:t>22.1. paslaugų vykdymo koncepcijos parengimas (detalus Perkančiosios organizacijos poreikio išsiaiškinimas, išgryninant mokymo tikslą, siektinus rezultatus, tikslinę auditoriją, mokymų temas);</w:t>
      </w:r>
    </w:p>
    <w:p>
      <w:pPr>
        <w:pStyle w:val="Normal"/>
        <w:jc w:val="both"/>
        <w:rPr>
          <w:rFonts w:ascii="Times New Roman" w:hAnsi="Times New Roman" w:cs="Times New Roman"/>
          <w:sz w:val="24"/>
          <w:szCs w:val="24"/>
        </w:rPr>
      </w:pPr>
      <w:r>
        <w:rPr>
          <w:rFonts w:cs="Times New Roman" w:ascii="Times New Roman" w:hAnsi="Times New Roman"/>
          <w:sz w:val="24"/>
          <w:szCs w:val="24"/>
        </w:rPr>
        <w:t>22.2. mokymų programos parengimas;</w:t>
      </w:r>
    </w:p>
    <w:p>
      <w:pPr>
        <w:pStyle w:val="Normal"/>
        <w:jc w:val="both"/>
        <w:rPr>
          <w:rFonts w:ascii="Times New Roman" w:hAnsi="Times New Roman" w:cs="Times New Roman"/>
          <w:sz w:val="24"/>
          <w:szCs w:val="24"/>
        </w:rPr>
      </w:pPr>
      <w:r>
        <w:rPr>
          <w:rFonts w:cs="Times New Roman" w:ascii="Times New Roman" w:hAnsi="Times New Roman"/>
          <w:sz w:val="24"/>
          <w:szCs w:val="24"/>
        </w:rPr>
        <w:t>22.3. mokymų medžiagos scenarijaus sukūrimas pagal patvirtintą mokymų programą (turinio struktūros parengimas, mokymų medžiagos pateikimo būdų (taip pat suderinant kokia forma (tekstinė, vaizdo ar kt.) medžiaga bus pateikiama) bei testų ir / ar užduočių ir baigiamojo vertinimo priemonių nustatymas);</w:t>
      </w:r>
    </w:p>
    <w:p>
      <w:pPr>
        <w:pStyle w:val="Normal"/>
        <w:jc w:val="both"/>
        <w:rPr>
          <w:rFonts w:ascii="Times New Roman" w:hAnsi="Times New Roman" w:cs="Times New Roman"/>
          <w:sz w:val="24"/>
          <w:szCs w:val="24"/>
        </w:rPr>
      </w:pPr>
      <w:r>
        <w:rPr>
          <w:rFonts w:cs="Times New Roman" w:ascii="Times New Roman" w:hAnsi="Times New Roman"/>
          <w:sz w:val="24"/>
          <w:szCs w:val="24"/>
        </w:rPr>
        <w:t>22.4. E. mokymų grafinio dizaino parengimas;</w:t>
      </w:r>
    </w:p>
    <w:p>
      <w:pPr>
        <w:pStyle w:val="Normal"/>
        <w:jc w:val="both"/>
        <w:rPr>
          <w:rFonts w:ascii="Times New Roman" w:hAnsi="Times New Roman" w:cs="Times New Roman"/>
          <w:sz w:val="24"/>
          <w:szCs w:val="24"/>
        </w:rPr>
      </w:pPr>
      <w:r>
        <w:rPr>
          <w:rFonts w:cs="Times New Roman" w:ascii="Times New Roman" w:hAnsi="Times New Roman"/>
          <w:sz w:val="24"/>
          <w:szCs w:val="24"/>
        </w:rPr>
        <w:t>22.5. E. mokymų techninis išpildymas;</w:t>
      </w:r>
    </w:p>
    <w:p>
      <w:pPr>
        <w:pStyle w:val="Normal"/>
        <w:jc w:val="both"/>
        <w:rPr>
          <w:rFonts w:ascii="Times New Roman" w:hAnsi="Times New Roman" w:cs="Times New Roman"/>
          <w:sz w:val="24"/>
          <w:szCs w:val="24"/>
        </w:rPr>
      </w:pPr>
      <w:r>
        <w:rPr>
          <w:rFonts w:cs="Times New Roman" w:ascii="Times New Roman" w:hAnsi="Times New Roman"/>
          <w:sz w:val="24"/>
          <w:szCs w:val="24"/>
        </w:rPr>
        <w:t>22.6. E. mokymų testavimas ir klaidų šalinimas;</w:t>
      </w:r>
    </w:p>
    <w:p>
      <w:pPr>
        <w:pStyle w:val="Normal"/>
        <w:jc w:val="both"/>
        <w:rPr>
          <w:rFonts w:ascii="Times New Roman" w:hAnsi="Times New Roman" w:cs="Times New Roman"/>
          <w:sz w:val="24"/>
          <w:szCs w:val="24"/>
        </w:rPr>
      </w:pPr>
      <w:r>
        <w:rPr>
          <w:rFonts w:cs="Times New Roman" w:ascii="Times New Roman" w:hAnsi="Times New Roman"/>
          <w:sz w:val="24"/>
          <w:szCs w:val="24"/>
        </w:rPr>
        <w:t>22.7. E. mokymų perdavimas Perkančiajai organizacijai.</w:t>
      </w:r>
    </w:p>
    <w:p>
      <w:pPr>
        <w:pStyle w:val="Normal"/>
        <w:jc w:val="both"/>
        <w:rPr>
          <w:rFonts w:ascii="Times New Roman" w:hAnsi="Times New Roman" w:cs="Times New Roman"/>
          <w:sz w:val="24"/>
          <w:szCs w:val="24"/>
        </w:rPr>
      </w:pPr>
      <w:r>
        <w:rPr>
          <w:rFonts w:cs="Times New Roman" w:ascii="Times New Roman" w:hAnsi="Times New Roman"/>
          <w:sz w:val="24"/>
          <w:szCs w:val="24"/>
        </w:rPr>
        <w:t>23. Tiekėjas pradeda teikti paslaugą gavęs Perkančiosios organizacijos pritarimą raštu.</w:t>
      </w:r>
    </w:p>
    <w:p>
      <w:pPr>
        <w:pStyle w:val="Normal"/>
        <w:jc w:val="both"/>
        <w:rPr>
          <w:rFonts w:ascii="Times New Roman" w:hAnsi="Times New Roman" w:cs="Times New Roman"/>
          <w:sz w:val="24"/>
          <w:szCs w:val="24"/>
        </w:rPr>
      </w:pPr>
      <w:r>
        <w:rPr>
          <w:rFonts w:cs="Times New Roman" w:ascii="Times New Roman" w:hAnsi="Times New Roman"/>
          <w:sz w:val="24"/>
          <w:szCs w:val="24"/>
        </w:rPr>
        <w:t>24. Tiekėjas atsakingas už visą nuotolinių mokymų parengimo paslaugos proceso valdymą, darbų organizavimą ir atlikimą.</w:t>
      </w:r>
    </w:p>
    <w:p>
      <w:pPr>
        <w:pStyle w:val="Normal"/>
        <w:jc w:val="both"/>
        <w:rPr>
          <w:rFonts w:ascii="Times New Roman" w:hAnsi="Times New Roman" w:cs="Times New Roman"/>
          <w:sz w:val="24"/>
          <w:szCs w:val="24"/>
        </w:rPr>
      </w:pPr>
      <w:r>
        <w:rPr>
          <w:rFonts w:cs="Times New Roman" w:ascii="Times New Roman" w:hAnsi="Times New Roman"/>
          <w:sz w:val="24"/>
          <w:szCs w:val="24"/>
        </w:rPr>
        <w:t>25. Teikėjas korekcijas pagal Perkančiosios organizacijos pateiktas pastabas viso nuotolinių mokymų parengimo paslaugos proceso metu turi atlikti ne vėliau kaip per 5 darbo dienas nuo pastabų pateikimo.</w:t>
      </w:r>
    </w:p>
    <w:p>
      <w:pPr>
        <w:pStyle w:val="Normal"/>
        <w:jc w:val="both"/>
        <w:rPr>
          <w:rFonts w:ascii="Times New Roman" w:hAnsi="Times New Roman" w:cs="Times New Roman"/>
          <w:sz w:val="24"/>
          <w:szCs w:val="24"/>
        </w:rPr>
      </w:pPr>
      <w:bookmarkStart w:id="17" w:name="_Hlk77258429_Copy_3"/>
      <w:r>
        <w:rPr>
          <w:rFonts w:cs="Times New Roman" w:ascii="Times New Roman" w:hAnsi="Times New Roman"/>
          <w:sz w:val="24"/>
          <w:szCs w:val="24"/>
        </w:rPr>
        <w:t>26.  Sukurtiems e. mokymams turi būti suteikiama garantija techniniams nesklandumams ir trūkumams šalinti – neribotai per 12 mėnesių nuo Paslaugų priėmimo–perdavimo akto pasirašymo dienos, jei tai susiję su Tiekėjo technine klaida arba neatitinka techninės specifikacijos, kitų reikalavimų, kurie buvo pateikti ir suderinti e. mokymų kūrimo metu.</w:t>
      </w:r>
      <w:bookmarkEnd w:id="17"/>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V SKYRIUS</w:t>
      </w:r>
    </w:p>
    <w:p>
      <w:pPr>
        <w:pStyle w:val="Normal"/>
        <w:jc w:val="center"/>
        <w:rPr>
          <w:rFonts w:ascii="Times New Roman" w:hAnsi="Times New Roman" w:cs="Times New Roman"/>
          <w:sz w:val="24"/>
          <w:szCs w:val="24"/>
        </w:rPr>
      </w:pPr>
      <w:r>
        <w:rPr>
          <w:rFonts w:cs="Times New Roman" w:ascii="Times New Roman" w:hAnsi="Times New Roman"/>
          <w:b/>
          <w:bCs/>
          <w:sz w:val="24"/>
          <w:szCs w:val="24"/>
        </w:rPr>
        <w:t>BENDRI REIKALAVIMAI PIRKIMUI</w:t>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27. Tiekėjas turi paskirti atsakingą asmenį, į kurį Perkančioji organizacija galėtų kreiptis dėl teikiamos Paslaugos. </w:t>
      </w:r>
    </w:p>
    <w:p>
      <w:pPr>
        <w:pStyle w:val="Normal"/>
        <w:jc w:val="both"/>
        <w:rPr>
          <w:rFonts w:ascii="Times New Roman" w:hAnsi="Times New Roman" w:cs="Times New Roman"/>
          <w:sz w:val="24"/>
          <w:szCs w:val="24"/>
        </w:rPr>
      </w:pPr>
      <w:r>
        <w:rPr>
          <w:rFonts w:cs="Times New Roman" w:ascii="Times New Roman" w:hAnsi="Times New Roman"/>
          <w:sz w:val="24"/>
          <w:szCs w:val="24"/>
        </w:rPr>
        <w:t>28. Jeigu tiekėjas, teikdamas Paslaugą, pasinaudoja trečiųjų asmenų intelektine nuosavybe, įskaitant, bet tuo neapsiribojant, autorių teises, licencijas, patentus, brėžinius, modelius, prekių ženklus, kuri integruojama ar kitaip susiejama su Paslaugų rezultatu, tai teikėjas užtikrina ir garantuoja savo sąskaita, kad nebus pažeistos šių trečiųjų asmenų teisės.</w:t>
      </w:r>
    </w:p>
    <w:p>
      <w:pPr>
        <w:pStyle w:val="Normal"/>
        <w:jc w:val="both"/>
        <w:rPr>
          <w:rFonts w:ascii="Times New Roman" w:hAnsi="Times New Roman" w:cs="Times New Roman"/>
          <w:sz w:val="24"/>
          <w:szCs w:val="24"/>
        </w:rPr>
      </w:pPr>
      <w:r>
        <w:rPr>
          <w:rFonts w:cs="Times New Roman" w:ascii="Times New Roman" w:hAnsi="Times New Roman"/>
          <w:sz w:val="24"/>
          <w:szCs w:val="24"/>
        </w:rPr>
        <w:t>29. Tiekėjas užtikrina ir atsako, kad jo suteiktos Paslaugos ir jų rezultatas nepažeis trečiųjų asmenų intelektinės nuosavybės teisių ir, kad Perkančioji organizacija nepatirs jokių teisinių išlaidų ar nuostolių dėl reikalavimų arba įsipareigojimų, susijusių su intelektinės nuosavybės teisėmis į Sutarties dalyką.</w:t>
      </w:r>
    </w:p>
    <w:p>
      <w:pPr>
        <w:pStyle w:val="Normal"/>
        <w:jc w:val="both"/>
        <w:rPr>
          <w:rFonts w:ascii="Times New Roman" w:hAnsi="Times New Roman" w:cs="Times New Roman"/>
          <w:sz w:val="24"/>
          <w:szCs w:val="24"/>
        </w:rPr>
      </w:pPr>
      <w:r>
        <w:rPr>
          <w:rFonts w:cs="Times New Roman" w:ascii="Times New Roman" w:hAnsi="Times New Roman"/>
          <w:sz w:val="24"/>
          <w:szCs w:val="24"/>
        </w:rPr>
        <w:t>30. Paslauga bus laikoma suteikta tinkamai Perkančiajai organizacijai pasirašius Paslaugų priėmimo–perdavimo aktą.</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31. Nuo Perkančiosios organizacijos galutinio atsiskaitymo su Tiekėju dienos sukurtos Paslaugos intelektinė nuosavybė perduodama Perkančiajai organizacijai neterminuotai ir su galimybe jomis naudotis be apribojimų. Perkančiajai organizacijai suteikiama teisė naudotis minėtais rezultatais bet kokia forma, daryti kopijas, platinti, daryti pakeitimus ar kitaip disponuoti. Tiekėjas patvirtina, kad perduotos autorių turtinės teisės į jo sukurtus paslaugų rezultatus yra įskaičiuotos į pateikto pasiūlymo kainą už suteiktas paslaugas. </w:t>
      </w:r>
    </w:p>
    <w:p>
      <w:pPr>
        <w:pStyle w:val="Normal"/>
        <w:jc w:val="both"/>
        <w:rPr>
          <w:rFonts w:ascii="Times New Roman" w:hAnsi="Times New Roman" w:cs="Times New Roman"/>
          <w:sz w:val="24"/>
          <w:szCs w:val="24"/>
        </w:rPr>
      </w:pPr>
      <w:r>
        <w:rPr>
          <w:rFonts w:cs="Times New Roman" w:ascii="Times New Roman" w:hAnsi="Times New Roman"/>
          <w:sz w:val="24"/>
          <w:szCs w:val="24"/>
        </w:rPr>
        <w:t>32. Minimalūs aplinkos apsaugos kriterijai, kurie taikomi paslaugoms -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VII SKYRIUS</w:t>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ASMENS DUOMENŲ TVARKYMAS</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33. Perkančioji organizacija, kaip duomenų valdytojas, tvarkys pasiūlyme nurodytus bei pirkimo procedūrų metu iš Tiekėjo gautus duomenų subjektų – fizinių asmenų –Tiekėjo arba jo įgaliotų asmenų, darbuotojų, subtiekėjų, partnerių, kitų asmenų duomenis (vardas, pavardė, pareigos, telefono ryšio numeris, elektroninio pašto adresas, atitiktį kvalifikaciniams reikalavimams patvirtinantys duomenys, kiti Perkančiajai organizacijai Tiekėjo pateikti būtini duomenys) viešųjų pirkimų organizavimo ir vykdymo tikslu vadovaudamasi Reglamento (ES) 2016/679 6 straipsnio 1 dalies c punktu, įgyvendindama pareigas, įtvirtintas Lietuvos Respublikos viešųjų pirkimų įstatyme ir kituose viešuosius pirkimus reglamentuojančiuose teisės aktuose, bei saugos juos pirkimų organizavimo ir vykdymo laikotarpiu bei 10 metų pirkimo procedūroms pasibaigus.</w:t>
      </w:r>
    </w:p>
    <w:p>
      <w:pPr>
        <w:pStyle w:val="Normal"/>
        <w:jc w:val="both"/>
        <w:rPr>
          <w:rFonts w:ascii="Times New Roman" w:hAnsi="Times New Roman" w:cs="Times New Roman"/>
          <w:sz w:val="24"/>
          <w:szCs w:val="24"/>
        </w:rPr>
      </w:pPr>
      <w:r>
        <w:rPr>
          <w:rFonts w:cs="Times New Roman" w:ascii="Times New Roman" w:hAnsi="Times New Roman"/>
          <w:sz w:val="24"/>
          <w:szCs w:val="24"/>
        </w:rPr>
        <w:t>34. Perkančioji organizacija tvarkys Tiekėjo, kurio pasiūlymas bus pripažintas laimėjusiu ir su kuriuo bus sudaryta Sutartis, pateiktus fizinių asmenų – Tiekėjo arba jo įgaliotų asmenų, darbuotojų,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Normal"/>
        <w:jc w:val="both"/>
        <w:rPr>
          <w:rFonts w:ascii="Times New Roman" w:hAnsi="Times New Roman" w:cs="Times New Roman"/>
          <w:sz w:val="24"/>
          <w:szCs w:val="24"/>
        </w:rPr>
      </w:pPr>
      <w:r>
        <w:rPr>
          <w:rFonts w:cs="Times New Roman" w:ascii="Times New Roman" w:hAnsi="Times New Roman"/>
          <w:sz w:val="24"/>
          <w:szCs w:val="24"/>
        </w:rPr>
        <w:t>35. Kilus ginčams dėl viešųjų pirkimų organizavimo ar Sutarties vykdymo, Perkančioji organizacija gali tvarkyti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36. 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  </w:t>
      </w:r>
    </w:p>
    <w:p>
      <w:pPr>
        <w:pStyle w:val="Normal"/>
        <w:jc w:val="both"/>
        <w:rPr>
          <w:rFonts w:ascii="Times New Roman" w:hAnsi="Times New Roman" w:cs="Times New Roman"/>
          <w:sz w:val="24"/>
          <w:szCs w:val="24"/>
        </w:rPr>
      </w:pPr>
      <w:r>
        <w:rPr>
          <w:rFonts w:cs="Times New Roman" w:ascii="Times New Roman" w:hAnsi="Times New Roman"/>
          <w:sz w:val="24"/>
          <w:szCs w:val="24"/>
        </w:rPr>
        <w:t>37. Tuo atveju, kai nurodytų asmenų duomenys bus pateikiami finansiniuose dokumentuose, Perkančioji organizacija juos tvarkys finansinės apskaitos tikslu  vadovaudamasi Reglamento (ES) 2016/679 6 straipsnio 1 dalies c punktu, įgyvendindama pareigas, įtvirtintas Lietuvos Respublikos finansinės apskaitos įstatyme, kituose teisės aktuose.</w:t>
      </w:r>
    </w:p>
    <w:p>
      <w:pPr>
        <w:pStyle w:val="Normal"/>
        <w:jc w:val="both"/>
        <w:rPr>
          <w:rFonts w:ascii="Times New Roman" w:hAnsi="Times New Roman" w:cs="Times New Roman"/>
          <w:sz w:val="24"/>
          <w:szCs w:val="24"/>
        </w:rPr>
      </w:pPr>
      <w:r>
        <w:rPr>
          <w:rFonts w:cs="Times New Roman" w:ascii="Times New Roman" w:hAnsi="Times New Roman"/>
          <w:sz w:val="24"/>
          <w:szCs w:val="24"/>
        </w:rPr>
        <w:t>38. Asmens duomenų pateikimas yra privalomas. Nepateikus asmens duomenų Tiekėjo pasiūlymas negalės būti vertinamas bei nebus galima sudaryti ir vykdyti Sutarties.</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39. Asmens duomenis Perkančioji organizacija gali teikti Viešųjų pirkimų tarnybai, teismams, kitoms ginčus nagrinėjančioms institucijoms, bankams ar kitoms mokėjimo įstaigoms (atliekant mokėjimus už paslaugas), paslaugų teikėjams, teikiantiems Perkančiajai organizacijai informacinių technologijų infrastruktūros, programinės įrangos ir jų priežiūros bei administravimo, elektroninių ryšių, auditorių, teisines, konsultavimo, duomenų apsaugos pareigūno bei kitas paslaugas. Laimėjusio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40. Duomenų subjektai – fiziniai asmenys – Tiekėjas arba jo įgalioti asmenys, darbuotojai, subtiekėjai, partneriai, kiti asmenys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Perkančiosios organizacijos intereso; 7) teisę į duomenų perkeliamumą, tuo atveju, kai asmens duomenys tvarkomi sutarties sudarymo ir vykdymo pagrindu; 8) teisę pateikti skundą Valstybinei duomenų apsaugos inspekcijai, kurios kontaktai skelbiami čia: </w:t>
      </w:r>
      <w:hyperlink r:id="rId4">
        <w:r>
          <w:rPr>
            <w:rStyle w:val="Hyperlink"/>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41. Duomenų subjektai prašymus dėl aukščiau nurodytų savo teisių įgyvendinimo, taip pat kitus skundus/prašymus dėl asmens duomenų tvarkymo gali pateikti Perkančiajai organizacijai paštu adresu Studentų g. 45A, Vilnius, el. paštu </w:t>
      </w:r>
      <w:hyperlink r:id="rId5">
        <w:r>
          <w:rPr>
            <w:rStyle w:val="Hyperlink"/>
            <w:rFonts w:cs="Times New Roman" w:ascii="Times New Roman" w:hAnsi="Times New Roman"/>
            <w:sz w:val="24"/>
            <w:szCs w:val="24"/>
          </w:rPr>
          <w:t>institutas@hi.lt</w:t>
        </w:r>
      </w:hyperlink>
      <w:r>
        <w:rPr>
          <w:rFonts w:cs="Times New Roman" w:ascii="Times New Roman" w:hAnsi="Times New Roman"/>
          <w:sz w:val="24"/>
          <w:szCs w:val="24"/>
        </w:rPr>
        <w:t xml:space="preserve"> arba jos duomenų apsaugos pareigūnui el. paštu info@adaekspertai.lt. </w:t>
      </w:r>
    </w:p>
    <w:p>
      <w:pPr>
        <w:pStyle w:val="Normal"/>
        <w:jc w:val="both"/>
        <w:rPr>
          <w:rFonts w:ascii="Times New Roman" w:hAnsi="Times New Roman" w:cs="Times New Roman"/>
          <w:sz w:val="24"/>
          <w:szCs w:val="24"/>
        </w:rPr>
      </w:pPr>
      <w:r>
        <w:rPr>
          <w:rFonts w:cs="Times New Roman" w:ascii="Times New Roman" w:hAnsi="Times New Roman"/>
          <w:sz w:val="24"/>
          <w:szCs w:val="24"/>
        </w:rPr>
        <w:t>42. Daugiau informacijos apie Perkančiosios organizacijos atliekamą asmens duomenų tvarkymą galima rasti jos interneto svetainėje adresu https://www.hi.lt/asmens-duomenu-apsauga/.</w:t>
      </w:r>
    </w:p>
    <w:p>
      <w:pPr>
        <w:pStyle w:val="Normal"/>
        <w:jc w:val="both"/>
        <w:rPr>
          <w:rFonts w:ascii="Times New Roman" w:hAnsi="Times New Roman" w:cs="Times New Roman"/>
          <w:sz w:val="24"/>
          <w:szCs w:val="24"/>
        </w:rPr>
      </w:pPr>
      <w:r>
        <w:rPr>
          <w:rFonts w:cs="Times New Roman" w:ascii="Times New Roman" w:hAnsi="Times New Roman"/>
          <w:sz w:val="24"/>
          <w:szCs w:val="24"/>
        </w:rPr>
        <w:t>43. Tiekėjas, prieš teikdamas pasiūlymą ir prieš sudarydamas Sutartį, nurodytus fizinius asmenis privalo supažindinti su 33-42 punktuose pateikta informacija apie Perkančiosios organizacijos vykdomą asmens duomenų tvarkymą.</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160"/>
        <w:jc w:val="both"/>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701" w:right="567" w:gutter="0" w:header="0" w:top="170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2"/>
      <w:numFmt w:val="decimal"/>
      <w:lvlText w:val="%1"/>
      <w:lvlJc w:val="left"/>
      <w:pPr>
        <w:tabs>
          <w:tab w:val="num" w:pos="0"/>
        </w:tabs>
        <w:ind w:left="360" w:hanging="360"/>
      </w:pPr>
      <w:rPr>
        <w:rFonts w:eastAsia="Calibri" w:cs="Arial" w:cstheme="minorBidi"/>
        <w:color w:themeColor="text1" w:val="000000"/>
      </w:rPr>
    </w:lvl>
    <w:lvl w:ilvl="1">
      <w:start w:val="1"/>
      <w:numFmt w:val="decimal"/>
      <w:lvlText w:val="%1.%2"/>
      <w:lvlJc w:val="left"/>
      <w:pPr>
        <w:tabs>
          <w:tab w:val="num" w:pos="0"/>
        </w:tabs>
        <w:ind w:left="360" w:hanging="360"/>
      </w:pPr>
      <w:rPr>
        <w:rFonts w:eastAsia="Calibri" w:cs="Arial" w:cstheme="minorBidi"/>
        <w:color w:themeColor="text1" w:val="000000"/>
      </w:rPr>
    </w:lvl>
    <w:lvl w:ilvl="2">
      <w:start w:val="1"/>
      <w:numFmt w:val="decimal"/>
      <w:lvlText w:val="%1.%2.%3"/>
      <w:lvlJc w:val="left"/>
      <w:pPr>
        <w:tabs>
          <w:tab w:val="num" w:pos="0"/>
        </w:tabs>
        <w:ind w:left="720" w:hanging="720"/>
      </w:pPr>
      <w:rPr>
        <w:rFonts w:eastAsia="Calibri" w:cs="Arial" w:cstheme="minorBidi"/>
        <w:color w:themeColor="text1" w:val="000000"/>
      </w:rPr>
    </w:lvl>
    <w:lvl w:ilvl="3">
      <w:start w:val="1"/>
      <w:numFmt w:val="decimal"/>
      <w:lvlText w:val="%1.%2.%3.%4"/>
      <w:lvlJc w:val="left"/>
      <w:pPr>
        <w:tabs>
          <w:tab w:val="num" w:pos="0"/>
        </w:tabs>
        <w:ind w:left="720" w:hanging="720"/>
      </w:pPr>
      <w:rPr>
        <w:rFonts w:eastAsia="Calibri" w:cs="Arial" w:cstheme="minorBidi"/>
        <w:color w:themeColor="text1" w:val="000000"/>
      </w:rPr>
    </w:lvl>
    <w:lvl w:ilvl="4">
      <w:start w:val="1"/>
      <w:numFmt w:val="decimal"/>
      <w:lvlText w:val="%1.%2.%3.%4.%5"/>
      <w:lvlJc w:val="left"/>
      <w:pPr>
        <w:tabs>
          <w:tab w:val="num" w:pos="0"/>
        </w:tabs>
        <w:ind w:left="1080" w:hanging="1080"/>
      </w:pPr>
      <w:rPr>
        <w:rFonts w:eastAsia="Calibri" w:cs="Arial" w:cstheme="minorBidi"/>
        <w:color w:themeColor="text1" w:val="000000"/>
      </w:rPr>
    </w:lvl>
    <w:lvl w:ilvl="5">
      <w:start w:val="1"/>
      <w:numFmt w:val="decimal"/>
      <w:lvlText w:val="%1.%2.%3.%4.%5.%6"/>
      <w:lvlJc w:val="left"/>
      <w:pPr>
        <w:tabs>
          <w:tab w:val="num" w:pos="0"/>
        </w:tabs>
        <w:ind w:left="1080" w:hanging="1080"/>
      </w:pPr>
      <w:rPr>
        <w:rFonts w:eastAsia="Calibri" w:cs="Arial" w:cstheme="minorBidi"/>
        <w:color w:themeColor="text1" w:val="000000"/>
      </w:rPr>
    </w:lvl>
    <w:lvl w:ilvl="6">
      <w:start w:val="1"/>
      <w:numFmt w:val="decimal"/>
      <w:lvlText w:val="%1.%2.%3.%4.%5.%6.%7"/>
      <w:lvlJc w:val="left"/>
      <w:pPr>
        <w:tabs>
          <w:tab w:val="num" w:pos="0"/>
        </w:tabs>
        <w:ind w:left="1080" w:hanging="1080"/>
      </w:pPr>
      <w:rPr>
        <w:rFonts w:eastAsia="Calibri" w:cs="Arial" w:cstheme="minorBidi"/>
        <w:color w:themeColor="text1" w:val="000000"/>
      </w:rPr>
    </w:lvl>
    <w:lvl w:ilvl="7">
      <w:start w:val="1"/>
      <w:numFmt w:val="decimal"/>
      <w:lvlText w:val="%1.%2.%3.%4.%5.%6.%7.%8"/>
      <w:lvlJc w:val="left"/>
      <w:pPr>
        <w:tabs>
          <w:tab w:val="num" w:pos="0"/>
        </w:tabs>
        <w:ind w:left="1440" w:hanging="1440"/>
      </w:pPr>
      <w:rPr>
        <w:rFonts w:eastAsia="Calibri" w:cs="Arial" w:cstheme="minorBidi"/>
        <w:color w:themeColor="text1" w:val="000000"/>
      </w:rPr>
    </w:lvl>
    <w:lvl w:ilvl="8">
      <w:start w:val="1"/>
      <w:numFmt w:val="decimal"/>
      <w:lvlText w:val="%1.%2.%3.%4.%5.%6.%7.%8.%9"/>
      <w:lvlJc w:val="left"/>
      <w:pPr>
        <w:tabs>
          <w:tab w:val="num" w:pos="0"/>
        </w:tabs>
        <w:ind w:left="1440" w:hanging="1440"/>
      </w:pPr>
      <w:rPr>
        <w:rFonts w:eastAsia="Calibri" w:cs="Arial" w:cstheme="minorBidi"/>
        <w:color w:themeColor="text1" w:val="00000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2"/>
    </w:lvlOverride>
  </w:num>
  <w:num w:numId="5">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2"/>
      <w:sz w:val="22"/>
      <w:szCs w:val="22"/>
      <w:lang w:val="lt-LT" w:eastAsia="en-US" w:bidi="ar-SA"/>
      <w14:ligatures w14:val="standardContextual"/>
    </w:rPr>
  </w:style>
  <w:style w:type="paragraph" w:styleId="Heading1">
    <w:name w:val="Heading 1"/>
    <w:basedOn w:val="Normal"/>
    <w:next w:val="Normal"/>
    <w:link w:val="Antrat1Diagrama"/>
    <w:uiPriority w:val="9"/>
    <w:qFormat/>
    <w:rsid w:val="001f11aa"/>
    <w:pPr>
      <w:keepNext w:val="true"/>
      <w:keepLines/>
      <w:spacing w:before="360" w:after="80"/>
      <w:outlineLvl w:val="0"/>
    </w:pPr>
    <w:rPr>
      <w:rFonts w:ascii="Calibri Light" w:hAnsi="Calibri Light" w:eastAsia="" w:cs="Times New Roman"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Antrat2Diagrama"/>
    <w:uiPriority w:val="9"/>
    <w:unhideWhenUsed/>
    <w:qFormat/>
    <w:rsid w:val="001f11aa"/>
    <w:pPr>
      <w:keepNext w:val="true"/>
      <w:keepLines/>
      <w:spacing w:before="160" w:after="80"/>
      <w:outlineLvl w:val="1"/>
    </w:pPr>
    <w:rPr>
      <w:rFonts w:ascii="Calibri Light" w:hAnsi="Calibri Light" w:eastAsia="" w:cs="Times New Roman"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Antrat3Diagrama"/>
    <w:uiPriority w:val="9"/>
    <w:semiHidden/>
    <w:unhideWhenUsed/>
    <w:qFormat/>
    <w:rsid w:val="001f11aa"/>
    <w:pPr>
      <w:keepNext w:val="true"/>
      <w:keepLines/>
      <w:spacing w:before="160" w:after="80"/>
      <w:outlineLvl w:val="2"/>
    </w:pPr>
    <w:rPr>
      <w:rFonts w:eastAsia="" w:cs="Times New Roman" w:cstheme="majorBidi" w:eastAsiaTheme="majorEastAsia"/>
      <w:color w:themeColor="accent1" w:themeShade="bf" w:val="2F5496"/>
      <w:sz w:val="28"/>
      <w:szCs w:val="28"/>
    </w:rPr>
  </w:style>
  <w:style w:type="paragraph" w:styleId="Heading4">
    <w:name w:val="Heading 4"/>
    <w:basedOn w:val="Normal"/>
    <w:next w:val="Normal"/>
    <w:link w:val="Antrat4Diagrama"/>
    <w:uiPriority w:val="9"/>
    <w:semiHidden/>
    <w:unhideWhenUsed/>
    <w:qFormat/>
    <w:rsid w:val="001f11aa"/>
    <w:pPr>
      <w:keepNext w:val="true"/>
      <w:keepLines/>
      <w:spacing w:before="80" w:after="40"/>
      <w:outlineLvl w:val="3"/>
    </w:pPr>
    <w:rPr>
      <w:rFonts w:eastAsia="" w:cs="Times New Roman" w:cstheme="majorBidi" w:eastAsiaTheme="majorEastAsia"/>
      <w:i/>
      <w:iCs/>
      <w:color w:themeColor="accent1" w:themeShade="bf" w:val="2F5496"/>
    </w:rPr>
  </w:style>
  <w:style w:type="paragraph" w:styleId="Heading5">
    <w:name w:val="Heading 5"/>
    <w:basedOn w:val="Normal"/>
    <w:next w:val="Normal"/>
    <w:link w:val="Antrat5Diagrama"/>
    <w:uiPriority w:val="9"/>
    <w:semiHidden/>
    <w:unhideWhenUsed/>
    <w:qFormat/>
    <w:rsid w:val="001f11aa"/>
    <w:pPr>
      <w:keepNext w:val="true"/>
      <w:keepLines/>
      <w:spacing w:before="80" w:after="40"/>
      <w:outlineLvl w:val="4"/>
    </w:pPr>
    <w:rPr>
      <w:rFonts w:eastAsia="" w:cs="Times New Roman" w:cstheme="majorBidi" w:eastAsiaTheme="majorEastAsia"/>
      <w:color w:themeColor="accent1" w:themeShade="bf" w:val="2F5496"/>
    </w:rPr>
  </w:style>
  <w:style w:type="paragraph" w:styleId="Heading6">
    <w:name w:val="Heading 6"/>
    <w:basedOn w:val="Normal"/>
    <w:next w:val="Normal"/>
    <w:link w:val="Antrat6Diagrama"/>
    <w:uiPriority w:val="9"/>
    <w:semiHidden/>
    <w:unhideWhenUsed/>
    <w:qFormat/>
    <w:rsid w:val="001f11aa"/>
    <w:pPr>
      <w:keepNext w:val="true"/>
      <w:keepLines/>
      <w:spacing w:before="40" w:after="0"/>
      <w:outlineLvl w:val="5"/>
    </w:pPr>
    <w:rPr>
      <w:rFonts w:eastAsia="" w:cs="Times New Roman" w:cstheme="majorBidi" w:eastAsiaTheme="majorEastAsia"/>
      <w:i/>
      <w:iCs/>
      <w:color w:themeColor="text1" w:themeTint="a6" w:val="595959"/>
    </w:rPr>
  </w:style>
  <w:style w:type="paragraph" w:styleId="Heading7">
    <w:name w:val="Heading 7"/>
    <w:basedOn w:val="Normal"/>
    <w:next w:val="Normal"/>
    <w:link w:val="Antrat7Diagrama"/>
    <w:uiPriority w:val="9"/>
    <w:semiHidden/>
    <w:unhideWhenUsed/>
    <w:qFormat/>
    <w:rsid w:val="001f11aa"/>
    <w:pPr>
      <w:keepNext w:val="true"/>
      <w:keepLines/>
      <w:spacing w:before="40" w:after="0"/>
      <w:outlineLvl w:val="6"/>
    </w:pPr>
    <w:rPr>
      <w:rFonts w:eastAsia="" w:cs="Times New Roman" w:cstheme="majorBidi" w:eastAsiaTheme="majorEastAsia"/>
      <w:color w:themeColor="text1" w:themeTint="a6" w:val="595959"/>
    </w:rPr>
  </w:style>
  <w:style w:type="paragraph" w:styleId="Heading8">
    <w:name w:val="Heading 8"/>
    <w:basedOn w:val="Normal"/>
    <w:next w:val="Normal"/>
    <w:link w:val="Antrat8Diagrama"/>
    <w:uiPriority w:val="9"/>
    <w:semiHidden/>
    <w:unhideWhenUsed/>
    <w:qFormat/>
    <w:rsid w:val="001f11aa"/>
    <w:pPr>
      <w:keepNext w:val="true"/>
      <w:keepLines/>
      <w:spacing w:before="0" w:after="0"/>
      <w:outlineLvl w:val="7"/>
    </w:pPr>
    <w:rPr>
      <w:rFonts w:eastAsia="" w:cs="Times New Roman" w:cstheme="majorBidi" w:eastAsiaTheme="majorEastAsia"/>
      <w:i/>
      <w:iCs/>
      <w:color w:themeColor="text1" w:themeTint="d8" w:val="272727"/>
    </w:rPr>
  </w:style>
  <w:style w:type="paragraph" w:styleId="Heading9">
    <w:name w:val="Heading 9"/>
    <w:basedOn w:val="Normal"/>
    <w:next w:val="Normal"/>
    <w:link w:val="Antrat9Diagrama"/>
    <w:uiPriority w:val="9"/>
    <w:semiHidden/>
    <w:unhideWhenUsed/>
    <w:qFormat/>
    <w:rsid w:val="001f11aa"/>
    <w:pPr>
      <w:keepNext w:val="true"/>
      <w:keepLines/>
      <w:spacing w:before="0" w:after="0"/>
      <w:outlineLvl w:val="8"/>
    </w:pPr>
    <w:rPr>
      <w:rFonts w:eastAsia="" w:cs="Times New Roman"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Antrat1Diagrama" w:customStyle="1">
    <w:name w:val="Antraštė 1 Diagrama"/>
    <w:basedOn w:val="DefaultParagraphFont"/>
    <w:link w:val="Heading1"/>
    <w:uiPriority w:val="9"/>
    <w:qFormat/>
    <w:rsid w:val="001f11aa"/>
    <w:rPr>
      <w:rFonts w:ascii="Calibri Light" w:hAnsi="Calibri Light" w:eastAsia="" w:cs="Times New Roman" w:asciiTheme="majorHAnsi" w:cstheme="majorBidi" w:eastAsiaTheme="majorEastAsia" w:hAnsiTheme="majorHAnsi"/>
      <w:color w:themeColor="accent1" w:themeShade="bf" w:val="2F5496"/>
      <w:sz w:val="40"/>
      <w:szCs w:val="40"/>
      <w:lang w:val="lt-LT"/>
    </w:rPr>
  </w:style>
  <w:style w:type="character" w:styleId="Antrat2Diagrama" w:customStyle="1">
    <w:name w:val="Antraštė 2 Diagrama"/>
    <w:basedOn w:val="DefaultParagraphFont"/>
    <w:link w:val="Heading2"/>
    <w:uiPriority w:val="9"/>
    <w:qFormat/>
    <w:rsid w:val="001f11aa"/>
    <w:rPr>
      <w:rFonts w:ascii="Calibri Light" w:hAnsi="Calibri Light" w:eastAsia="" w:cs="Times New Roman" w:asciiTheme="majorHAnsi" w:cstheme="majorBidi" w:eastAsiaTheme="majorEastAsia" w:hAnsiTheme="majorHAnsi"/>
      <w:color w:themeColor="accent1" w:themeShade="bf" w:val="2F5496"/>
      <w:sz w:val="32"/>
      <w:szCs w:val="32"/>
      <w:lang w:val="lt-LT"/>
    </w:rPr>
  </w:style>
  <w:style w:type="character" w:styleId="Antrat3Diagrama" w:customStyle="1">
    <w:name w:val="Antraštė 3 Diagrama"/>
    <w:basedOn w:val="DefaultParagraphFont"/>
    <w:link w:val="Heading3"/>
    <w:uiPriority w:val="9"/>
    <w:semiHidden/>
    <w:qFormat/>
    <w:rsid w:val="001f11aa"/>
    <w:rPr>
      <w:rFonts w:eastAsia="" w:cs="Times New Roman" w:cstheme="majorBidi" w:eastAsiaTheme="majorEastAsia"/>
      <w:color w:themeColor="accent1" w:themeShade="bf" w:val="2F5496"/>
      <w:sz w:val="28"/>
      <w:szCs w:val="28"/>
      <w:lang w:val="lt-LT"/>
    </w:rPr>
  </w:style>
  <w:style w:type="character" w:styleId="Antrat4Diagrama" w:customStyle="1">
    <w:name w:val="Antraštė 4 Diagrama"/>
    <w:basedOn w:val="DefaultParagraphFont"/>
    <w:link w:val="Heading4"/>
    <w:uiPriority w:val="9"/>
    <w:semiHidden/>
    <w:qFormat/>
    <w:rsid w:val="001f11aa"/>
    <w:rPr>
      <w:rFonts w:eastAsia="" w:cs="Times New Roman" w:cstheme="majorBidi" w:eastAsiaTheme="majorEastAsia"/>
      <w:i/>
      <w:iCs/>
      <w:color w:themeColor="accent1" w:themeShade="bf" w:val="2F5496"/>
      <w:lang w:val="lt-LT"/>
    </w:rPr>
  </w:style>
  <w:style w:type="character" w:styleId="Antrat5Diagrama" w:customStyle="1">
    <w:name w:val="Antraštė 5 Diagrama"/>
    <w:basedOn w:val="DefaultParagraphFont"/>
    <w:link w:val="Heading5"/>
    <w:uiPriority w:val="9"/>
    <w:semiHidden/>
    <w:qFormat/>
    <w:rsid w:val="001f11aa"/>
    <w:rPr>
      <w:rFonts w:eastAsia="" w:cs="Times New Roman" w:cstheme="majorBidi" w:eastAsiaTheme="majorEastAsia"/>
      <w:color w:themeColor="accent1" w:themeShade="bf" w:val="2F5496"/>
      <w:lang w:val="lt-LT"/>
    </w:rPr>
  </w:style>
  <w:style w:type="character" w:styleId="Antrat6Diagrama" w:customStyle="1">
    <w:name w:val="Antraštė 6 Diagrama"/>
    <w:basedOn w:val="DefaultParagraphFont"/>
    <w:link w:val="Heading6"/>
    <w:uiPriority w:val="9"/>
    <w:semiHidden/>
    <w:qFormat/>
    <w:rsid w:val="001f11aa"/>
    <w:rPr>
      <w:rFonts w:eastAsia="" w:cs="Times New Roman" w:cstheme="majorBidi" w:eastAsiaTheme="majorEastAsia"/>
      <w:i/>
      <w:iCs/>
      <w:color w:themeColor="text1" w:themeTint="a6" w:val="595959"/>
      <w:lang w:val="lt-LT"/>
    </w:rPr>
  </w:style>
  <w:style w:type="character" w:styleId="Antrat7Diagrama" w:customStyle="1">
    <w:name w:val="Antraštė 7 Diagrama"/>
    <w:basedOn w:val="DefaultParagraphFont"/>
    <w:link w:val="Heading7"/>
    <w:uiPriority w:val="9"/>
    <w:semiHidden/>
    <w:qFormat/>
    <w:rsid w:val="001f11aa"/>
    <w:rPr>
      <w:rFonts w:eastAsia="" w:cs="Times New Roman" w:cstheme="majorBidi" w:eastAsiaTheme="majorEastAsia"/>
      <w:color w:themeColor="text1" w:themeTint="a6" w:val="595959"/>
      <w:lang w:val="lt-LT"/>
    </w:rPr>
  </w:style>
  <w:style w:type="character" w:styleId="Antrat8Diagrama" w:customStyle="1">
    <w:name w:val="Antraštė 8 Diagrama"/>
    <w:basedOn w:val="DefaultParagraphFont"/>
    <w:link w:val="Heading8"/>
    <w:uiPriority w:val="9"/>
    <w:semiHidden/>
    <w:qFormat/>
    <w:rsid w:val="001f11aa"/>
    <w:rPr>
      <w:rFonts w:eastAsia="" w:cs="Times New Roman" w:cstheme="majorBidi" w:eastAsiaTheme="majorEastAsia"/>
      <w:i/>
      <w:iCs/>
      <w:color w:themeColor="text1" w:themeTint="d8" w:val="272727"/>
      <w:lang w:val="lt-LT"/>
    </w:rPr>
  </w:style>
  <w:style w:type="character" w:styleId="Antrat9Diagrama" w:customStyle="1">
    <w:name w:val="Antraštė 9 Diagrama"/>
    <w:basedOn w:val="DefaultParagraphFont"/>
    <w:link w:val="Heading9"/>
    <w:uiPriority w:val="9"/>
    <w:semiHidden/>
    <w:qFormat/>
    <w:rsid w:val="001f11aa"/>
    <w:rPr>
      <w:rFonts w:eastAsia="" w:cs="Times New Roman" w:cstheme="majorBidi" w:eastAsiaTheme="majorEastAsia"/>
      <w:color w:themeColor="text1" w:themeTint="d8" w:val="272727"/>
      <w:lang w:val="lt-LT"/>
    </w:rPr>
  </w:style>
  <w:style w:type="character" w:styleId="PavadinimasDiagrama" w:customStyle="1">
    <w:name w:val="Pavadinimas Diagrama"/>
    <w:basedOn w:val="DefaultParagraphFont"/>
    <w:link w:val="Title"/>
    <w:uiPriority w:val="10"/>
    <w:qFormat/>
    <w:rsid w:val="001f11aa"/>
    <w:rPr>
      <w:rFonts w:ascii="Calibri Light" w:hAnsi="Calibri Light" w:eastAsia="" w:cs="Times New Roman" w:asciiTheme="majorHAnsi" w:cstheme="majorBidi" w:eastAsiaTheme="majorEastAsia" w:hAnsiTheme="majorHAnsi"/>
      <w:spacing w:val="-10"/>
      <w:kern w:val="2"/>
      <w:sz w:val="56"/>
      <w:szCs w:val="56"/>
      <w:lang w:val="lt-LT"/>
    </w:rPr>
  </w:style>
  <w:style w:type="character" w:styleId="PaantratDiagrama" w:customStyle="1">
    <w:name w:val="Paantraštė Diagrama"/>
    <w:basedOn w:val="DefaultParagraphFont"/>
    <w:link w:val="Subtitle"/>
    <w:uiPriority w:val="11"/>
    <w:qFormat/>
    <w:rsid w:val="001f11aa"/>
    <w:rPr>
      <w:rFonts w:eastAsia="" w:cs="Times New Roman" w:cstheme="majorBidi" w:eastAsiaTheme="majorEastAsia"/>
      <w:color w:themeColor="text1" w:themeTint="a6" w:val="595959"/>
      <w:spacing w:val="15"/>
      <w:sz w:val="28"/>
      <w:szCs w:val="28"/>
      <w:lang w:val="lt-LT"/>
    </w:rPr>
  </w:style>
  <w:style w:type="character" w:styleId="CitataDiagrama" w:customStyle="1">
    <w:name w:val="Citata Diagrama"/>
    <w:basedOn w:val="DefaultParagraphFont"/>
    <w:link w:val="Quote"/>
    <w:uiPriority w:val="29"/>
    <w:qFormat/>
    <w:rsid w:val="001f11aa"/>
    <w:rPr>
      <w:i/>
      <w:iCs/>
      <w:color w:themeColor="text1" w:themeTint="bf" w:val="404040"/>
      <w:lang w:val="lt-LT"/>
    </w:rPr>
  </w:style>
  <w:style w:type="character" w:styleId="IntenseEmphasis">
    <w:name w:val="Intense Emphasis"/>
    <w:basedOn w:val="DefaultParagraphFont"/>
    <w:uiPriority w:val="21"/>
    <w:qFormat/>
    <w:rsid w:val="001f11aa"/>
    <w:rPr>
      <w:i/>
      <w:iCs/>
      <w:color w:themeColor="accent1" w:themeShade="bf" w:val="2F5496"/>
    </w:rPr>
  </w:style>
  <w:style w:type="character" w:styleId="IskirtacitataDiagrama" w:customStyle="1">
    <w:name w:val="Išskirta citata Diagrama"/>
    <w:basedOn w:val="DefaultParagraphFont"/>
    <w:link w:val="IntenseQuote"/>
    <w:uiPriority w:val="30"/>
    <w:qFormat/>
    <w:rsid w:val="001f11aa"/>
    <w:rPr>
      <w:i/>
      <w:iCs/>
      <w:color w:themeColor="accent1" w:themeShade="bf" w:val="2F5496"/>
      <w:lang w:val="lt-LT"/>
    </w:rPr>
  </w:style>
  <w:style w:type="character" w:styleId="IntenseReference">
    <w:name w:val="Intense Reference"/>
    <w:basedOn w:val="DefaultParagraphFont"/>
    <w:uiPriority w:val="32"/>
    <w:qFormat/>
    <w:rsid w:val="001f11aa"/>
    <w:rPr>
      <w:b/>
      <w:bCs/>
      <w:smallCaps/>
      <w:color w:themeColor="accent1" w:themeShade="bf" w:val="2F5496"/>
      <w:spacing w:val="5"/>
    </w:rPr>
  </w:style>
  <w:style w:type="character" w:styleId="Hyperlink">
    <w:name w:val="Hyperlink"/>
    <w:basedOn w:val="DefaultParagraphFont"/>
    <w:uiPriority w:val="99"/>
    <w:unhideWhenUsed/>
    <w:rsid w:val="00aa4324"/>
    <w:rPr>
      <w:color w:themeColor="hyperlink" w:val="0563C1"/>
      <w:u w:val="single"/>
    </w:rPr>
  </w:style>
  <w:style w:type="character" w:styleId="UnresolvedMention">
    <w:name w:val="Unresolved Mention"/>
    <w:basedOn w:val="DefaultParagraphFont"/>
    <w:uiPriority w:val="99"/>
    <w:semiHidden/>
    <w:unhideWhenUsed/>
    <w:qFormat/>
    <w:rsid w:val="00aa4324"/>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PavadinimasDiagrama"/>
    <w:uiPriority w:val="10"/>
    <w:qFormat/>
    <w:rsid w:val="001f11aa"/>
    <w:pPr>
      <w:spacing w:lineRule="auto" w:line="240" w:before="0" w:after="80"/>
      <w:contextualSpacing/>
    </w:pPr>
    <w:rPr>
      <w:rFonts w:ascii="Calibri Light" w:hAnsi="Calibri Light" w:eastAsia="" w:cs="Times New Roman" w:asciiTheme="majorHAnsi" w:cstheme="majorBidi" w:eastAsiaTheme="majorEastAsia" w:hAnsiTheme="majorHAnsi"/>
      <w:spacing w:val="-10"/>
      <w:kern w:val="2"/>
      <w:sz w:val="56"/>
      <w:szCs w:val="56"/>
    </w:rPr>
  </w:style>
  <w:style w:type="paragraph" w:styleId="Subtitle">
    <w:name w:val="Subtitle"/>
    <w:basedOn w:val="Normal"/>
    <w:next w:val="Normal"/>
    <w:link w:val="PaantratDiagrama"/>
    <w:uiPriority w:val="11"/>
    <w:qFormat/>
    <w:rsid w:val="001f11aa"/>
    <w:pPr/>
    <w:rPr>
      <w:rFonts w:eastAsia="" w:cs="Times New Roman" w:cstheme="majorBidi" w:eastAsiaTheme="majorEastAsia"/>
      <w:color w:themeColor="text1" w:themeTint="a6" w:val="595959"/>
      <w:spacing w:val="15"/>
      <w:sz w:val="28"/>
      <w:szCs w:val="28"/>
    </w:rPr>
  </w:style>
  <w:style w:type="paragraph" w:styleId="Quote">
    <w:name w:val="Quote"/>
    <w:basedOn w:val="Normal"/>
    <w:next w:val="Normal"/>
    <w:link w:val="CitataDiagrama"/>
    <w:uiPriority w:val="29"/>
    <w:qFormat/>
    <w:rsid w:val="001f11aa"/>
    <w:pPr>
      <w:spacing w:before="160" w:after="160"/>
      <w:jc w:val="center"/>
    </w:pPr>
    <w:rPr>
      <w:i/>
      <w:iCs/>
      <w:color w:themeColor="text1" w:themeTint="bf" w:val="404040"/>
    </w:rPr>
  </w:style>
  <w:style w:type="paragraph" w:styleId="ListParagraph">
    <w:name w:val="List Paragraph"/>
    <w:basedOn w:val="Normal"/>
    <w:uiPriority w:val="34"/>
    <w:qFormat/>
    <w:rsid w:val="001f11aa"/>
    <w:pPr>
      <w:spacing w:before="0" w:after="160"/>
      <w:ind w:left="720"/>
      <w:contextualSpacing/>
    </w:pPr>
    <w:rPr/>
  </w:style>
  <w:style w:type="paragraph" w:styleId="IntenseQuote">
    <w:name w:val="Intense Quote"/>
    <w:basedOn w:val="Normal"/>
    <w:next w:val="Normal"/>
    <w:link w:val="IskirtacitataDiagrama"/>
    <w:uiPriority w:val="30"/>
    <w:qFormat/>
    <w:rsid w:val="001f11aa"/>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S1lygis" w:customStyle="1">
    <w:name w:val="_S 1 lygis"/>
    <w:basedOn w:val="Normal"/>
    <w:qFormat/>
    <w:rsid w:val="00aa4324"/>
    <w:pPr>
      <w:numPr>
        <w:ilvl w:val="0"/>
        <w:numId w:val="1"/>
      </w:numPr>
      <w:suppressAutoHyphens w:val="true"/>
      <w:spacing w:lineRule="auto" w:line="240" w:before="240" w:after="240"/>
    </w:pPr>
    <w:rPr>
      <w:rFonts w:ascii="Times New Roman" w:hAnsi="Times New Roman" w:eastAsia="Times New Roman" w:cs="Times New Roman"/>
      <w:b/>
      <w:kern w:val="0"/>
      <w:sz w:val="24"/>
      <w:szCs w:val="24"/>
      <w:lang w:eastAsia="lt-LT"/>
      <w14:ligatures w14:val="none"/>
    </w:rPr>
  </w:style>
  <w:style w:type="paragraph" w:styleId="S2lygis" w:customStyle="1">
    <w:name w:val="_S 2 lygis"/>
    <w:basedOn w:val="Normal"/>
    <w:qFormat/>
    <w:rsid w:val="00aa4324"/>
    <w:pPr>
      <w:numPr>
        <w:ilvl w:val="1"/>
        <w:numId w:val="1"/>
      </w:numPr>
      <w:suppressAutoHyphens w:val="true"/>
      <w:spacing w:lineRule="auto" w:line="240" w:before="120" w:after="120"/>
      <w:jc w:val="both"/>
    </w:pPr>
    <w:rPr>
      <w:rFonts w:ascii="Times New Roman" w:hAnsi="Times New Roman" w:eastAsia="Times New Roman" w:cs="Times New Roman"/>
      <w:kern w:val="0"/>
      <w:sz w:val="24"/>
      <w:szCs w:val="24"/>
      <w:lang w:eastAsia="lt-LT"/>
      <w14:ligatures w14:val="none"/>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yperlink" Target="https://vdai.lrv.lt/" TargetMode="External"/><Relationship Id="rId5" Type="http://schemas.openxmlformats.org/officeDocument/2006/relationships/hyperlink" Target="mailto:institutas@hi.l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LibreOffice/7.6.4.1$Windows_X86_64 LibreOffice_project/e19e193f88cd6c0525a17fb7a176ed8e6a3e2aa1</Application>
  <AppVersion>15.0000</AppVersion>
  <Pages>14</Pages>
  <Words>5299</Words>
  <Characters>38757</Characters>
  <CharactersWithSpaces>43841</CharactersWithSpaces>
  <Paragraphs>244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2025-04-02T04:35:00Z</dcterms:created>
  <dc:creator>Juratė Miceikienė</dc:creator>
  <dc:description/>
  <dc:language>en-US</dc:language>
  <cp:lastModifiedBy>Juratė Miceikienė</cp:lastModifiedBy>
  <dcterms:modified xsi:type="dcterms:W3CDTF">2025-04-02T04:39:00Z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