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F5A0" w14:textId="7190DD38" w:rsidR="007A05EF" w:rsidRPr="0077416F" w:rsidRDefault="0077416F" w:rsidP="0077416F">
      <w:pPr>
        <w:spacing w:after="0" w:line="240" w:lineRule="auto"/>
        <w:ind w:firstLine="8080"/>
        <w:rPr>
          <w:rFonts w:asciiTheme="minorHAnsi" w:hAnsiTheme="minorHAnsi" w:cstheme="minorHAnsi"/>
          <w:bCs/>
          <w:sz w:val="24"/>
          <w:szCs w:val="24"/>
        </w:rPr>
      </w:pPr>
      <w:r w:rsidRPr="0077416F">
        <w:rPr>
          <w:rFonts w:asciiTheme="minorHAnsi" w:hAnsiTheme="minorHAnsi" w:cstheme="minorHAnsi"/>
          <w:bCs/>
          <w:sz w:val="24"/>
          <w:szCs w:val="24"/>
        </w:rPr>
        <w:t>Pirkimo sąlygų</w:t>
      </w:r>
    </w:p>
    <w:p w14:paraId="1F6C2832" w14:textId="685A359C" w:rsidR="0077416F" w:rsidRDefault="0077416F" w:rsidP="0077416F">
      <w:pPr>
        <w:spacing w:after="0" w:line="240" w:lineRule="auto"/>
        <w:ind w:firstLine="8080"/>
        <w:rPr>
          <w:rFonts w:asciiTheme="minorHAnsi" w:hAnsiTheme="minorHAnsi" w:cstheme="minorHAnsi"/>
          <w:bCs/>
          <w:sz w:val="24"/>
          <w:szCs w:val="24"/>
        </w:rPr>
      </w:pPr>
      <w:r w:rsidRPr="0077416F">
        <w:rPr>
          <w:rFonts w:asciiTheme="minorHAnsi" w:hAnsiTheme="minorHAnsi" w:cstheme="minorHAnsi"/>
          <w:bCs/>
          <w:sz w:val="24"/>
          <w:szCs w:val="24"/>
        </w:rPr>
        <w:t>1 priedas</w:t>
      </w:r>
    </w:p>
    <w:p w14:paraId="14F65CBD" w14:textId="77777777" w:rsidR="0077416F" w:rsidRPr="0077416F" w:rsidRDefault="0077416F" w:rsidP="0077416F">
      <w:pPr>
        <w:spacing w:after="0" w:line="240" w:lineRule="auto"/>
        <w:ind w:firstLine="8080"/>
        <w:rPr>
          <w:rFonts w:asciiTheme="minorHAnsi" w:hAnsiTheme="minorHAnsi" w:cstheme="minorHAnsi"/>
          <w:bCs/>
          <w:sz w:val="24"/>
          <w:szCs w:val="24"/>
        </w:rPr>
      </w:pPr>
    </w:p>
    <w:p w14:paraId="5346F03D" w14:textId="77777777" w:rsidR="007A05EF" w:rsidRPr="0077416F" w:rsidRDefault="007A05EF" w:rsidP="0054127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77416F">
        <w:rPr>
          <w:rFonts w:asciiTheme="minorHAnsi" w:hAnsiTheme="minorHAnsi" w:cstheme="minorHAnsi"/>
          <w:b/>
          <w:sz w:val="28"/>
          <w:szCs w:val="24"/>
        </w:rPr>
        <w:t>TECHNINĖ SPECIFIKACIJA</w:t>
      </w:r>
    </w:p>
    <w:p w14:paraId="637B2A67" w14:textId="77777777" w:rsidR="007A05EF" w:rsidRPr="0077416F" w:rsidRDefault="007A05EF" w:rsidP="0054127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7168DE2" w14:textId="5925084E" w:rsidR="007A05EF" w:rsidRPr="0077416F" w:rsidRDefault="007A05EF" w:rsidP="005F7D98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7416F">
        <w:rPr>
          <w:rFonts w:asciiTheme="minorHAnsi" w:hAnsiTheme="minorHAnsi" w:cstheme="minorHAnsi"/>
          <w:sz w:val="24"/>
          <w:szCs w:val="24"/>
        </w:rPr>
        <w:t xml:space="preserve">1. Siekiant užtikrinti </w:t>
      </w:r>
      <w:r w:rsidR="003855A8" w:rsidRPr="0077416F">
        <w:rPr>
          <w:rFonts w:asciiTheme="minorHAnsi" w:hAnsiTheme="minorHAnsi" w:cstheme="minorHAnsi"/>
          <w:sz w:val="24"/>
          <w:szCs w:val="24"/>
        </w:rPr>
        <w:t xml:space="preserve">teismų poreikius vykdyti nuotolines vaizdo konferencijas </w:t>
      </w:r>
      <w:r w:rsidR="00467C50" w:rsidRPr="0077416F">
        <w:rPr>
          <w:rFonts w:asciiTheme="minorHAnsi" w:hAnsiTheme="minorHAnsi" w:cstheme="minorHAnsi"/>
          <w:sz w:val="24"/>
          <w:szCs w:val="24"/>
        </w:rPr>
        <w:t>t</w:t>
      </w:r>
      <w:r w:rsidR="003855A8" w:rsidRPr="0077416F">
        <w:rPr>
          <w:rFonts w:asciiTheme="minorHAnsi" w:hAnsiTheme="minorHAnsi" w:cstheme="minorHAnsi"/>
          <w:sz w:val="24"/>
          <w:szCs w:val="24"/>
        </w:rPr>
        <w:t>eismų viduje, organizuojant žodinius teismo posėdžius</w:t>
      </w:r>
      <w:r w:rsidR="00467C50" w:rsidRPr="0077416F">
        <w:rPr>
          <w:rFonts w:asciiTheme="minorHAnsi" w:hAnsiTheme="minorHAnsi" w:cstheme="minorHAnsi"/>
          <w:sz w:val="24"/>
          <w:szCs w:val="24"/>
        </w:rPr>
        <w:t xml:space="preserve"> tarp įvairių proceso šalių</w:t>
      </w:r>
      <w:r w:rsidR="005A7869" w:rsidRPr="0077416F">
        <w:rPr>
          <w:rFonts w:asciiTheme="minorHAnsi" w:hAnsiTheme="minorHAnsi" w:cstheme="minorHAnsi"/>
          <w:sz w:val="24"/>
          <w:szCs w:val="24"/>
        </w:rPr>
        <w:t>,</w:t>
      </w:r>
      <w:r w:rsidR="00467C50" w:rsidRPr="0077416F">
        <w:rPr>
          <w:rFonts w:asciiTheme="minorHAnsi" w:hAnsiTheme="minorHAnsi" w:cstheme="minorHAnsi"/>
          <w:sz w:val="24"/>
          <w:szCs w:val="24"/>
        </w:rPr>
        <w:t xml:space="preserve"> bei organizuoti Teisėjų tarybos ir komisijų nuotolinius posėdžius, kuriuos organizuoja Nacionalinė teismų administracija</w:t>
      </w:r>
      <w:r w:rsidR="00055C63" w:rsidRPr="0077416F">
        <w:rPr>
          <w:rFonts w:asciiTheme="minorHAnsi" w:hAnsiTheme="minorHAnsi" w:cstheme="minorHAnsi"/>
          <w:sz w:val="24"/>
          <w:szCs w:val="24"/>
        </w:rPr>
        <w:t xml:space="preserve"> (toliau – ir Administracija, Perkančioji organizacija)</w:t>
      </w:r>
      <w:r w:rsidR="005A7869" w:rsidRPr="0077416F">
        <w:rPr>
          <w:rFonts w:asciiTheme="minorHAnsi" w:hAnsiTheme="minorHAnsi" w:cstheme="minorHAnsi"/>
          <w:sz w:val="24"/>
          <w:szCs w:val="24"/>
        </w:rPr>
        <w:t>,</w:t>
      </w:r>
      <w:r w:rsidR="00467C50" w:rsidRPr="0077416F">
        <w:rPr>
          <w:rFonts w:asciiTheme="minorHAnsi" w:hAnsiTheme="minorHAnsi" w:cstheme="minorHAnsi"/>
          <w:sz w:val="24"/>
          <w:szCs w:val="24"/>
        </w:rPr>
        <w:t xml:space="preserve"> </w:t>
      </w:r>
      <w:r w:rsidRPr="0077416F">
        <w:rPr>
          <w:rFonts w:asciiTheme="minorHAnsi" w:hAnsiTheme="minorHAnsi" w:cstheme="minorHAnsi"/>
          <w:sz w:val="24"/>
          <w:szCs w:val="24"/>
        </w:rPr>
        <w:t xml:space="preserve">šiuo pirkimu siekiama </w:t>
      </w:r>
      <w:r w:rsidR="00FA1AC2" w:rsidRPr="0077416F">
        <w:rPr>
          <w:rFonts w:asciiTheme="minorHAnsi" w:hAnsiTheme="minorHAnsi" w:cstheme="minorHAnsi"/>
          <w:sz w:val="24"/>
          <w:szCs w:val="24"/>
        </w:rPr>
        <w:t xml:space="preserve">įsigyti </w:t>
      </w:r>
      <w:r w:rsidR="00EB7971" w:rsidRPr="0077416F">
        <w:rPr>
          <w:rFonts w:asciiTheme="minorHAnsi" w:hAnsiTheme="minorHAnsi" w:cstheme="minorHAnsi"/>
          <w:sz w:val="24"/>
          <w:szCs w:val="24"/>
        </w:rPr>
        <w:t xml:space="preserve">Perkančiosios organizacijos turimo </w:t>
      </w:r>
      <w:r w:rsidR="003855A8" w:rsidRPr="0077416F">
        <w:rPr>
          <w:rFonts w:asciiTheme="minorHAnsi" w:hAnsiTheme="minorHAnsi" w:cstheme="minorHAnsi"/>
          <w:sz w:val="24"/>
          <w:szCs w:val="24"/>
        </w:rPr>
        <w:t>nuotolin</w:t>
      </w:r>
      <w:r w:rsidR="003B43BB" w:rsidRPr="0077416F">
        <w:rPr>
          <w:rFonts w:asciiTheme="minorHAnsi" w:hAnsiTheme="minorHAnsi" w:cstheme="minorHAnsi"/>
          <w:sz w:val="24"/>
          <w:szCs w:val="24"/>
        </w:rPr>
        <w:t>io</w:t>
      </w:r>
      <w:r w:rsidR="003855A8" w:rsidRPr="0077416F">
        <w:rPr>
          <w:rFonts w:asciiTheme="minorHAnsi" w:hAnsiTheme="minorHAnsi" w:cstheme="minorHAnsi"/>
          <w:sz w:val="24"/>
          <w:szCs w:val="24"/>
        </w:rPr>
        <w:t xml:space="preserve"> </w:t>
      </w:r>
      <w:r w:rsidR="003C48F4" w:rsidRPr="0077416F">
        <w:rPr>
          <w:rFonts w:asciiTheme="minorHAnsi" w:hAnsiTheme="minorHAnsi" w:cstheme="minorHAnsi"/>
          <w:sz w:val="24"/>
          <w:szCs w:val="24"/>
        </w:rPr>
        <w:t>bendradarbiavimo įrankio</w:t>
      </w:r>
      <w:r w:rsidR="003855A8" w:rsidRPr="0077416F">
        <w:rPr>
          <w:rFonts w:asciiTheme="minorHAnsi" w:hAnsiTheme="minorHAnsi" w:cstheme="minorHAnsi"/>
          <w:sz w:val="24"/>
          <w:szCs w:val="24"/>
        </w:rPr>
        <w:t xml:space="preserve"> </w:t>
      </w:r>
      <w:r w:rsidR="003C48F4" w:rsidRPr="0077416F">
        <w:rPr>
          <w:rFonts w:asciiTheme="minorHAnsi" w:hAnsiTheme="minorHAnsi" w:cstheme="minorHAnsi"/>
          <w:sz w:val="24"/>
          <w:szCs w:val="24"/>
        </w:rPr>
        <w:t xml:space="preserve">(vaizdas ir garsas, kompiuterio turinio rodymas ir susirašinėjimas) </w:t>
      </w:r>
      <w:r w:rsidR="003B7F12" w:rsidRPr="0077416F">
        <w:rPr>
          <w:rFonts w:asciiTheme="minorHAnsi" w:hAnsiTheme="minorHAnsi" w:cstheme="minorHAnsi"/>
          <w:sz w:val="24"/>
          <w:szCs w:val="24"/>
        </w:rPr>
        <w:t>licencijas,</w:t>
      </w:r>
      <w:r w:rsidRPr="0077416F">
        <w:rPr>
          <w:rFonts w:asciiTheme="minorHAnsi" w:hAnsiTheme="minorHAnsi" w:cstheme="minorHAnsi"/>
          <w:sz w:val="24"/>
          <w:szCs w:val="24"/>
        </w:rPr>
        <w:t xml:space="preserve"> skirt</w:t>
      </w:r>
      <w:r w:rsidR="003B7F12" w:rsidRPr="0077416F">
        <w:rPr>
          <w:rFonts w:asciiTheme="minorHAnsi" w:hAnsiTheme="minorHAnsi" w:cstheme="minorHAnsi"/>
          <w:sz w:val="24"/>
          <w:szCs w:val="24"/>
        </w:rPr>
        <w:t>as</w:t>
      </w:r>
      <w:r w:rsidRPr="0077416F">
        <w:rPr>
          <w:rFonts w:asciiTheme="minorHAnsi" w:hAnsiTheme="minorHAnsi" w:cstheme="minorHAnsi"/>
          <w:sz w:val="24"/>
          <w:szCs w:val="24"/>
        </w:rPr>
        <w:t xml:space="preserve"> </w:t>
      </w:r>
      <w:r w:rsidR="00055C63" w:rsidRPr="0077416F">
        <w:rPr>
          <w:rFonts w:asciiTheme="minorHAnsi" w:hAnsiTheme="minorHAnsi" w:cstheme="minorHAnsi"/>
          <w:sz w:val="24"/>
          <w:szCs w:val="24"/>
        </w:rPr>
        <w:t>A</w:t>
      </w:r>
      <w:r w:rsidRPr="0077416F">
        <w:rPr>
          <w:rFonts w:asciiTheme="minorHAnsi" w:hAnsiTheme="minorHAnsi" w:cstheme="minorHAnsi"/>
          <w:sz w:val="24"/>
          <w:szCs w:val="24"/>
        </w:rPr>
        <w:t xml:space="preserve">dministracijai  ir Lietuvos Respublikos teismams.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56"/>
        <w:gridCol w:w="3878"/>
        <w:gridCol w:w="4253"/>
      </w:tblGrid>
      <w:tr w:rsidR="005B3493" w:rsidRPr="0077416F" w14:paraId="0D35586A" w14:textId="77777777" w:rsidTr="0077416F">
        <w:tc>
          <w:tcPr>
            <w:tcW w:w="698" w:type="dxa"/>
            <w:shd w:val="clear" w:color="auto" w:fill="E7E6E6" w:themeFill="background2"/>
            <w:vAlign w:val="center"/>
          </w:tcPr>
          <w:p w14:paraId="1F6BD70C" w14:textId="77777777" w:rsidR="0077416F" w:rsidRPr="0077416F" w:rsidRDefault="007A05EF" w:rsidP="00EE59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Eil. </w:t>
            </w:r>
          </w:p>
          <w:p w14:paraId="693E7AFC" w14:textId="4F80E8B2" w:rsidR="007A05EF" w:rsidRPr="0077416F" w:rsidRDefault="007A05EF" w:rsidP="00EE59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656" w:type="dxa"/>
            <w:shd w:val="clear" w:color="auto" w:fill="E7E6E6" w:themeFill="background2"/>
            <w:vAlign w:val="center"/>
          </w:tcPr>
          <w:p w14:paraId="4A567ED5" w14:textId="77777777" w:rsidR="007A05EF" w:rsidRPr="0077416F" w:rsidRDefault="007A05EF" w:rsidP="00EE59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>Parametrai</w:t>
            </w:r>
          </w:p>
        </w:tc>
        <w:tc>
          <w:tcPr>
            <w:tcW w:w="3878" w:type="dxa"/>
            <w:shd w:val="clear" w:color="auto" w:fill="E7E6E6" w:themeFill="background2"/>
            <w:vAlign w:val="center"/>
          </w:tcPr>
          <w:p w14:paraId="59E79C21" w14:textId="77777777" w:rsidR="007A05EF" w:rsidRPr="0077416F" w:rsidRDefault="007A05EF" w:rsidP="00EE59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255D73EF" w14:textId="738B4F17" w:rsidR="007A05EF" w:rsidRPr="0077416F" w:rsidRDefault="007A05EF" w:rsidP="008E6D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>Siūlomos parametrų reikšmės</w:t>
            </w:r>
            <w:r w:rsidR="005913F6"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E6DA5" w:rsidRPr="0077416F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8E6DA5" w:rsidRPr="0077416F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privaloma išsamiai aprašyti siūlomą parametrą</w:t>
            </w:r>
            <w:r w:rsidR="0077416F" w:rsidRPr="0077416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, negalima nurodyti vien „Atitinka/Neatitinka“ arba „Taip/Ne</w:t>
            </w:r>
            <w:r w:rsidR="008E6DA5" w:rsidRPr="0077416F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5B3493" w:rsidRPr="0077416F" w14:paraId="2D2B1E73" w14:textId="77777777" w:rsidTr="0077416F">
        <w:trPr>
          <w:trHeight w:val="410"/>
        </w:trPr>
        <w:tc>
          <w:tcPr>
            <w:tcW w:w="698" w:type="dxa"/>
          </w:tcPr>
          <w:p w14:paraId="0D10F301" w14:textId="6C183CC5" w:rsidR="007A05EF" w:rsidRPr="0077416F" w:rsidRDefault="00DD24FC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A1AC2" w:rsidRPr="0077416F">
              <w:rPr>
                <w:rFonts w:asciiTheme="minorHAnsi" w:hAnsiTheme="minorHAnsi" w:cstheme="minorHAnsi"/>
                <w:sz w:val="24"/>
                <w:szCs w:val="24"/>
              </w:rPr>
              <w:t>.1.</w:t>
            </w:r>
          </w:p>
        </w:tc>
        <w:tc>
          <w:tcPr>
            <w:tcW w:w="1656" w:type="dxa"/>
          </w:tcPr>
          <w:p w14:paraId="5E47301F" w14:textId="035769B7" w:rsidR="007A05EF" w:rsidRPr="0077416F" w:rsidRDefault="003B7F12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Licencijų</w:t>
            </w:r>
            <w:r w:rsidR="001B6DD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05EF" w:rsidRPr="0077416F">
              <w:rPr>
                <w:rFonts w:asciiTheme="minorHAnsi" w:hAnsiTheme="minorHAnsi" w:cstheme="minorHAnsi"/>
                <w:sz w:val="24"/>
                <w:szCs w:val="24"/>
              </w:rPr>
              <w:t>kiekis</w:t>
            </w:r>
          </w:p>
        </w:tc>
        <w:tc>
          <w:tcPr>
            <w:tcW w:w="3878" w:type="dxa"/>
          </w:tcPr>
          <w:p w14:paraId="72717260" w14:textId="51680BA6" w:rsidR="00DD24FC" w:rsidRPr="0077416F" w:rsidRDefault="00CA68B8" w:rsidP="001B6D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325</w:t>
            </w:r>
          </w:p>
        </w:tc>
        <w:tc>
          <w:tcPr>
            <w:tcW w:w="4253" w:type="dxa"/>
          </w:tcPr>
          <w:p w14:paraId="053DC13E" w14:textId="77777777" w:rsidR="007A05EF" w:rsidRPr="0077416F" w:rsidRDefault="007A05EF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3277F9B4" w14:textId="77777777" w:rsidTr="0077416F">
        <w:tc>
          <w:tcPr>
            <w:tcW w:w="698" w:type="dxa"/>
          </w:tcPr>
          <w:p w14:paraId="6A3BDAB8" w14:textId="58046425" w:rsidR="007A05EF" w:rsidRPr="0077416F" w:rsidRDefault="00DD24FC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FA1AC2" w:rsidRPr="0077416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14:paraId="1542C6D9" w14:textId="281F976E" w:rsidR="007A05EF" w:rsidRPr="0077416F" w:rsidRDefault="003B7F12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Licencijų </w:t>
            </w:r>
            <w:r w:rsidR="007A05EF" w:rsidRPr="0077416F">
              <w:rPr>
                <w:rFonts w:asciiTheme="minorHAnsi" w:hAnsiTheme="minorHAnsi" w:cstheme="minorHAnsi"/>
                <w:sz w:val="24"/>
                <w:szCs w:val="24"/>
              </w:rPr>
              <w:t>paskirtis</w:t>
            </w:r>
          </w:p>
        </w:tc>
        <w:tc>
          <w:tcPr>
            <w:tcW w:w="3878" w:type="dxa"/>
          </w:tcPr>
          <w:p w14:paraId="3DD32BEE" w14:textId="14E926C4" w:rsidR="007A05EF" w:rsidRPr="0077416F" w:rsidRDefault="003C48F4" w:rsidP="00B662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Organizuoti nuotolines vaizdo konferencijas teismų viduje, žodinius teismo posėdžius tarp įvairių proceso šalių</w:t>
            </w:r>
            <w:r w:rsidR="00B66210" w:rsidRPr="0077416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bei organizuoti Teisėjų tarybos ir komisijų nuotolinius posėdžius, kuriuos 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rengia </w:t>
            </w:r>
            <w:r w:rsidR="00AE10A3" w:rsidRPr="0077416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dministracija.</w:t>
            </w:r>
          </w:p>
        </w:tc>
        <w:tc>
          <w:tcPr>
            <w:tcW w:w="4253" w:type="dxa"/>
          </w:tcPr>
          <w:p w14:paraId="69490CAB" w14:textId="77777777" w:rsidR="007A05EF" w:rsidRPr="0077416F" w:rsidRDefault="007A05EF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3600D8E8" w14:textId="77777777" w:rsidTr="0077416F">
        <w:tc>
          <w:tcPr>
            <w:tcW w:w="698" w:type="dxa"/>
            <w:vMerge w:val="restart"/>
          </w:tcPr>
          <w:p w14:paraId="3FB3325A" w14:textId="20CB93AD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</w:t>
            </w:r>
          </w:p>
        </w:tc>
        <w:tc>
          <w:tcPr>
            <w:tcW w:w="1656" w:type="dxa"/>
            <w:vMerge w:val="restart"/>
          </w:tcPr>
          <w:p w14:paraId="589F76DE" w14:textId="47F0B63E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Licencijų savybės</w:t>
            </w:r>
          </w:p>
        </w:tc>
        <w:tc>
          <w:tcPr>
            <w:tcW w:w="3878" w:type="dxa"/>
          </w:tcPr>
          <w:p w14:paraId="78A00A1F" w14:textId="63F0BD63" w:rsidR="00ED7F00" w:rsidRPr="0077416F" w:rsidRDefault="00840E76" w:rsidP="003855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.1. Turi būti galimybė sujungti mobilius vartotojus su Windows, MacOs, Android, iOS įrenginiais (iki 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00 bet kokių įrenginių vienoje konferencijoje). Konferencijų kiekis neribotas.</w:t>
            </w:r>
            <w:r w:rsidR="00BA4F8B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2EB1418C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C5C1E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6D6F1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3EE15F42" w14:textId="77777777" w:rsidTr="0077416F">
        <w:tc>
          <w:tcPr>
            <w:tcW w:w="698" w:type="dxa"/>
            <w:vMerge/>
          </w:tcPr>
          <w:p w14:paraId="21254E63" w14:textId="77777777" w:rsidR="003136BC" w:rsidRPr="0077416F" w:rsidRDefault="003136BC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F3CF685" w14:textId="77777777" w:rsidR="003136BC" w:rsidRPr="0077416F" w:rsidRDefault="003136BC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7B9C6186" w14:textId="77777777" w:rsidR="003136BC" w:rsidRPr="0077416F" w:rsidRDefault="00CA68B8" w:rsidP="00212F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1.3.2. </w:t>
            </w:r>
            <w:r w:rsidR="003136BC" w:rsidRPr="0077416F">
              <w:rPr>
                <w:rFonts w:asciiTheme="minorHAnsi" w:hAnsiTheme="minorHAnsi" w:cstheme="minorHAnsi"/>
                <w:sz w:val="24"/>
                <w:szCs w:val="24"/>
              </w:rPr>
              <w:t>Vienu metu ekrane turi būti atvaizduojama ne mažiau kaip 49 dalyviai (7x7 arba lygiavertis išdėstymas). Vaizdo raiška ne mažiau kaip Full HD (1080p).</w:t>
            </w:r>
          </w:p>
          <w:p w14:paraId="50CA1BE4" w14:textId="45B3A4FB" w:rsidR="00ED7F00" w:rsidRPr="0077416F" w:rsidRDefault="00ED7F00" w:rsidP="00212F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Dalyviai turi galėti bendradarbiauti </w:t>
            </w:r>
            <w:r w:rsidR="00A73044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ne mažiau kaip šiais būdais: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vaizdas ir garsas, kompiuterio turinio rodymas ir susirašinėjimas, </w:t>
            </w:r>
            <w:r w:rsidR="00A73044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bendras piešimas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balto</w:t>
            </w:r>
            <w:r w:rsidR="00A73044" w:rsidRPr="0077416F"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lento</w:t>
            </w:r>
            <w:r w:rsidR="00A73044" w:rsidRPr="0077416F">
              <w:rPr>
                <w:rFonts w:asciiTheme="minorHAnsi" w:hAnsiTheme="minorHAnsi" w:cstheme="minorHAnsi"/>
                <w:sz w:val="24"/>
                <w:szCs w:val="24"/>
              </w:rPr>
              <w:t>je, rodymas vaizdo iš 2 video kamerų vienu metu ir „žmogaus prezentacijoje“.</w:t>
            </w:r>
          </w:p>
        </w:tc>
        <w:tc>
          <w:tcPr>
            <w:tcW w:w="4253" w:type="dxa"/>
          </w:tcPr>
          <w:p w14:paraId="749CCFEB" w14:textId="77777777" w:rsidR="003136BC" w:rsidRPr="0077416F" w:rsidRDefault="003136BC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232A0B9B" w14:textId="77777777" w:rsidTr="0077416F">
        <w:tc>
          <w:tcPr>
            <w:tcW w:w="698" w:type="dxa"/>
            <w:vMerge/>
          </w:tcPr>
          <w:p w14:paraId="598E11C6" w14:textId="77777777" w:rsidR="00840E76" w:rsidRPr="0077416F" w:rsidRDefault="00840E76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3A4CBC6F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2CE5D08F" w14:textId="560AB41B" w:rsidR="00840E76" w:rsidRPr="0077416F" w:rsidRDefault="00840E76" w:rsidP="00212F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3.3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. Turi būti galimybė organizuoti neribotos trukmės daugiašalius susitikimus iki </w:t>
            </w:r>
            <w:r w:rsidR="00A46C27" w:rsidRPr="0077416F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dalyvių, kurių įrašai turi būti saugomi kompiuteryje ar Perkančiosios organizacijos serveryje.</w:t>
            </w:r>
            <w:r w:rsidR="00BA4F8B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47CCE" w:rsidRPr="0077416F">
              <w:rPr>
                <w:rFonts w:asciiTheme="minorHAnsi" w:hAnsiTheme="minorHAnsi" w:cstheme="minorHAnsi"/>
                <w:sz w:val="24"/>
                <w:szCs w:val="24"/>
              </w:rPr>
              <w:t>„Debesies“ įrašų talpa neribota.</w:t>
            </w:r>
          </w:p>
        </w:tc>
        <w:tc>
          <w:tcPr>
            <w:tcW w:w="4253" w:type="dxa"/>
          </w:tcPr>
          <w:p w14:paraId="077EB673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176A363E" w14:textId="77777777" w:rsidTr="0077416F">
        <w:tc>
          <w:tcPr>
            <w:tcW w:w="698" w:type="dxa"/>
            <w:vMerge/>
          </w:tcPr>
          <w:p w14:paraId="1F0C0B22" w14:textId="77777777" w:rsidR="00840E76" w:rsidRPr="0077416F" w:rsidRDefault="00840E76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C13D851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105E6169" w14:textId="3DB7229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 Turi būti galimybė prisijungti prie konferencijų dalyviams skambinantiems (balsiniai)  telefonu.</w:t>
            </w:r>
          </w:p>
        </w:tc>
        <w:tc>
          <w:tcPr>
            <w:tcW w:w="4253" w:type="dxa"/>
          </w:tcPr>
          <w:p w14:paraId="0FCBC5A6" w14:textId="77777777" w:rsidR="00840E76" w:rsidRPr="0077416F" w:rsidRDefault="00840E76" w:rsidP="00EE59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2AA5C75D" w14:textId="77777777" w:rsidTr="0077416F">
        <w:tc>
          <w:tcPr>
            <w:tcW w:w="698" w:type="dxa"/>
            <w:vMerge/>
          </w:tcPr>
          <w:p w14:paraId="60AFA032" w14:textId="77777777" w:rsidR="00840E76" w:rsidRPr="0077416F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4CA1766E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694932C0" w14:textId="4B3659F4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5. Licencijos gamintojas turi turėti ne mažiau kaip 30 pasaulio šalių dedikuotų  numerių. </w:t>
            </w:r>
          </w:p>
        </w:tc>
        <w:tc>
          <w:tcPr>
            <w:tcW w:w="4253" w:type="dxa"/>
          </w:tcPr>
          <w:p w14:paraId="382CD2F5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0C4B169E" w14:textId="77777777" w:rsidTr="0077416F">
        <w:tc>
          <w:tcPr>
            <w:tcW w:w="698" w:type="dxa"/>
            <w:vMerge/>
          </w:tcPr>
          <w:p w14:paraId="34DE03C4" w14:textId="77777777" w:rsidR="00840E76" w:rsidRPr="0077416F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44434CE5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68F9BF54" w14:textId="777D3E65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CA68B8" w:rsidRPr="0077416F">
              <w:rPr>
                <w:rFonts w:asciiTheme="minorHAnsi" w:hAnsiTheme="minorHAnsi" w:cstheme="minorHAnsi"/>
                <w:sz w:val="24"/>
                <w:szCs w:val="24"/>
              </w:rPr>
              <w:t>3.6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 Turi būti galima komunikuoti su partneriais, naudojančiais Microsoft Skype for Business</w:t>
            </w:r>
            <w:r w:rsidR="005B50D1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Teams</w:t>
            </w:r>
            <w:r w:rsidR="001D69C9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, Google Meet, Cisco Webex </w:t>
            </w:r>
            <w:r w:rsidR="005B50D1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ar lygiaverčius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komunikacijų sprendimus.</w:t>
            </w:r>
          </w:p>
        </w:tc>
        <w:tc>
          <w:tcPr>
            <w:tcW w:w="4253" w:type="dxa"/>
          </w:tcPr>
          <w:p w14:paraId="502DE8DC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78FE75CC" w14:textId="77777777" w:rsidTr="0077416F">
        <w:tc>
          <w:tcPr>
            <w:tcW w:w="698" w:type="dxa"/>
            <w:vMerge/>
          </w:tcPr>
          <w:p w14:paraId="37AF64F2" w14:textId="77777777" w:rsidR="00840E76" w:rsidRPr="0077416F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5EC05E92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2C7E7667" w14:textId="318D135A" w:rsidR="00840E76" w:rsidRPr="0077416F" w:rsidRDefault="00747CCE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1.3.7.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Turi būti galimybė pakviesti į vaizdo susitikimą išorinius dalyvius, kurie pas save neturi ir nenaudoja jokio vaizdo konferencijų sprendimo.</w:t>
            </w:r>
          </w:p>
        </w:tc>
        <w:tc>
          <w:tcPr>
            <w:tcW w:w="4253" w:type="dxa"/>
          </w:tcPr>
          <w:p w14:paraId="0A910877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0D779E9E" w14:textId="77777777" w:rsidTr="0077416F">
        <w:tc>
          <w:tcPr>
            <w:tcW w:w="698" w:type="dxa"/>
            <w:vMerge/>
          </w:tcPr>
          <w:p w14:paraId="54FA18A1" w14:textId="77777777" w:rsidR="00840E76" w:rsidRPr="0077416F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198FCCB4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3CACE4AA" w14:textId="44E66703" w:rsidR="00840E76" w:rsidRPr="0077416F" w:rsidRDefault="00747C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1.3.8.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Turi būti galimybė įrašyti vykusį vaizdo pasitarimą ar jį transliuoti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YouTube Live, Facebook Live ar vidiniame tinkle, naudojant perkančiosios organizacijos serverius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>, kad su aptarta informacija galėtų susipažinti pasitarime nedalyvaujantys.</w:t>
            </w:r>
          </w:p>
        </w:tc>
        <w:tc>
          <w:tcPr>
            <w:tcW w:w="4253" w:type="dxa"/>
          </w:tcPr>
          <w:p w14:paraId="4FCD2E57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6AD0C416" w14:textId="77777777" w:rsidTr="0077416F">
        <w:trPr>
          <w:trHeight w:val="944"/>
        </w:trPr>
        <w:tc>
          <w:tcPr>
            <w:tcW w:w="698" w:type="dxa"/>
            <w:vMerge/>
          </w:tcPr>
          <w:p w14:paraId="410CD32A" w14:textId="77777777" w:rsidR="00840E76" w:rsidRPr="0077416F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40DBBD7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3DEBE8D1" w14:textId="4F63B0EC" w:rsidR="00840E76" w:rsidRPr="0077416F" w:rsidRDefault="00747CCE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1.3.9.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Turi būti galimybė planuoti būsimus susitikimus ir siųsti pakvietimus su Microsoft Outlook ar Google Calendar įskiepiais.</w:t>
            </w:r>
          </w:p>
        </w:tc>
        <w:tc>
          <w:tcPr>
            <w:tcW w:w="4253" w:type="dxa"/>
          </w:tcPr>
          <w:p w14:paraId="1E4F7F3B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3143D91D" w14:textId="77777777" w:rsidTr="0077416F">
        <w:trPr>
          <w:trHeight w:val="1126"/>
        </w:trPr>
        <w:tc>
          <w:tcPr>
            <w:tcW w:w="698" w:type="dxa"/>
            <w:vMerge/>
          </w:tcPr>
          <w:p w14:paraId="44CDC2A1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4B06B6A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1F157B94" w14:textId="45919D4A" w:rsidR="00840E76" w:rsidRPr="0077416F" w:rsidRDefault="00747CCE" w:rsidP="000E4B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1.3.10.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Turi būti galimybė organizuoti nuotolines konferencijas su vaizdu ir garsu, tik garsu, Konferencijos metu rodyti vieno iš dalyvių ekraną, taip pat turi būti galimybė vykdyti susirašinėjim</w:t>
            </w:r>
            <w:r w:rsidR="0046393C" w:rsidRPr="0077416F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840E76"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32ADD7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1AED18FB" w14:textId="77777777" w:rsidTr="0077416F">
        <w:tc>
          <w:tcPr>
            <w:tcW w:w="698" w:type="dxa"/>
            <w:vMerge/>
          </w:tcPr>
          <w:p w14:paraId="14185F7B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0613AF5A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3C3AD5FB" w14:textId="5334FA91" w:rsidR="002434F7" w:rsidRPr="0077416F" w:rsidRDefault="00747CCE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1.3.11.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Turi būti galimybė nemokamai tam pačiam organizatoriui suplanuoti ir paleisti ne mažiau kaip 2 vienu metu vykstančius video susitikimus, neįsigyjant papildomų licencijų.</w:t>
            </w:r>
          </w:p>
        </w:tc>
        <w:tc>
          <w:tcPr>
            <w:tcW w:w="4253" w:type="dxa"/>
          </w:tcPr>
          <w:p w14:paraId="382FC032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5D8780AF" w14:textId="77777777" w:rsidTr="0077416F">
        <w:tc>
          <w:tcPr>
            <w:tcW w:w="698" w:type="dxa"/>
            <w:vMerge/>
          </w:tcPr>
          <w:p w14:paraId="180EE890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0EFCA3CC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0D248787" w14:textId="7B701167" w:rsidR="002434F7" w:rsidRPr="0077416F" w:rsidRDefault="00747CCE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1.3.12.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Turi būti galimybė nemokamai rengti online susitikimus su vertimu į kitas kalbas, neįsigyjant papildomų licencijų.</w:t>
            </w:r>
          </w:p>
        </w:tc>
        <w:tc>
          <w:tcPr>
            <w:tcW w:w="4253" w:type="dxa"/>
          </w:tcPr>
          <w:p w14:paraId="4D700548" w14:textId="77777777" w:rsidR="002434F7" w:rsidRPr="0077416F" w:rsidRDefault="002434F7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7B4B98EF" w14:textId="77777777" w:rsidTr="0077416F">
        <w:tc>
          <w:tcPr>
            <w:tcW w:w="698" w:type="dxa"/>
            <w:vMerge/>
          </w:tcPr>
          <w:p w14:paraId="21CB36AC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0BFD2BBF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0A83E7E7" w14:textId="0D885603" w:rsidR="00840E76" w:rsidRPr="0077416F" w:rsidRDefault="00747CCE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1.3.13.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Turi būti galimybė nemokamai 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t>įsidiegti susitikimų kambarių rezervavimą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, neįsigyjant papildomų licencijų.</w:t>
            </w:r>
          </w:p>
        </w:tc>
        <w:tc>
          <w:tcPr>
            <w:tcW w:w="4253" w:type="dxa"/>
          </w:tcPr>
          <w:p w14:paraId="01642E29" w14:textId="77777777" w:rsidR="00840E76" w:rsidRPr="0077416F" w:rsidRDefault="00840E76" w:rsidP="00556C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25AC642D" w14:textId="77777777" w:rsidTr="0077416F">
        <w:tc>
          <w:tcPr>
            <w:tcW w:w="698" w:type="dxa"/>
            <w:vMerge/>
          </w:tcPr>
          <w:p w14:paraId="59FB3C7C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164C3EA3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060BA1AD" w14:textId="0CBAE88F" w:rsidR="002434F7" w:rsidRPr="0077416F" w:rsidRDefault="00747CCE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1.3.14.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Turi būti galimybė nemokamai 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t>įsidiegti darbo vietų rezervavimą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, neįsigyjant papildomų licencijų.</w:t>
            </w:r>
          </w:p>
        </w:tc>
        <w:tc>
          <w:tcPr>
            <w:tcW w:w="4253" w:type="dxa"/>
          </w:tcPr>
          <w:p w14:paraId="07460EA4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1A92A2F4" w14:textId="77777777" w:rsidTr="0077416F">
        <w:tc>
          <w:tcPr>
            <w:tcW w:w="698" w:type="dxa"/>
            <w:vMerge/>
          </w:tcPr>
          <w:p w14:paraId="13CFEE50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AF61D2C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3EC9FDF9" w14:textId="3B4A6E7F" w:rsidR="002434F7" w:rsidRPr="0077416F" w:rsidRDefault="00747CCE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1.3.15.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Turi būti galimybė nemokamai 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įsidiegti vizualinės informacijos 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sklaidą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, neįsigyjant papildomų licencijų.</w:t>
            </w:r>
          </w:p>
        </w:tc>
        <w:tc>
          <w:tcPr>
            <w:tcW w:w="4253" w:type="dxa"/>
          </w:tcPr>
          <w:p w14:paraId="6620FCE4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29F1253C" w14:textId="77777777" w:rsidTr="0077416F">
        <w:tc>
          <w:tcPr>
            <w:tcW w:w="698" w:type="dxa"/>
            <w:vMerge/>
          </w:tcPr>
          <w:p w14:paraId="0D1A16E0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3CEC4CF7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50518568" w14:textId="79693F94" w:rsidR="002434F7" w:rsidRPr="0077416F" w:rsidRDefault="00747CCE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1.3.16.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Turi būti galimybė 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audio, video, prezentacijas, pokalbius perduoti 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naudo</w:t>
            </w:r>
            <w:r w:rsidR="008872B1" w:rsidRPr="0077416F">
              <w:rPr>
                <w:rFonts w:asciiTheme="minorHAnsi" w:hAnsiTheme="minorHAnsi" w:cstheme="minorHAnsi"/>
                <w:sz w:val="24"/>
                <w:szCs w:val="24"/>
              </w:rPr>
              <w:t>jant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ne tik „debesies“ sprendimą, bet ir </w:t>
            </w:r>
            <w:r w:rsidR="002434F7" w:rsidRPr="0077416F">
              <w:rPr>
                <w:rFonts w:asciiTheme="minorHAnsi" w:hAnsiTheme="minorHAnsi" w:cstheme="minorHAnsi"/>
                <w:strike/>
                <w:sz w:val="24"/>
                <w:szCs w:val="24"/>
              </w:rPr>
              <w:t>naudojant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lokalius Perkančiosios organizacijos kompiuterinės įrangos resursus, įsigyjant papildomas licencijas.</w:t>
            </w:r>
          </w:p>
        </w:tc>
        <w:tc>
          <w:tcPr>
            <w:tcW w:w="4253" w:type="dxa"/>
          </w:tcPr>
          <w:p w14:paraId="6277D347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02F9AE0C" w14:textId="77777777" w:rsidTr="0077416F">
        <w:tc>
          <w:tcPr>
            <w:tcW w:w="698" w:type="dxa"/>
            <w:vMerge/>
          </w:tcPr>
          <w:p w14:paraId="70EA7B4D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6E892E62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0C03D7A8" w14:textId="19459266" w:rsidR="00073323" w:rsidRPr="0077416F" w:rsidRDefault="00747CCE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1.3.17. </w:t>
            </w:r>
            <w:r w:rsidR="00073323" w:rsidRPr="0077416F">
              <w:rPr>
                <w:rFonts w:asciiTheme="minorHAnsi" w:hAnsiTheme="minorHAnsi" w:cstheme="minorHAnsi"/>
                <w:sz w:val="24"/>
                <w:szCs w:val="24"/>
              </w:rPr>
              <w:t>Turi būti galimybė įsidiegti automatizuotus video susitikimų kambarius, kuriuos galima įdiegti į HP Poly, Logitech, Jabra, Cisco, Crestron ir kitų gamintojų aparatinę įrangą, įsigyjant papildomas licencijas.</w:t>
            </w:r>
          </w:p>
          <w:p w14:paraId="1FC557B8" w14:textId="19D7F4E7" w:rsidR="002434F7" w:rsidRPr="0077416F" w:rsidRDefault="00073323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Šie kambariai turi būti suderinami ir leisti lengvai prisijungti į Microsoft Teams, Google Meet, Cisco Webex </w:t>
            </w:r>
            <w:r w:rsidR="00A73044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bei H.323/SIP standarto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susitikimus be papildomos aparatinės ar programinės įrangos.</w:t>
            </w:r>
          </w:p>
        </w:tc>
        <w:tc>
          <w:tcPr>
            <w:tcW w:w="4253" w:type="dxa"/>
          </w:tcPr>
          <w:p w14:paraId="70C2F9E5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185036D4" w14:textId="77777777" w:rsidTr="0077416F">
        <w:tc>
          <w:tcPr>
            <w:tcW w:w="698" w:type="dxa"/>
            <w:vMerge/>
          </w:tcPr>
          <w:p w14:paraId="08077224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20B281F5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7B30544A" w14:textId="4B7A91B3" w:rsidR="002434F7" w:rsidRPr="0077416F" w:rsidRDefault="00747CCE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1.3.18.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Licencijos turi būti aktyvuotos turimoje </w:t>
            </w:r>
            <w:r w:rsidR="00D22DEE" w:rsidRPr="0077416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erkančiosios organizacijos paskyroje. Tiekėjui neturint galimybių turimoje </w:t>
            </w:r>
            <w:r w:rsidR="00D22DEE" w:rsidRPr="0077416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434F7" w:rsidRPr="0077416F">
              <w:rPr>
                <w:rFonts w:asciiTheme="minorHAnsi" w:hAnsiTheme="minorHAnsi" w:cstheme="minorHAnsi"/>
                <w:sz w:val="24"/>
                <w:szCs w:val="24"/>
              </w:rPr>
              <w:t>erkančiosios organizacijos paskyroje aktyvuoti naujai įsigyjamų licencijų, tiekėjas savo lėšomis turi perkelti į naują paskyrą visas dabartinėje paskyroje esamus vartotojus ir perkelti visus iki licencijų aktyvavimo datos sukurtus susitikimus taip, kad tai neturėtų tiesioginės įtakos Perkančiosios organizacijos ir teismų darbui bei veiklos tęstinumui</w:t>
            </w:r>
          </w:p>
        </w:tc>
        <w:tc>
          <w:tcPr>
            <w:tcW w:w="4253" w:type="dxa"/>
          </w:tcPr>
          <w:p w14:paraId="081E953F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4F4F1AA6" w14:textId="77777777" w:rsidTr="0077416F">
        <w:tc>
          <w:tcPr>
            <w:tcW w:w="698" w:type="dxa"/>
          </w:tcPr>
          <w:p w14:paraId="022F0740" w14:textId="5E7C0AEE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47CCE" w:rsidRPr="0077416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14:paraId="6135D38D" w14:textId="0A824A28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Licencijos galiojimo trukmė</w:t>
            </w:r>
          </w:p>
        </w:tc>
        <w:tc>
          <w:tcPr>
            <w:tcW w:w="3878" w:type="dxa"/>
          </w:tcPr>
          <w:p w14:paraId="6901B5FE" w14:textId="4C2342EA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Licencijos turi galioti dvylika mėnesių, t. y. nuo 202</w:t>
            </w:r>
            <w:r w:rsidR="00055C63" w:rsidRPr="00774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m. gegužės 25 dienos iki 202</w:t>
            </w:r>
            <w:r w:rsidR="00055C63" w:rsidRPr="0077416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 m. gegužės 26 dienos.</w:t>
            </w:r>
          </w:p>
        </w:tc>
        <w:tc>
          <w:tcPr>
            <w:tcW w:w="4253" w:type="dxa"/>
          </w:tcPr>
          <w:p w14:paraId="01AFC617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3493" w:rsidRPr="0077416F" w14:paraId="45568A56" w14:textId="77777777" w:rsidTr="0077416F">
        <w:tc>
          <w:tcPr>
            <w:tcW w:w="698" w:type="dxa"/>
          </w:tcPr>
          <w:p w14:paraId="28BE3849" w14:textId="6B2CA614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47CCE" w:rsidRPr="00774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14:paraId="24821B2B" w14:textId="020D7E58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Licencijų garantinė priežiūra – gamintojo palaikymas</w:t>
            </w:r>
          </w:p>
        </w:tc>
        <w:tc>
          <w:tcPr>
            <w:tcW w:w="3878" w:type="dxa"/>
          </w:tcPr>
          <w:p w14:paraId="1CC5B3EF" w14:textId="4403C1CD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- Turi būti užtikrinamas naujų siūlomos programinės įrangos versijų bei pataisymų gavimas, galimybė gauti konsultacijas iš pardavėjo ar programinės įrangos gamintojo visu licencijos galiojimo laikotarpiu neatlygintinai. </w:t>
            </w:r>
          </w:p>
          <w:p w14:paraId="67949C62" w14:textId="7FCAE511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- Visą licencijų galiojimo laikotarpį turi būti užtikrintos galimybės </w:t>
            </w:r>
            <w:r w:rsidR="00D22DEE" w:rsidRPr="0077416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erkančiajai organizacijai nemokamai kreiptis tiesiogiai į Prekių techninio 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palaikymo centrą ir neatlygintinai gauti jų teikiamas paslaugas. </w:t>
            </w:r>
          </w:p>
          <w:p w14:paraId="4B403D28" w14:textId="7D0C96AA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- Visą licencijų galiojimo laikotarpį turi būti užtikrintos galimybės kreiptis į licencijų tiekėją.</w:t>
            </w:r>
          </w:p>
        </w:tc>
        <w:tc>
          <w:tcPr>
            <w:tcW w:w="4253" w:type="dxa"/>
          </w:tcPr>
          <w:p w14:paraId="7A771466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4F7" w:rsidRPr="0077416F" w14:paraId="39B09C8B" w14:textId="77777777" w:rsidTr="0077416F">
        <w:tc>
          <w:tcPr>
            <w:tcW w:w="698" w:type="dxa"/>
          </w:tcPr>
          <w:p w14:paraId="47D6215B" w14:textId="43374ADD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47CCE" w:rsidRPr="0077416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14:paraId="7CCA8B6D" w14:textId="7D93EDB0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Konsultavimas</w:t>
            </w:r>
          </w:p>
        </w:tc>
        <w:tc>
          <w:tcPr>
            <w:tcW w:w="3878" w:type="dxa"/>
          </w:tcPr>
          <w:p w14:paraId="0153DFF8" w14:textId="3047445F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Turi būti teikiamos konsultavimo paslaugos (iki 16 val.) Perkančiosios organizacijos specialistams diegiant paslaugas Perkančiosios organizacijos serveriuose visą sutarties galiojimo laikotarpį.</w:t>
            </w:r>
          </w:p>
        </w:tc>
        <w:tc>
          <w:tcPr>
            <w:tcW w:w="4253" w:type="dxa"/>
          </w:tcPr>
          <w:p w14:paraId="09C3DAE1" w14:textId="77777777" w:rsidR="002434F7" w:rsidRPr="0077416F" w:rsidRDefault="002434F7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CAC" w:rsidRPr="0077416F" w14:paraId="050C9F37" w14:textId="77777777" w:rsidTr="0077416F">
        <w:tc>
          <w:tcPr>
            <w:tcW w:w="698" w:type="dxa"/>
          </w:tcPr>
          <w:p w14:paraId="36686335" w14:textId="731743E9" w:rsidR="00163CAC" w:rsidRPr="0077416F" w:rsidRDefault="00163CAC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1.7.</w:t>
            </w:r>
          </w:p>
        </w:tc>
        <w:tc>
          <w:tcPr>
            <w:tcW w:w="1656" w:type="dxa"/>
          </w:tcPr>
          <w:p w14:paraId="5DB2CB62" w14:textId="01C98C41" w:rsidR="00163CAC" w:rsidRPr="0077416F" w:rsidRDefault="009673F1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Reikalavimai tiekėjui</w:t>
            </w:r>
          </w:p>
        </w:tc>
        <w:tc>
          <w:tcPr>
            <w:tcW w:w="3878" w:type="dxa"/>
          </w:tcPr>
          <w:p w14:paraId="2F31545B" w14:textId="25C2CA1E" w:rsidR="00163CAC" w:rsidRPr="0077416F" w:rsidRDefault="009673F1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 xml:space="preserve">Tiekėjas teikiant pasiūlymą </w:t>
            </w:r>
            <w:r w:rsidR="00D22DEE" w:rsidRPr="0077416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77416F">
              <w:rPr>
                <w:rFonts w:asciiTheme="minorHAnsi" w:hAnsiTheme="minorHAnsi" w:cstheme="minorHAnsi"/>
                <w:sz w:val="24"/>
                <w:szCs w:val="24"/>
              </w:rPr>
              <w:t>erkančiajai organizacijai turi įrodyti, kad turi teisę parduoti Prekes Lietuvos teritorijoje. Atsižvelgiant į tai, tiekėjas turi pateikti Įrangos gamintojo išduotą sertifikatą arba lygiavertį dokumentą (gamintojo pažyma/raštas arba informacija gamintojo svetainėje (pateikiamas gamintojo svetainės ekranvaizdis)), patvirtinantį, kad tiekėjas yra Įrangos gamintojo oficialus atstovas arba įgaliotas parduoti Prekes.</w:t>
            </w:r>
          </w:p>
        </w:tc>
        <w:tc>
          <w:tcPr>
            <w:tcW w:w="4253" w:type="dxa"/>
          </w:tcPr>
          <w:p w14:paraId="127DF42A" w14:textId="77777777" w:rsidR="00163CAC" w:rsidRPr="0077416F" w:rsidRDefault="00163CAC" w:rsidP="002434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07B3C5" w14:textId="77777777" w:rsidR="0077416F" w:rsidRPr="0077416F" w:rsidRDefault="0077416F" w:rsidP="0054127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F55B38" w14:textId="1DDBD590" w:rsidR="007657A7" w:rsidRPr="0077416F" w:rsidRDefault="00556CC0" w:rsidP="000726AA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7416F">
        <w:rPr>
          <w:rFonts w:asciiTheme="minorHAnsi" w:hAnsiTheme="minorHAnsi" w:cstheme="minorHAnsi"/>
          <w:sz w:val="24"/>
          <w:szCs w:val="24"/>
        </w:rPr>
        <w:tab/>
      </w:r>
      <w:r w:rsidR="00624EDB" w:rsidRPr="0077416F">
        <w:rPr>
          <w:rFonts w:asciiTheme="minorHAnsi" w:hAnsiTheme="minorHAnsi" w:cstheme="minorHAnsi"/>
          <w:sz w:val="24"/>
          <w:szCs w:val="24"/>
        </w:rPr>
        <w:t>2</w:t>
      </w:r>
      <w:r w:rsidR="00943592" w:rsidRPr="0077416F">
        <w:rPr>
          <w:rFonts w:asciiTheme="minorHAnsi" w:hAnsiTheme="minorHAnsi" w:cstheme="minorHAnsi"/>
          <w:sz w:val="24"/>
          <w:szCs w:val="24"/>
        </w:rPr>
        <w:t xml:space="preserve">. </w:t>
      </w:r>
      <w:r w:rsidR="001214F0" w:rsidRPr="0077416F">
        <w:rPr>
          <w:rFonts w:asciiTheme="minorHAnsi" w:hAnsiTheme="minorHAnsi" w:cstheme="minorHAnsi"/>
          <w:sz w:val="24"/>
          <w:szCs w:val="24"/>
        </w:rPr>
        <w:t>Licencijos</w:t>
      </w:r>
      <w:r w:rsidR="007A05EF" w:rsidRPr="0077416F">
        <w:rPr>
          <w:rFonts w:asciiTheme="minorHAnsi" w:hAnsiTheme="minorHAnsi" w:cstheme="minorHAnsi"/>
          <w:sz w:val="24"/>
          <w:szCs w:val="24"/>
        </w:rPr>
        <w:t xml:space="preserve"> turi būti </w:t>
      </w:r>
      <w:r w:rsidR="00FA1AC2" w:rsidRPr="0077416F">
        <w:rPr>
          <w:rFonts w:asciiTheme="minorHAnsi" w:hAnsiTheme="minorHAnsi" w:cstheme="minorHAnsi"/>
          <w:sz w:val="24"/>
          <w:szCs w:val="24"/>
        </w:rPr>
        <w:t>aktyvuot</w:t>
      </w:r>
      <w:r w:rsidR="00F714B6" w:rsidRPr="0077416F">
        <w:rPr>
          <w:rFonts w:asciiTheme="minorHAnsi" w:hAnsiTheme="minorHAnsi" w:cstheme="minorHAnsi"/>
          <w:sz w:val="24"/>
          <w:szCs w:val="24"/>
        </w:rPr>
        <w:t>o</w:t>
      </w:r>
      <w:r w:rsidR="00FA1AC2" w:rsidRPr="0077416F">
        <w:rPr>
          <w:rFonts w:asciiTheme="minorHAnsi" w:hAnsiTheme="minorHAnsi" w:cstheme="minorHAnsi"/>
          <w:sz w:val="24"/>
          <w:szCs w:val="24"/>
        </w:rPr>
        <w:t>s</w:t>
      </w:r>
      <w:r w:rsidR="007A05EF" w:rsidRPr="0077416F">
        <w:rPr>
          <w:rFonts w:asciiTheme="minorHAnsi" w:hAnsiTheme="minorHAnsi" w:cstheme="minorHAnsi"/>
          <w:sz w:val="24"/>
          <w:szCs w:val="24"/>
        </w:rPr>
        <w:t xml:space="preserve"> </w:t>
      </w:r>
      <w:r w:rsidR="00AC1299" w:rsidRPr="0077416F">
        <w:rPr>
          <w:rFonts w:asciiTheme="minorHAnsi" w:hAnsiTheme="minorHAnsi" w:cstheme="minorHAnsi"/>
          <w:sz w:val="24"/>
          <w:szCs w:val="24"/>
        </w:rPr>
        <w:t>202</w:t>
      </w:r>
      <w:r w:rsidR="00747CCE" w:rsidRPr="0077416F">
        <w:rPr>
          <w:rFonts w:asciiTheme="minorHAnsi" w:hAnsiTheme="minorHAnsi" w:cstheme="minorHAnsi"/>
          <w:sz w:val="24"/>
          <w:szCs w:val="24"/>
        </w:rPr>
        <w:t>5</w:t>
      </w:r>
      <w:r w:rsidR="00AC1299" w:rsidRPr="0077416F">
        <w:rPr>
          <w:rFonts w:asciiTheme="minorHAnsi" w:hAnsiTheme="minorHAnsi" w:cstheme="minorHAnsi"/>
          <w:sz w:val="24"/>
          <w:szCs w:val="24"/>
        </w:rPr>
        <w:t xml:space="preserve"> m. </w:t>
      </w:r>
      <w:r w:rsidR="00D06B53" w:rsidRPr="0077416F">
        <w:rPr>
          <w:rFonts w:asciiTheme="minorHAnsi" w:hAnsiTheme="minorHAnsi" w:cstheme="minorHAnsi"/>
          <w:sz w:val="24"/>
          <w:szCs w:val="24"/>
        </w:rPr>
        <w:t>gegužės</w:t>
      </w:r>
      <w:r w:rsidR="00AC1299" w:rsidRPr="0077416F">
        <w:rPr>
          <w:rFonts w:asciiTheme="minorHAnsi" w:hAnsiTheme="minorHAnsi" w:cstheme="minorHAnsi"/>
          <w:sz w:val="24"/>
          <w:szCs w:val="24"/>
        </w:rPr>
        <w:t xml:space="preserve"> 2</w:t>
      </w:r>
      <w:r w:rsidR="00D247C8" w:rsidRPr="0077416F">
        <w:rPr>
          <w:rFonts w:asciiTheme="minorHAnsi" w:hAnsiTheme="minorHAnsi" w:cstheme="minorHAnsi"/>
          <w:sz w:val="24"/>
          <w:szCs w:val="24"/>
        </w:rPr>
        <w:t>5</w:t>
      </w:r>
      <w:r w:rsidR="00AC1299" w:rsidRPr="0077416F">
        <w:rPr>
          <w:rFonts w:asciiTheme="minorHAnsi" w:hAnsiTheme="minorHAnsi" w:cstheme="minorHAnsi"/>
          <w:sz w:val="24"/>
          <w:szCs w:val="24"/>
        </w:rPr>
        <w:t xml:space="preserve"> d.</w:t>
      </w:r>
    </w:p>
    <w:sectPr w:rsidR="007657A7" w:rsidRPr="0077416F" w:rsidSect="00910AFD">
      <w:headerReference w:type="default" r:id="rId11"/>
      <w:footerReference w:type="first" r:id="rId12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E2DF" w14:textId="77777777" w:rsidR="00C6656F" w:rsidRDefault="00C6656F" w:rsidP="00910AFD">
      <w:pPr>
        <w:spacing w:after="0" w:line="240" w:lineRule="auto"/>
      </w:pPr>
      <w:r>
        <w:separator/>
      </w:r>
    </w:p>
  </w:endnote>
  <w:endnote w:type="continuationSeparator" w:id="0">
    <w:p w14:paraId="33D48F44" w14:textId="77777777" w:rsidR="00C6656F" w:rsidRDefault="00C6656F" w:rsidP="00910AFD">
      <w:pPr>
        <w:spacing w:after="0" w:line="240" w:lineRule="auto"/>
      </w:pPr>
      <w:r>
        <w:continuationSeparator/>
      </w:r>
    </w:p>
  </w:endnote>
  <w:endnote w:type="continuationNotice" w:id="1">
    <w:p w14:paraId="2F2E66C3" w14:textId="77777777" w:rsidR="00C6656F" w:rsidRDefault="00C66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13464"/>
      <w:docPartObj>
        <w:docPartGallery w:val="Page Numbers (Bottom of Page)"/>
        <w:docPartUnique/>
      </w:docPartObj>
    </w:sdtPr>
    <w:sdtContent>
      <w:p w14:paraId="11A8B65C" w14:textId="7EE6E113" w:rsidR="00A9675F" w:rsidRDefault="00A967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EABD621" w14:textId="77777777" w:rsidR="00EE5976" w:rsidRDefault="00EE597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D04A" w14:textId="77777777" w:rsidR="00C6656F" w:rsidRDefault="00C6656F" w:rsidP="00910AFD">
      <w:pPr>
        <w:spacing w:after="0" w:line="240" w:lineRule="auto"/>
      </w:pPr>
      <w:r>
        <w:separator/>
      </w:r>
    </w:p>
  </w:footnote>
  <w:footnote w:type="continuationSeparator" w:id="0">
    <w:p w14:paraId="3E601108" w14:textId="77777777" w:rsidR="00C6656F" w:rsidRDefault="00C6656F" w:rsidP="00910AFD">
      <w:pPr>
        <w:spacing w:after="0" w:line="240" w:lineRule="auto"/>
      </w:pPr>
      <w:r>
        <w:continuationSeparator/>
      </w:r>
    </w:p>
  </w:footnote>
  <w:footnote w:type="continuationNotice" w:id="1">
    <w:p w14:paraId="182BDB66" w14:textId="77777777" w:rsidR="00C6656F" w:rsidRDefault="00C665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54CD" w14:textId="77777777" w:rsidR="00910AFD" w:rsidRDefault="00910AF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52F">
      <w:rPr>
        <w:noProof/>
      </w:rPr>
      <w:t>3</w:t>
    </w:r>
    <w:r>
      <w:fldChar w:fldCharType="end"/>
    </w:r>
  </w:p>
  <w:p w14:paraId="764D07FF" w14:textId="77777777" w:rsidR="00910AFD" w:rsidRDefault="00910A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DD4"/>
    <w:multiLevelType w:val="multilevel"/>
    <w:tmpl w:val="F968B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66768D"/>
    <w:multiLevelType w:val="hybridMultilevel"/>
    <w:tmpl w:val="A44A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6402"/>
    <w:multiLevelType w:val="multilevel"/>
    <w:tmpl w:val="0B365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586333"/>
    <w:multiLevelType w:val="multilevel"/>
    <w:tmpl w:val="E416BC3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6A3E0C3C"/>
    <w:multiLevelType w:val="hybridMultilevel"/>
    <w:tmpl w:val="27925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51769">
    <w:abstractNumId w:val="0"/>
  </w:num>
  <w:num w:numId="2" w16cid:durableId="30694398">
    <w:abstractNumId w:val="1"/>
  </w:num>
  <w:num w:numId="3" w16cid:durableId="607548111">
    <w:abstractNumId w:val="4"/>
  </w:num>
  <w:num w:numId="4" w16cid:durableId="921719427">
    <w:abstractNumId w:val="3"/>
  </w:num>
  <w:num w:numId="5" w16cid:durableId="86933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EF"/>
    <w:rsid w:val="00013715"/>
    <w:rsid w:val="000144EA"/>
    <w:rsid w:val="000325C9"/>
    <w:rsid w:val="0004552F"/>
    <w:rsid w:val="0004667C"/>
    <w:rsid w:val="00055C63"/>
    <w:rsid w:val="000726AA"/>
    <w:rsid w:val="00073323"/>
    <w:rsid w:val="000A23C0"/>
    <w:rsid w:val="000C3B72"/>
    <w:rsid w:val="000C5CFB"/>
    <w:rsid w:val="000D0A98"/>
    <w:rsid w:val="000E4B9C"/>
    <w:rsid w:val="000F1660"/>
    <w:rsid w:val="00106A9C"/>
    <w:rsid w:val="001214F0"/>
    <w:rsid w:val="001304C0"/>
    <w:rsid w:val="00140179"/>
    <w:rsid w:val="00152832"/>
    <w:rsid w:val="00155D71"/>
    <w:rsid w:val="0015728A"/>
    <w:rsid w:val="001637D2"/>
    <w:rsid w:val="00163CAC"/>
    <w:rsid w:val="001872E0"/>
    <w:rsid w:val="00191A30"/>
    <w:rsid w:val="001953D8"/>
    <w:rsid w:val="001B6DD7"/>
    <w:rsid w:val="001D65BD"/>
    <w:rsid w:val="001D69C9"/>
    <w:rsid w:val="001D7FF4"/>
    <w:rsid w:val="001E01EB"/>
    <w:rsid w:val="00210810"/>
    <w:rsid w:val="00212F14"/>
    <w:rsid w:val="002434F7"/>
    <w:rsid w:val="0024444C"/>
    <w:rsid w:val="0025570F"/>
    <w:rsid w:val="0026356F"/>
    <w:rsid w:val="00266919"/>
    <w:rsid w:val="002724F2"/>
    <w:rsid w:val="00275888"/>
    <w:rsid w:val="00280AF5"/>
    <w:rsid w:val="00281A4D"/>
    <w:rsid w:val="00283FBF"/>
    <w:rsid w:val="00295C81"/>
    <w:rsid w:val="002A73F2"/>
    <w:rsid w:val="002B60C1"/>
    <w:rsid w:val="002D6BD5"/>
    <w:rsid w:val="002F3406"/>
    <w:rsid w:val="002F3B9F"/>
    <w:rsid w:val="0030392D"/>
    <w:rsid w:val="003136BC"/>
    <w:rsid w:val="003170E2"/>
    <w:rsid w:val="00327D34"/>
    <w:rsid w:val="00330C42"/>
    <w:rsid w:val="00334D3E"/>
    <w:rsid w:val="003420CF"/>
    <w:rsid w:val="00345B59"/>
    <w:rsid w:val="003461E6"/>
    <w:rsid w:val="00355372"/>
    <w:rsid w:val="00357635"/>
    <w:rsid w:val="00357EF8"/>
    <w:rsid w:val="00367F44"/>
    <w:rsid w:val="003711D9"/>
    <w:rsid w:val="003855A8"/>
    <w:rsid w:val="003975E0"/>
    <w:rsid w:val="003A2731"/>
    <w:rsid w:val="003B43BB"/>
    <w:rsid w:val="003B75B9"/>
    <w:rsid w:val="003B7F12"/>
    <w:rsid w:val="003C48F4"/>
    <w:rsid w:val="003D239C"/>
    <w:rsid w:val="003E139E"/>
    <w:rsid w:val="003F0F3A"/>
    <w:rsid w:val="003F5DBF"/>
    <w:rsid w:val="00400261"/>
    <w:rsid w:val="004004A3"/>
    <w:rsid w:val="004043E3"/>
    <w:rsid w:val="00404965"/>
    <w:rsid w:val="0041591C"/>
    <w:rsid w:val="004271EB"/>
    <w:rsid w:val="00437CE6"/>
    <w:rsid w:val="0045315E"/>
    <w:rsid w:val="00455383"/>
    <w:rsid w:val="00460CCE"/>
    <w:rsid w:val="004637FC"/>
    <w:rsid w:val="0046393C"/>
    <w:rsid w:val="00467C50"/>
    <w:rsid w:val="0048646D"/>
    <w:rsid w:val="004A231F"/>
    <w:rsid w:val="004C59E7"/>
    <w:rsid w:val="004D45B4"/>
    <w:rsid w:val="004F1FB6"/>
    <w:rsid w:val="00521195"/>
    <w:rsid w:val="00523307"/>
    <w:rsid w:val="00523624"/>
    <w:rsid w:val="00537924"/>
    <w:rsid w:val="00541271"/>
    <w:rsid w:val="005508D5"/>
    <w:rsid w:val="00555526"/>
    <w:rsid w:val="00556CC0"/>
    <w:rsid w:val="00565893"/>
    <w:rsid w:val="005700CB"/>
    <w:rsid w:val="00576A4D"/>
    <w:rsid w:val="00590296"/>
    <w:rsid w:val="005913F6"/>
    <w:rsid w:val="005A25A3"/>
    <w:rsid w:val="005A665D"/>
    <w:rsid w:val="005A7869"/>
    <w:rsid w:val="005B23E6"/>
    <w:rsid w:val="005B3493"/>
    <w:rsid w:val="005B50D1"/>
    <w:rsid w:val="005C41A1"/>
    <w:rsid w:val="005E4D13"/>
    <w:rsid w:val="005F1CE9"/>
    <w:rsid w:val="005F7D98"/>
    <w:rsid w:val="0060228D"/>
    <w:rsid w:val="006132A9"/>
    <w:rsid w:val="00614AFF"/>
    <w:rsid w:val="00621FBD"/>
    <w:rsid w:val="00624EDB"/>
    <w:rsid w:val="00646FE2"/>
    <w:rsid w:val="006719BA"/>
    <w:rsid w:val="00673825"/>
    <w:rsid w:val="00697681"/>
    <w:rsid w:val="006A106D"/>
    <w:rsid w:val="006C2948"/>
    <w:rsid w:val="006D4D09"/>
    <w:rsid w:val="006E1146"/>
    <w:rsid w:val="006E21A9"/>
    <w:rsid w:val="006F1AAD"/>
    <w:rsid w:val="006F7432"/>
    <w:rsid w:val="00706160"/>
    <w:rsid w:val="00740A6A"/>
    <w:rsid w:val="007431E6"/>
    <w:rsid w:val="00744013"/>
    <w:rsid w:val="00745B28"/>
    <w:rsid w:val="00747CCE"/>
    <w:rsid w:val="007552F7"/>
    <w:rsid w:val="007657A7"/>
    <w:rsid w:val="00765D34"/>
    <w:rsid w:val="007669A6"/>
    <w:rsid w:val="00771878"/>
    <w:rsid w:val="0077416F"/>
    <w:rsid w:val="00791D97"/>
    <w:rsid w:val="00794EBD"/>
    <w:rsid w:val="007A05EF"/>
    <w:rsid w:val="007A5CDB"/>
    <w:rsid w:val="007A7D32"/>
    <w:rsid w:val="007C0F6E"/>
    <w:rsid w:val="007C1F8D"/>
    <w:rsid w:val="007D1289"/>
    <w:rsid w:val="007D33CF"/>
    <w:rsid w:val="007E22A4"/>
    <w:rsid w:val="007E412C"/>
    <w:rsid w:val="00806207"/>
    <w:rsid w:val="00823359"/>
    <w:rsid w:val="008362FD"/>
    <w:rsid w:val="00840E76"/>
    <w:rsid w:val="008432E1"/>
    <w:rsid w:val="00846812"/>
    <w:rsid w:val="008608F3"/>
    <w:rsid w:val="008727F5"/>
    <w:rsid w:val="008872B1"/>
    <w:rsid w:val="00887D20"/>
    <w:rsid w:val="008C5E73"/>
    <w:rsid w:val="008D2412"/>
    <w:rsid w:val="008D38EC"/>
    <w:rsid w:val="008E6445"/>
    <w:rsid w:val="008E6DA5"/>
    <w:rsid w:val="00900974"/>
    <w:rsid w:val="00903A54"/>
    <w:rsid w:val="00906712"/>
    <w:rsid w:val="00910AFD"/>
    <w:rsid w:val="00914934"/>
    <w:rsid w:val="00922C06"/>
    <w:rsid w:val="009239E5"/>
    <w:rsid w:val="00943511"/>
    <w:rsid w:val="00943592"/>
    <w:rsid w:val="009521AA"/>
    <w:rsid w:val="009561B6"/>
    <w:rsid w:val="00956C67"/>
    <w:rsid w:val="009673F1"/>
    <w:rsid w:val="00970F0B"/>
    <w:rsid w:val="00973B54"/>
    <w:rsid w:val="009757A9"/>
    <w:rsid w:val="00983875"/>
    <w:rsid w:val="009B42B2"/>
    <w:rsid w:val="009C1D9D"/>
    <w:rsid w:val="009C6975"/>
    <w:rsid w:val="009D793C"/>
    <w:rsid w:val="009F17FC"/>
    <w:rsid w:val="00A21997"/>
    <w:rsid w:val="00A26522"/>
    <w:rsid w:val="00A27579"/>
    <w:rsid w:val="00A4507E"/>
    <w:rsid w:val="00A46C27"/>
    <w:rsid w:val="00A62FF0"/>
    <w:rsid w:val="00A63B4F"/>
    <w:rsid w:val="00A646AC"/>
    <w:rsid w:val="00A73044"/>
    <w:rsid w:val="00A951C3"/>
    <w:rsid w:val="00A9675F"/>
    <w:rsid w:val="00A96A22"/>
    <w:rsid w:val="00AA7364"/>
    <w:rsid w:val="00AC1299"/>
    <w:rsid w:val="00AE10A3"/>
    <w:rsid w:val="00AF261A"/>
    <w:rsid w:val="00AF4170"/>
    <w:rsid w:val="00B01863"/>
    <w:rsid w:val="00B1132F"/>
    <w:rsid w:val="00B11D9D"/>
    <w:rsid w:val="00B16E06"/>
    <w:rsid w:val="00B36E61"/>
    <w:rsid w:val="00B43262"/>
    <w:rsid w:val="00B44DDA"/>
    <w:rsid w:val="00B54A34"/>
    <w:rsid w:val="00B62619"/>
    <w:rsid w:val="00B62B41"/>
    <w:rsid w:val="00B65E3B"/>
    <w:rsid w:val="00B66210"/>
    <w:rsid w:val="00B7466F"/>
    <w:rsid w:val="00B748E9"/>
    <w:rsid w:val="00B74D98"/>
    <w:rsid w:val="00B8371A"/>
    <w:rsid w:val="00B86FA0"/>
    <w:rsid w:val="00B9164F"/>
    <w:rsid w:val="00B962DC"/>
    <w:rsid w:val="00BA4F8B"/>
    <w:rsid w:val="00BC63B6"/>
    <w:rsid w:val="00BD296D"/>
    <w:rsid w:val="00BE0336"/>
    <w:rsid w:val="00BE0D40"/>
    <w:rsid w:val="00BF5B8C"/>
    <w:rsid w:val="00C10FFE"/>
    <w:rsid w:val="00C20B1C"/>
    <w:rsid w:val="00C47A35"/>
    <w:rsid w:val="00C50008"/>
    <w:rsid w:val="00C54E4A"/>
    <w:rsid w:val="00C6507E"/>
    <w:rsid w:val="00C6656F"/>
    <w:rsid w:val="00C67446"/>
    <w:rsid w:val="00C875F4"/>
    <w:rsid w:val="00CA2134"/>
    <w:rsid w:val="00CA44F9"/>
    <w:rsid w:val="00CA68B8"/>
    <w:rsid w:val="00CC3716"/>
    <w:rsid w:val="00CC696A"/>
    <w:rsid w:val="00CD74A8"/>
    <w:rsid w:val="00CE613E"/>
    <w:rsid w:val="00CF287F"/>
    <w:rsid w:val="00D06B53"/>
    <w:rsid w:val="00D17B53"/>
    <w:rsid w:val="00D22DEE"/>
    <w:rsid w:val="00D2455B"/>
    <w:rsid w:val="00D247C8"/>
    <w:rsid w:val="00D26DFD"/>
    <w:rsid w:val="00D32117"/>
    <w:rsid w:val="00D57FD7"/>
    <w:rsid w:val="00D60D51"/>
    <w:rsid w:val="00D740D4"/>
    <w:rsid w:val="00D943F7"/>
    <w:rsid w:val="00DC2AC8"/>
    <w:rsid w:val="00DD24FC"/>
    <w:rsid w:val="00DF6349"/>
    <w:rsid w:val="00E12337"/>
    <w:rsid w:val="00E31D0C"/>
    <w:rsid w:val="00E608BE"/>
    <w:rsid w:val="00E9210E"/>
    <w:rsid w:val="00E95232"/>
    <w:rsid w:val="00EA2563"/>
    <w:rsid w:val="00EA3CB0"/>
    <w:rsid w:val="00EA6A88"/>
    <w:rsid w:val="00EB7971"/>
    <w:rsid w:val="00EB7E93"/>
    <w:rsid w:val="00EC3081"/>
    <w:rsid w:val="00ED4EF4"/>
    <w:rsid w:val="00ED7F00"/>
    <w:rsid w:val="00EE32C4"/>
    <w:rsid w:val="00EE5976"/>
    <w:rsid w:val="00EE77D5"/>
    <w:rsid w:val="00F10336"/>
    <w:rsid w:val="00F60E2E"/>
    <w:rsid w:val="00F714B6"/>
    <w:rsid w:val="00F71A74"/>
    <w:rsid w:val="00F817FD"/>
    <w:rsid w:val="00FA1AC2"/>
    <w:rsid w:val="00FA294A"/>
    <w:rsid w:val="00FD14C7"/>
    <w:rsid w:val="00FD1FCF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AFEC"/>
  <w15:docId w15:val="{9DD9712B-4E31-45C8-89DB-82ABB88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5EF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05EF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7A05EF"/>
    <w:pPr>
      <w:ind w:left="720"/>
      <w:contextualSpacing/>
    </w:pPr>
  </w:style>
  <w:style w:type="character" w:styleId="Komentaronuoroda">
    <w:name w:val="annotation reference"/>
    <w:uiPriority w:val="99"/>
    <w:unhideWhenUsed/>
    <w:rsid w:val="004271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1EB"/>
    <w:pPr>
      <w:spacing w:line="240" w:lineRule="auto"/>
    </w:pPr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4271E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1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271E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1EB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271EB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10AFD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910AF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10AFD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910AFD"/>
    <w:rPr>
      <w:sz w:val="22"/>
      <w:szCs w:val="22"/>
      <w:lang w:eastAsia="en-US"/>
    </w:rPr>
  </w:style>
  <w:style w:type="character" w:styleId="Hipersaitas">
    <w:name w:val="Hyperlink"/>
    <w:aliases w:val="Alna"/>
    <w:uiPriority w:val="99"/>
    <w:rsid w:val="00E608B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2D6BD5"/>
    <w:rPr>
      <w:color w:val="954F72"/>
      <w:u w:val="single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rsid w:val="002B60C1"/>
    <w:rPr>
      <w:sz w:val="22"/>
      <w:szCs w:val="22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C371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55C63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80EAB6B0B0148B8147F5DF3E26120" ma:contentTypeVersion="17" ma:contentTypeDescription="Create a new document." ma:contentTypeScope="" ma:versionID="7bf6700faaa953c8352cf15d04d8d117">
  <xsd:schema xmlns:xsd="http://www.w3.org/2001/XMLSchema" xmlns:xs="http://www.w3.org/2001/XMLSchema" xmlns:p="http://schemas.microsoft.com/office/2006/metadata/properties" xmlns:ns2="fe5ee088-a97b-44b7-a200-557edc0d43ba" xmlns:ns3="89b70ef3-deda-4001-9d12-8bd5bcfdc63c" targetNamespace="http://schemas.microsoft.com/office/2006/metadata/properties" ma:root="true" ma:fieldsID="443d75482428a5bfcee6a5d68f4c2d1b" ns2:_="" ns3:_="">
    <xsd:import namespace="fe5ee088-a97b-44b7-a200-557edc0d43ba"/>
    <xsd:import namespace="89b70ef3-deda-4001-9d12-8bd5bcfdc6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ee088-a97b-44b7-a200-557edc0d4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6d275b-8706-4fb6-bb60-91f7595b6c18}" ma:internalName="TaxCatchAll" ma:showField="CatchAllData" ma:web="fe5ee088-a97b-44b7-a200-557edc0d4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70ef3-deda-4001-9d12-8bd5bcfdc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2d8021-193d-422a-ac29-d8d02e8c6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ee088-a97b-44b7-a200-557edc0d43ba" xsi:nil="true"/>
    <lcf76f155ced4ddcb4097134ff3c332f xmlns="89b70ef3-deda-4001-9d12-8bd5bcfdc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B51E1-8026-4187-8D01-55DD2E226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4DF96-822B-4C15-8672-A479F94D8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ee088-a97b-44b7-a200-557edc0d43ba"/>
    <ds:schemaRef ds:uri="89b70ef3-deda-4001-9d12-8bd5bcfdc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E1F5C-1E83-4809-BF42-32EAE3D94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7E5FD-7E7E-416E-82F3-8CD313EB6AAD}">
  <ds:schemaRefs>
    <ds:schemaRef ds:uri="http://schemas.microsoft.com/office/2006/metadata/properties"/>
    <ds:schemaRef ds:uri="http://schemas.microsoft.com/office/infopath/2007/PartnerControls"/>
    <ds:schemaRef ds:uri="fe5ee088-a97b-44b7-a200-557edc0d43ba"/>
    <ds:schemaRef ds:uri="89b70ef3-deda-4001-9d12-8bd5bcfdc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4020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Links>
    <vt:vector size="18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https://www.symantec.com/content/en/us/enterprise/fact_sheets/b-endpoint-protection-DS-21320633.pdf</vt:lpwstr>
      </vt:variant>
      <vt:variant>
        <vt:lpwstr/>
      </vt:variant>
      <vt:variant>
        <vt:i4>1179665</vt:i4>
      </vt:variant>
      <vt:variant>
        <vt:i4>3</vt:i4>
      </vt:variant>
      <vt:variant>
        <vt:i4>0</vt:i4>
      </vt:variant>
      <vt:variant>
        <vt:i4>5</vt:i4>
      </vt:variant>
      <vt:variant>
        <vt:lpwstr>https://www.symantec.com/content/dam/symantec/docs/data-sheets/endpoint-protection-14-en.pdf</vt:lpwstr>
      </vt:variant>
      <vt:variant>
        <vt:lpwstr/>
      </vt:variant>
      <vt:variant>
        <vt:i4>2162789</vt:i4>
      </vt:variant>
      <vt:variant>
        <vt:i4>0</vt:i4>
      </vt:variant>
      <vt:variant>
        <vt:i4>0</vt:i4>
      </vt:variant>
      <vt:variant>
        <vt:i4>5</vt:i4>
      </vt:variant>
      <vt:variant>
        <vt:lpwstr>https://support.symantec.com/us/en/article.howto81080.html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Cibulskienė</dc:creator>
  <cp:lastModifiedBy>Ligita Cibulskienė</cp:lastModifiedBy>
  <cp:revision>4</cp:revision>
  <dcterms:created xsi:type="dcterms:W3CDTF">2025-03-31T09:49:00Z</dcterms:created>
  <dcterms:modified xsi:type="dcterms:W3CDTF">2025-04-01T06:32:00Z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0x01010039480EAB6B0B0148B8147F5DF3E26120</vt:lpwstr>
  </property>
  <property fmtid="{D5CDD505-2E9C-101B-9397-08002B2CF9AE}" pid="3" name="MediaServiceImageTags">
    <vt:lpwstr/>
  </property>
</Properties>
</file>