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17772C44" w:rsidR="00324E3D" w:rsidRPr="00152C1E" w:rsidRDefault="00CB4CA5" w:rsidP="00324E3D">
      <w:pPr>
        <w:pStyle w:val="Subtitle"/>
        <w:spacing w:before="60" w:after="60"/>
        <w:jc w:val="center"/>
        <w:rPr>
          <w:rFonts w:eastAsia="Calibri"/>
          <w:i/>
          <w:color w:val="2E74B5" w:themeColor="accent1" w:themeShade="BF"/>
          <w:u w:val="none"/>
          <w:lang w:val="lt-LT"/>
        </w:rPr>
      </w:pPr>
      <w:r>
        <w:rPr>
          <w:b/>
          <w:bCs/>
          <w:u w:val="none"/>
          <w:lang w:val="lt-LT"/>
        </w:rPr>
        <w:t xml:space="preserve">Antrinių konteinerių nuoma ir atliekų išvežimo </w:t>
      </w:r>
      <w:r w:rsidR="0083334D">
        <w:rPr>
          <w:b/>
          <w:bCs/>
          <w:u w:val="none"/>
          <w:lang w:val="lt-LT"/>
        </w:rPr>
        <w:t>paslauga, Š</w:t>
      </w:r>
      <w:r w:rsidR="003B4DE8">
        <w:rPr>
          <w:b/>
          <w:bCs/>
          <w:u w:val="none"/>
          <w:lang w:val="lt-LT"/>
        </w:rPr>
        <w:t>ĮAC</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525F6618"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4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2410"/>
        <w:gridCol w:w="3120"/>
      </w:tblGrid>
      <w:tr w:rsidR="003B4DE8" w:rsidRPr="00152C1E" w14:paraId="1EB58671" w14:textId="77777777" w:rsidTr="00440113">
        <w:trPr>
          <w:trHeight w:val="309"/>
          <w:jc w:val="center"/>
        </w:trPr>
        <w:tc>
          <w:tcPr>
            <w:tcW w:w="8642" w:type="dxa"/>
            <w:shd w:val="clear" w:color="auto" w:fill="D9E2F3" w:themeFill="accent5" w:themeFillTint="33"/>
            <w:vAlign w:val="center"/>
          </w:tcPr>
          <w:p w14:paraId="7E702AF9" w14:textId="48DE13FE" w:rsidR="003B4DE8" w:rsidRPr="00152C1E" w:rsidRDefault="003B4DE8" w:rsidP="00B52D89">
            <w:pPr>
              <w:spacing w:before="60" w:after="60"/>
              <w:jc w:val="center"/>
              <w:rPr>
                <w:b/>
                <w:iCs/>
              </w:rPr>
            </w:pPr>
            <w:r w:rsidRPr="00152C1E">
              <w:rPr>
                <w:b/>
                <w:iCs/>
              </w:rPr>
              <w:t>Pirkimo objektas</w:t>
            </w:r>
          </w:p>
        </w:tc>
        <w:tc>
          <w:tcPr>
            <w:tcW w:w="2410" w:type="dxa"/>
            <w:shd w:val="clear" w:color="auto" w:fill="D9E2F3" w:themeFill="accent5" w:themeFillTint="33"/>
            <w:vAlign w:val="center"/>
          </w:tcPr>
          <w:p w14:paraId="5C5AF201" w14:textId="438F120A" w:rsidR="003B4DE8" w:rsidRPr="00152C1E" w:rsidRDefault="003B4DE8" w:rsidP="00B52D89">
            <w:pPr>
              <w:spacing w:before="60" w:after="60"/>
              <w:jc w:val="center"/>
              <w:rPr>
                <w:b/>
              </w:rPr>
            </w:pPr>
            <w:r w:rsidRPr="00152C1E">
              <w:rPr>
                <w:b/>
              </w:rPr>
              <w:t>Mato v</w:t>
            </w:r>
            <w:r>
              <w:rPr>
                <w:b/>
              </w:rPr>
              <w:t>nt.</w:t>
            </w:r>
          </w:p>
        </w:tc>
        <w:tc>
          <w:tcPr>
            <w:tcW w:w="3120" w:type="dxa"/>
            <w:shd w:val="clear" w:color="auto" w:fill="D9E2F3" w:themeFill="accent5" w:themeFillTint="33"/>
          </w:tcPr>
          <w:p w14:paraId="5A202843" w14:textId="0BBB5606" w:rsidR="003B4DE8" w:rsidRPr="00A72C2F" w:rsidRDefault="0083334D" w:rsidP="00A72C2F">
            <w:pPr>
              <w:spacing w:before="60" w:after="60"/>
              <w:jc w:val="center"/>
              <w:rPr>
                <w:b/>
              </w:rPr>
            </w:pPr>
            <w:r>
              <w:rPr>
                <w:b/>
              </w:rPr>
              <w:t>K</w:t>
            </w:r>
            <w:r w:rsidR="003B4DE8" w:rsidRPr="00152C1E">
              <w:rPr>
                <w:b/>
              </w:rPr>
              <w:t>aina, EUR</w:t>
            </w:r>
            <w:r w:rsidR="003B4DE8" w:rsidRPr="00152C1E">
              <w:rPr>
                <w:b/>
                <w:color w:val="FF0000"/>
              </w:rPr>
              <w:t xml:space="preserve"> </w:t>
            </w:r>
            <w:r>
              <w:rPr>
                <w:b/>
                <w:color w:val="FF0000"/>
              </w:rPr>
              <w:t>be</w:t>
            </w:r>
            <w:r w:rsidR="003B4DE8" w:rsidRPr="00152C1E">
              <w:rPr>
                <w:b/>
              </w:rPr>
              <w:t xml:space="preserve"> PVM</w:t>
            </w:r>
          </w:p>
        </w:tc>
      </w:tr>
      <w:tr w:rsidR="003B4DE8" w:rsidRPr="00152C1E" w14:paraId="262616F4" w14:textId="77777777" w:rsidTr="00ED7A39">
        <w:trPr>
          <w:trHeight w:val="306"/>
          <w:jc w:val="center"/>
        </w:trPr>
        <w:tc>
          <w:tcPr>
            <w:tcW w:w="8642" w:type="dxa"/>
            <w:vAlign w:val="center"/>
          </w:tcPr>
          <w:p w14:paraId="776D654E" w14:textId="710CFBE5" w:rsidR="003B4DE8" w:rsidRPr="00152C1E" w:rsidRDefault="003B4DE8" w:rsidP="00D03B59">
            <w:pPr>
              <w:spacing w:before="60" w:after="60"/>
              <w:jc w:val="center"/>
              <w:rPr>
                <w:i/>
                <w:iCs/>
              </w:rPr>
            </w:pPr>
            <w:r>
              <w:rPr>
                <w:i/>
                <w:iCs/>
              </w:rPr>
              <w:lastRenderedPageBreak/>
              <w:t>1</w:t>
            </w:r>
          </w:p>
        </w:tc>
        <w:tc>
          <w:tcPr>
            <w:tcW w:w="2410" w:type="dxa"/>
            <w:vAlign w:val="center"/>
          </w:tcPr>
          <w:p w14:paraId="7E10FB15" w14:textId="1C9524A9" w:rsidR="003B4DE8" w:rsidRPr="00152C1E" w:rsidRDefault="003B4DE8" w:rsidP="00D03B59">
            <w:pPr>
              <w:spacing w:before="60" w:after="60"/>
              <w:jc w:val="center"/>
              <w:rPr>
                <w:i/>
              </w:rPr>
            </w:pPr>
            <w:r>
              <w:rPr>
                <w:i/>
              </w:rPr>
              <w:t>2</w:t>
            </w:r>
          </w:p>
        </w:tc>
        <w:tc>
          <w:tcPr>
            <w:tcW w:w="3120" w:type="dxa"/>
            <w:vAlign w:val="center"/>
          </w:tcPr>
          <w:p w14:paraId="7F70D19B" w14:textId="2CDFDBDA" w:rsidR="003B4DE8" w:rsidRPr="00152C1E" w:rsidRDefault="0083334D" w:rsidP="00D03B59">
            <w:pPr>
              <w:spacing w:before="60" w:after="60"/>
              <w:jc w:val="center"/>
              <w:rPr>
                <w:i/>
              </w:rPr>
            </w:pPr>
            <w:r>
              <w:rPr>
                <w:i/>
              </w:rPr>
              <w:t>3</w:t>
            </w:r>
          </w:p>
        </w:tc>
      </w:tr>
      <w:tr w:rsidR="0083334D" w:rsidRPr="00152C1E" w14:paraId="285B1B8C" w14:textId="77777777" w:rsidTr="007F06B0">
        <w:trPr>
          <w:trHeight w:val="306"/>
          <w:jc w:val="center"/>
        </w:trPr>
        <w:tc>
          <w:tcPr>
            <w:tcW w:w="14172" w:type="dxa"/>
            <w:gridSpan w:val="3"/>
            <w:vAlign w:val="center"/>
          </w:tcPr>
          <w:p w14:paraId="18419E1A" w14:textId="0175F365" w:rsidR="0083334D" w:rsidRPr="0083334D" w:rsidRDefault="0083334D" w:rsidP="00D03B59">
            <w:pPr>
              <w:spacing w:before="60" w:after="60"/>
              <w:jc w:val="center"/>
              <w:rPr>
                <w:b/>
              </w:rPr>
            </w:pPr>
            <w:r w:rsidRPr="0083334D">
              <w:rPr>
                <w:b/>
              </w:rPr>
              <w:t>Dariaus ir Girėno g. 144, Radviliškis</w:t>
            </w:r>
          </w:p>
        </w:tc>
      </w:tr>
      <w:tr w:rsidR="0083334D" w:rsidRPr="00152C1E" w14:paraId="4A1A792A" w14:textId="77777777" w:rsidTr="0083334D">
        <w:trPr>
          <w:trHeight w:val="454"/>
          <w:jc w:val="center"/>
        </w:trPr>
        <w:tc>
          <w:tcPr>
            <w:tcW w:w="8642" w:type="dxa"/>
            <w:vAlign w:val="center"/>
          </w:tcPr>
          <w:p w14:paraId="118F1470" w14:textId="23D09116" w:rsidR="0083334D" w:rsidRDefault="0083334D" w:rsidP="003B4DE8">
            <w:pPr>
              <w:pStyle w:val="Subtitle"/>
              <w:spacing w:before="60" w:after="60"/>
              <w:rPr>
                <w:rFonts w:eastAsia="Calibri"/>
                <w:color w:val="000000" w:themeColor="text1"/>
                <w:u w:val="none"/>
                <w:lang w:val="lt-LT"/>
              </w:rPr>
            </w:pPr>
            <w:r>
              <w:rPr>
                <w:rFonts w:eastAsia="Calibri"/>
                <w:color w:val="000000" w:themeColor="text1"/>
                <w:u w:val="none"/>
                <w:lang w:val="lt-LT"/>
              </w:rPr>
              <w:t>Konteinerio nuoma</w:t>
            </w:r>
          </w:p>
        </w:tc>
        <w:tc>
          <w:tcPr>
            <w:tcW w:w="2410" w:type="dxa"/>
            <w:vAlign w:val="center"/>
          </w:tcPr>
          <w:p w14:paraId="390FBF44" w14:textId="135ACA5E" w:rsidR="0083334D" w:rsidRDefault="0083334D" w:rsidP="005855E0">
            <w:pPr>
              <w:spacing w:before="60" w:after="60"/>
              <w:ind w:firstLine="41"/>
              <w:jc w:val="center"/>
              <w:rPr>
                <w:color w:val="000000"/>
              </w:rPr>
            </w:pPr>
            <w:r>
              <w:rPr>
                <w:color w:val="000000"/>
              </w:rPr>
              <w:t>1 vnt.</w:t>
            </w:r>
          </w:p>
        </w:tc>
        <w:tc>
          <w:tcPr>
            <w:tcW w:w="3120" w:type="dxa"/>
          </w:tcPr>
          <w:p w14:paraId="2C295E7C" w14:textId="77777777" w:rsidR="0083334D" w:rsidRPr="00152C1E" w:rsidRDefault="0083334D" w:rsidP="005855E0">
            <w:pPr>
              <w:spacing w:before="60" w:after="60"/>
              <w:ind w:firstLine="41"/>
            </w:pPr>
          </w:p>
        </w:tc>
      </w:tr>
      <w:tr w:rsidR="003B4DE8" w:rsidRPr="00152C1E" w14:paraId="44D81E56" w14:textId="77777777" w:rsidTr="0083334D">
        <w:trPr>
          <w:trHeight w:val="417"/>
          <w:jc w:val="center"/>
        </w:trPr>
        <w:tc>
          <w:tcPr>
            <w:tcW w:w="8642" w:type="dxa"/>
            <w:vAlign w:val="center"/>
          </w:tcPr>
          <w:p w14:paraId="4BEE9FA2" w14:textId="420E82CE" w:rsidR="003B4DE8" w:rsidRPr="00CB4CA5" w:rsidRDefault="0083334D" w:rsidP="003B4DE8">
            <w:pPr>
              <w:pStyle w:val="Subtitle"/>
              <w:spacing w:before="60" w:after="60"/>
              <w:rPr>
                <w:rFonts w:eastAsia="Calibri"/>
                <w:color w:val="000000" w:themeColor="text1"/>
                <w:u w:val="none"/>
                <w:lang w:val="lt-LT"/>
              </w:rPr>
            </w:pPr>
            <w:r>
              <w:rPr>
                <w:rFonts w:eastAsia="Calibri"/>
                <w:color w:val="000000" w:themeColor="text1"/>
                <w:u w:val="none"/>
                <w:lang w:val="lt-LT"/>
              </w:rPr>
              <w:t>Mišrios pakuotės, 15 01 06</w:t>
            </w:r>
            <w:r w:rsidR="00CB4CA5" w:rsidRPr="00CB4CA5">
              <w:rPr>
                <w:rFonts w:eastAsia="Calibri"/>
                <w:color w:val="000000" w:themeColor="text1"/>
                <w:u w:val="none"/>
                <w:lang w:val="lt-LT"/>
              </w:rPr>
              <w:t>, 1,1m³</w:t>
            </w:r>
          </w:p>
        </w:tc>
        <w:tc>
          <w:tcPr>
            <w:tcW w:w="2410" w:type="dxa"/>
            <w:vAlign w:val="center"/>
          </w:tcPr>
          <w:p w14:paraId="66FEF981" w14:textId="1897116F" w:rsidR="003B4DE8" w:rsidRPr="00B52D89" w:rsidRDefault="00CB4CA5" w:rsidP="005855E0">
            <w:pPr>
              <w:spacing w:before="60" w:after="60"/>
              <w:ind w:firstLine="41"/>
              <w:jc w:val="center"/>
            </w:pPr>
            <w:r>
              <w:rPr>
                <w:color w:val="000000"/>
              </w:rPr>
              <w:t>1 vnt./</w:t>
            </w:r>
            <w:r w:rsidR="003B4DE8">
              <w:rPr>
                <w:color w:val="000000"/>
              </w:rPr>
              <w:t>1 kartas</w:t>
            </w:r>
          </w:p>
        </w:tc>
        <w:tc>
          <w:tcPr>
            <w:tcW w:w="3120" w:type="dxa"/>
          </w:tcPr>
          <w:p w14:paraId="27641075" w14:textId="43570156" w:rsidR="003B4DE8" w:rsidRPr="00152C1E" w:rsidRDefault="003B4DE8" w:rsidP="005855E0">
            <w:pPr>
              <w:spacing w:before="60" w:after="60"/>
              <w:ind w:firstLine="41"/>
            </w:pPr>
            <w:bookmarkStart w:id="2" w:name="_GoBack"/>
            <w:bookmarkEnd w:id="2"/>
          </w:p>
        </w:tc>
      </w:tr>
      <w:tr w:rsidR="003B4DE8" w:rsidRPr="00152C1E" w14:paraId="7FFC0437" w14:textId="77777777" w:rsidTr="0083334D">
        <w:trPr>
          <w:trHeight w:val="410"/>
          <w:jc w:val="center"/>
        </w:trPr>
        <w:tc>
          <w:tcPr>
            <w:tcW w:w="8642" w:type="dxa"/>
            <w:vAlign w:val="center"/>
          </w:tcPr>
          <w:p w14:paraId="7D21C5B3" w14:textId="5EFC1F3A" w:rsidR="003B4DE8" w:rsidRPr="00CB4CA5" w:rsidRDefault="0083334D" w:rsidP="003B4DE8">
            <w:pPr>
              <w:pStyle w:val="Subtitle"/>
              <w:spacing w:before="60" w:after="60"/>
              <w:rPr>
                <w:bCs/>
                <w:color w:val="000000" w:themeColor="text1"/>
                <w:u w:val="none"/>
                <w:lang w:val="lt-LT"/>
              </w:rPr>
            </w:pPr>
            <w:r>
              <w:rPr>
                <w:bCs/>
                <w:color w:val="000000" w:themeColor="text1"/>
                <w:u w:val="none"/>
                <w:lang w:val="lt-LT"/>
              </w:rPr>
              <w:t>Stiklo pakuotės, 15 01 0,7 1,1</w:t>
            </w:r>
            <w:r w:rsidR="00CB4CA5">
              <w:rPr>
                <w:bCs/>
                <w:color w:val="000000" w:themeColor="text1"/>
                <w:u w:val="none"/>
                <w:lang w:val="lt-LT"/>
              </w:rPr>
              <w:t xml:space="preserve"> m</w:t>
            </w:r>
            <w:r w:rsidR="00CB4CA5" w:rsidRPr="00CB4CA5">
              <w:rPr>
                <w:rFonts w:eastAsia="Calibri"/>
                <w:color w:val="000000" w:themeColor="text1"/>
                <w:u w:val="none"/>
                <w:lang w:val="lt-LT"/>
              </w:rPr>
              <w:t>³</w:t>
            </w:r>
          </w:p>
        </w:tc>
        <w:tc>
          <w:tcPr>
            <w:tcW w:w="2410" w:type="dxa"/>
            <w:vAlign w:val="center"/>
          </w:tcPr>
          <w:p w14:paraId="13AA57CB" w14:textId="43F9CC41" w:rsidR="003B4DE8" w:rsidRDefault="00CB4CA5" w:rsidP="005855E0">
            <w:pPr>
              <w:spacing w:before="60" w:after="60"/>
              <w:ind w:firstLine="41"/>
              <w:jc w:val="center"/>
              <w:rPr>
                <w:color w:val="000000"/>
              </w:rPr>
            </w:pPr>
            <w:r>
              <w:rPr>
                <w:color w:val="000000"/>
              </w:rPr>
              <w:t>1 vnt./1 kartas</w:t>
            </w:r>
          </w:p>
        </w:tc>
        <w:tc>
          <w:tcPr>
            <w:tcW w:w="3120" w:type="dxa"/>
          </w:tcPr>
          <w:p w14:paraId="08F6D2A7" w14:textId="77777777" w:rsidR="003B4DE8" w:rsidRPr="00152C1E" w:rsidRDefault="003B4DE8" w:rsidP="005855E0">
            <w:pPr>
              <w:spacing w:before="60" w:after="60"/>
              <w:ind w:firstLine="41"/>
            </w:pPr>
          </w:p>
        </w:tc>
      </w:tr>
      <w:tr w:rsidR="0083334D" w:rsidRPr="00152C1E" w14:paraId="63C92BB2" w14:textId="77777777" w:rsidTr="0083334D">
        <w:trPr>
          <w:trHeight w:val="415"/>
          <w:jc w:val="center"/>
        </w:trPr>
        <w:tc>
          <w:tcPr>
            <w:tcW w:w="8642" w:type="dxa"/>
            <w:vAlign w:val="center"/>
          </w:tcPr>
          <w:p w14:paraId="4B849D55" w14:textId="7887CA11" w:rsidR="0083334D" w:rsidRDefault="0083334D" w:rsidP="003B4DE8">
            <w:pPr>
              <w:pStyle w:val="Subtitle"/>
              <w:spacing w:before="60" w:after="60"/>
              <w:rPr>
                <w:bCs/>
                <w:color w:val="000000" w:themeColor="text1"/>
                <w:u w:val="none"/>
                <w:lang w:val="lt-LT"/>
              </w:rPr>
            </w:pPr>
            <w:r>
              <w:rPr>
                <w:bCs/>
                <w:color w:val="000000" w:themeColor="text1"/>
                <w:u w:val="none"/>
                <w:lang w:val="lt-LT"/>
              </w:rPr>
              <w:t>Atliekų tvarkymo mokestis nustačius didesnį nei 10 % netinkamų atliekų kiekį už m³</w:t>
            </w:r>
          </w:p>
        </w:tc>
        <w:tc>
          <w:tcPr>
            <w:tcW w:w="2410" w:type="dxa"/>
            <w:vAlign w:val="center"/>
          </w:tcPr>
          <w:p w14:paraId="3994B35A" w14:textId="5C60D613" w:rsidR="0083334D" w:rsidRDefault="0083334D" w:rsidP="005855E0">
            <w:pPr>
              <w:spacing w:before="60" w:after="60"/>
              <w:ind w:firstLine="41"/>
              <w:jc w:val="center"/>
              <w:rPr>
                <w:color w:val="000000"/>
              </w:rPr>
            </w:pPr>
            <w:r>
              <w:rPr>
                <w:color w:val="000000"/>
              </w:rPr>
              <w:t>1 vnt.</w:t>
            </w:r>
          </w:p>
        </w:tc>
        <w:tc>
          <w:tcPr>
            <w:tcW w:w="3120" w:type="dxa"/>
          </w:tcPr>
          <w:p w14:paraId="18B145A3" w14:textId="77777777" w:rsidR="0083334D" w:rsidRPr="00152C1E" w:rsidRDefault="0083334D" w:rsidP="005855E0">
            <w:pPr>
              <w:spacing w:before="60" w:after="60"/>
              <w:ind w:firstLine="41"/>
            </w:pPr>
          </w:p>
        </w:tc>
      </w:tr>
      <w:tr w:rsidR="0083334D" w:rsidRPr="00152C1E" w14:paraId="34F8C2CF" w14:textId="77777777" w:rsidTr="002F3835">
        <w:trPr>
          <w:trHeight w:val="600"/>
          <w:jc w:val="center"/>
        </w:trPr>
        <w:tc>
          <w:tcPr>
            <w:tcW w:w="14172" w:type="dxa"/>
            <w:gridSpan w:val="3"/>
            <w:vAlign w:val="center"/>
          </w:tcPr>
          <w:p w14:paraId="307FE173" w14:textId="0B710A2E" w:rsidR="0083334D" w:rsidRPr="0083334D" w:rsidRDefault="0083334D" w:rsidP="0083334D">
            <w:pPr>
              <w:spacing w:before="60" w:after="60"/>
              <w:ind w:firstLine="41"/>
              <w:jc w:val="center"/>
              <w:rPr>
                <w:b/>
              </w:rPr>
            </w:pPr>
            <w:r w:rsidRPr="0083334D">
              <w:rPr>
                <w:b/>
              </w:rPr>
              <w:t>Arsenalo g. 7, Linkaičių km., Radviliškio r.</w:t>
            </w:r>
          </w:p>
        </w:tc>
      </w:tr>
      <w:tr w:rsidR="0083334D" w:rsidRPr="00152C1E" w14:paraId="3DB8FFCC" w14:textId="77777777" w:rsidTr="0083334D">
        <w:trPr>
          <w:trHeight w:val="44"/>
          <w:jc w:val="center"/>
        </w:trPr>
        <w:tc>
          <w:tcPr>
            <w:tcW w:w="8642" w:type="dxa"/>
            <w:vAlign w:val="center"/>
          </w:tcPr>
          <w:p w14:paraId="786450E7" w14:textId="0292BF01" w:rsidR="0083334D" w:rsidRDefault="0083334D" w:rsidP="003B4DE8">
            <w:pPr>
              <w:pStyle w:val="Subtitle"/>
              <w:spacing w:before="60" w:after="60"/>
              <w:rPr>
                <w:bCs/>
                <w:color w:val="000000" w:themeColor="text1"/>
                <w:u w:val="none"/>
                <w:lang w:val="lt-LT"/>
              </w:rPr>
            </w:pPr>
            <w:r>
              <w:rPr>
                <w:rFonts w:eastAsia="Calibri"/>
                <w:color w:val="000000" w:themeColor="text1"/>
                <w:u w:val="none"/>
                <w:lang w:val="lt-LT"/>
              </w:rPr>
              <w:t>Konteinerio nuoma</w:t>
            </w:r>
          </w:p>
        </w:tc>
        <w:tc>
          <w:tcPr>
            <w:tcW w:w="2410" w:type="dxa"/>
            <w:vAlign w:val="center"/>
          </w:tcPr>
          <w:p w14:paraId="3B80B3E4" w14:textId="1519446A" w:rsidR="0083334D" w:rsidRDefault="0083334D" w:rsidP="005855E0">
            <w:pPr>
              <w:spacing w:before="60" w:after="60"/>
              <w:ind w:firstLine="41"/>
              <w:jc w:val="center"/>
              <w:rPr>
                <w:color w:val="000000"/>
              </w:rPr>
            </w:pPr>
            <w:r>
              <w:rPr>
                <w:color w:val="000000"/>
              </w:rPr>
              <w:t>1 vnt.</w:t>
            </w:r>
          </w:p>
        </w:tc>
        <w:tc>
          <w:tcPr>
            <w:tcW w:w="3120" w:type="dxa"/>
          </w:tcPr>
          <w:p w14:paraId="538202F9" w14:textId="77777777" w:rsidR="0083334D" w:rsidRPr="00152C1E" w:rsidRDefault="0083334D" w:rsidP="005855E0">
            <w:pPr>
              <w:spacing w:before="60" w:after="60"/>
              <w:ind w:firstLine="41"/>
            </w:pPr>
          </w:p>
        </w:tc>
      </w:tr>
      <w:tr w:rsidR="0083334D" w:rsidRPr="00152C1E" w14:paraId="37E91746" w14:textId="77777777" w:rsidTr="0083334D">
        <w:trPr>
          <w:trHeight w:val="44"/>
          <w:jc w:val="center"/>
        </w:trPr>
        <w:tc>
          <w:tcPr>
            <w:tcW w:w="8642" w:type="dxa"/>
            <w:vAlign w:val="center"/>
          </w:tcPr>
          <w:p w14:paraId="0A1EAC44" w14:textId="68B6AA68" w:rsidR="0083334D" w:rsidRDefault="0083334D" w:rsidP="003B4DE8">
            <w:pPr>
              <w:pStyle w:val="Subtitle"/>
              <w:spacing w:before="60" w:after="60"/>
              <w:rPr>
                <w:rFonts w:eastAsia="Calibri"/>
                <w:color w:val="000000" w:themeColor="text1"/>
                <w:u w:val="none"/>
                <w:lang w:val="lt-LT"/>
              </w:rPr>
            </w:pPr>
            <w:r>
              <w:rPr>
                <w:rFonts w:eastAsia="Calibri"/>
                <w:color w:val="000000" w:themeColor="text1"/>
                <w:u w:val="none"/>
                <w:lang w:val="lt-LT"/>
              </w:rPr>
              <w:t>Mišrios pakuotės, 15 01 06</w:t>
            </w:r>
            <w:r w:rsidRPr="00CB4CA5">
              <w:rPr>
                <w:rFonts w:eastAsia="Calibri"/>
                <w:color w:val="000000" w:themeColor="text1"/>
                <w:u w:val="none"/>
                <w:lang w:val="lt-LT"/>
              </w:rPr>
              <w:t>, 1,1m³</w:t>
            </w:r>
          </w:p>
        </w:tc>
        <w:tc>
          <w:tcPr>
            <w:tcW w:w="2410" w:type="dxa"/>
            <w:vAlign w:val="center"/>
          </w:tcPr>
          <w:p w14:paraId="55C362BA" w14:textId="3FBB0609" w:rsidR="0083334D" w:rsidRDefault="0083334D" w:rsidP="005855E0">
            <w:pPr>
              <w:spacing w:before="60" w:after="60"/>
              <w:ind w:firstLine="41"/>
              <w:jc w:val="center"/>
              <w:rPr>
                <w:color w:val="000000"/>
              </w:rPr>
            </w:pPr>
            <w:r>
              <w:rPr>
                <w:color w:val="000000"/>
              </w:rPr>
              <w:t>1 vnt./1 kartas</w:t>
            </w:r>
          </w:p>
        </w:tc>
        <w:tc>
          <w:tcPr>
            <w:tcW w:w="3120" w:type="dxa"/>
          </w:tcPr>
          <w:p w14:paraId="43AF51FC" w14:textId="77777777" w:rsidR="0083334D" w:rsidRPr="00152C1E" w:rsidRDefault="0083334D" w:rsidP="005855E0">
            <w:pPr>
              <w:spacing w:before="60" w:after="60"/>
              <w:ind w:firstLine="41"/>
            </w:pPr>
          </w:p>
        </w:tc>
      </w:tr>
      <w:tr w:rsidR="0083334D" w:rsidRPr="00152C1E" w14:paraId="465C5380" w14:textId="77777777" w:rsidTr="0083334D">
        <w:trPr>
          <w:trHeight w:val="149"/>
          <w:jc w:val="center"/>
        </w:trPr>
        <w:tc>
          <w:tcPr>
            <w:tcW w:w="8642" w:type="dxa"/>
            <w:vAlign w:val="center"/>
          </w:tcPr>
          <w:p w14:paraId="554AC34D" w14:textId="09B3C4B5" w:rsidR="0083334D" w:rsidRDefault="0083334D" w:rsidP="003B4DE8">
            <w:pPr>
              <w:pStyle w:val="Subtitle"/>
              <w:spacing w:before="60" w:after="60"/>
              <w:rPr>
                <w:rFonts w:eastAsia="Calibri"/>
                <w:color w:val="000000" w:themeColor="text1"/>
                <w:u w:val="none"/>
                <w:lang w:val="lt-LT"/>
              </w:rPr>
            </w:pPr>
            <w:r>
              <w:rPr>
                <w:bCs/>
                <w:color w:val="000000" w:themeColor="text1"/>
                <w:u w:val="none"/>
                <w:lang w:val="lt-LT"/>
              </w:rPr>
              <w:t>Stiklo pakuotės, 15 01 0,7 1,1 m</w:t>
            </w:r>
            <w:r w:rsidRPr="00CB4CA5">
              <w:rPr>
                <w:rFonts w:eastAsia="Calibri"/>
                <w:color w:val="000000" w:themeColor="text1"/>
                <w:u w:val="none"/>
                <w:lang w:val="lt-LT"/>
              </w:rPr>
              <w:t>³</w:t>
            </w:r>
          </w:p>
        </w:tc>
        <w:tc>
          <w:tcPr>
            <w:tcW w:w="2410" w:type="dxa"/>
            <w:vAlign w:val="center"/>
          </w:tcPr>
          <w:p w14:paraId="303339EA" w14:textId="04E34C35" w:rsidR="0083334D" w:rsidRDefault="0083334D" w:rsidP="005855E0">
            <w:pPr>
              <w:spacing w:before="60" w:after="60"/>
              <w:ind w:firstLine="41"/>
              <w:jc w:val="center"/>
              <w:rPr>
                <w:color w:val="000000"/>
              </w:rPr>
            </w:pPr>
            <w:r>
              <w:rPr>
                <w:color w:val="000000"/>
              </w:rPr>
              <w:t>1 vnt./1 kartas</w:t>
            </w:r>
          </w:p>
        </w:tc>
        <w:tc>
          <w:tcPr>
            <w:tcW w:w="3120" w:type="dxa"/>
          </w:tcPr>
          <w:p w14:paraId="384190C9" w14:textId="77777777" w:rsidR="0083334D" w:rsidRPr="00152C1E" w:rsidRDefault="0083334D" w:rsidP="005855E0">
            <w:pPr>
              <w:spacing w:before="60" w:after="60"/>
              <w:ind w:firstLine="41"/>
            </w:pPr>
          </w:p>
        </w:tc>
      </w:tr>
      <w:tr w:rsidR="0083334D" w:rsidRPr="00152C1E" w14:paraId="06C4B482" w14:textId="77777777" w:rsidTr="0083334D">
        <w:trPr>
          <w:trHeight w:val="291"/>
          <w:jc w:val="center"/>
        </w:trPr>
        <w:tc>
          <w:tcPr>
            <w:tcW w:w="8642" w:type="dxa"/>
            <w:vAlign w:val="center"/>
          </w:tcPr>
          <w:p w14:paraId="26CB9C61" w14:textId="2A834B47" w:rsidR="0083334D" w:rsidRDefault="0083334D" w:rsidP="003B4DE8">
            <w:pPr>
              <w:pStyle w:val="Subtitle"/>
              <w:spacing w:before="60" w:after="60"/>
              <w:rPr>
                <w:bCs/>
                <w:color w:val="000000" w:themeColor="text1"/>
                <w:u w:val="none"/>
                <w:lang w:val="lt-LT"/>
              </w:rPr>
            </w:pPr>
            <w:r>
              <w:rPr>
                <w:bCs/>
                <w:color w:val="000000" w:themeColor="text1"/>
                <w:u w:val="none"/>
                <w:lang w:val="lt-LT"/>
              </w:rPr>
              <w:t>Atliekų tvarkymo mokestis nustačius didesnį nei 10 % netinkamų atliekų kiekį už m³</w:t>
            </w:r>
          </w:p>
        </w:tc>
        <w:tc>
          <w:tcPr>
            <w:tcW w:w="2410" w:type="dxa"/>
            <w:vAlign w:val="center"/>
          </w:tcPr>
          <w:p w14:paraId="6C3AFF6A" w14:textId="05624F02" w:rsidR="0083334D" w:rsidRDefault="0083334D" w:rsidP="005855E0">
            <w:pPr>
              <w:spacing w:before="60" w:after="60"/>
              <w:ind w:firstLine="41"/>
              <w:jc w:val="center"/>
              <w:rPr>
                <w:color w:val="000000"/>
              </w:rPr>
            </w:pPr>
            <w:r>
              <w:rPr>
                <w:color w:val="000000"/>
              </w:rPr>
              <w:t>1 vnt.</w:t>
            </w:r>
          </w:p>
        </w:tc>
        <w:tc>
          <w:tcPr>
            <w:tcW w:w="3120" w:type="dxa"/>
          </w:tcPr>
          <w:p w14:paraId="2E657EF8" w14:textId="77777777" w:rsidR="0083334D" w:rsidRPr="00152C1E" w:rsidRDefault="0083334D" w:rsidP="005855E0">
            <w:pPr>
              <w:spacing w:before="60" w:after="60"/>
              <w:ind w:firstLine="41"/>
            </w:pPr>
          </w:p>
        </w:tc>
      </w:tr>
      <w:tr w:rsidR="0083334D" w:rsidRPr="00152C1E" w14:paraId="3B7586B5" w14:textId="77777777" w:rsidTr="00956D35">
        <w:trPr>
          <w:trHeight w:val="600"/>
          <w:jc w:val="center"/>
        </w:trPr>
        <w:tc>
          <w:tcPr>
            <w:tcW w:w="11052" w:type="dxa"/>
            <w:gridSpan w:val="2"/>
            <w:vAlign w:val="center"/>
          </w:tcPr>
          <w:p w14:paraId="27795329" w14:textId="7C08B1D1" w:rsidR="0083334D" w:rsidRDefault="0083334D" w:rsidP="0083334D">
            <w:pPr>
              <w:spacing w:before="60" w:after="60"/>
              <w:ind w:firstLine="41"/>
              <w:jc w:val="right"/>
              <w:rPr>
                <w:color w:val="000000"/>
              </w:rPr>
            </w:pPr>
            <w:r>
              <w:rPr>
                <w:b/>
                <w:bCs/>
              </w:rPr>
              <w:t>Bendra palyginamoji paslaugų kaina, EUR be</w:t>
            </w:r>
            <w:r w:rsidRPr="00222975">
              <w:rPr>
                <w:b/>
                <w:bCs/>
              </w:rPr>
              <w:t xml:space="preserve"> PVM</w:t>
            </w:r>
          </w:p>
        </w:tc>
        <w:tc>
          <w:tcPr>
            <w:tcW w:w="3120" w:type="dxa"/>
          </w:tcPr>
          <w:p w14:paraId="74780570" w14:textId="77777777" w:rsidR="0083334D" w:rsidRPr="00152C1E" w:rsidRDefault="0083334D" w:rsidP="005855E0">
            <w:pPr>
              <w:spacing w:before="60" w:after="60"/>
              <w:ind w:firstLine="41"/>
            </w:pPr>
          </w:p>
        </w:tc>
      </w:tr>
      <w:tr w:rsidR="0083334D" w:rsidRPr="00152C1E" w14:paraId="1592954D" w14:textId="77777777" w:rsidTr="00956D35">
        <w:trPr>
          <w:trHeight w:val="600"/>
          <w:jc w:val="center"/>
        </w:trPr>
        <w:tc>
          <w:tcPr>
            <w:tcW w:w="11052" w:type="dxa"/>
            <w:gridSpan w:val="2"/>
            <w:vAlign w:val="center"/>
          </w:tcPr>
          <w:p w14:paraId="667DDCD1" w14:textId="27FE2D7A" w:rsidR="0083334D" w:rsidRDefault="0083334D" w:rsidP="0083334D">
            <w:pPr>
              <w:spacing w:before="60" w:after="60"/>
              <w:ind w:firstLine="41"/>
              <w:jc w:val="right"/>
              <w:rPr>
                <w:color w:val="000000"/>
              </w:rPr>
            </w:pPr>
            <w:r>
              <w:rPr>
                <w:b/>
                <w:bCs/>
              </w:rPr>
              <w:t>PVM suma, EUR</w:t>
            </w:r>
          </w:p>
        </w:tc>
        <w:tc>
          <w:tcPr>
            <w:tcW w:w="3120" w:type="dxa"/>
          </w:tcPr>
          <w:p w14:paraId="058D3763" w14:textId="77777777" w:rsidR="0083334D" w:rsidRPr="00152C1E" w:rsidRDefault="0083334D" w:rsidP="005855E0">
            <w:pPr>
              <w:spacing w:before="60" w:after="60"/>
              <w:ind w:firstLine="41"/>
            </w:pPr>
          </w:p>
        </w:tc>
      </w:tr>
      <w:tr w:rsidR="0036356C" w:rsidRPr="00152C1E" w14:paraId="6C5AE0C3" w14:textId="77777777" w:rsidTr="0036356C">
        <w:trPr>
          <w:jc w:val="center"/>
        </w:trPr>
        <w:tc>
          <w:tcPr>
            <w:tcW w:w="11052" w:type="dxa"/>
            <w:gridSpan w:val="2"/>
            <w:tcBorders>
              <w:bottom w:val="single" w:sz="4" w:space="0" w:color="auto"/>
            </w:tcBorders>
          </w:tcPr>
          <w:p w14:paraId="540A2ED4" w14:textId="0652C6F2" w:rsidR="0036356C" w:rsidRPr="00C76EBF" w:rsidRDefault="0083334D" w:rsidP="00C76EBF">
            <w:pPr>
              <w:spacing w:before="60" w:after="60"/>
              <w:ind w:firstLine="41"/>
              <w:jc w:val="right"/>
              <w:rPr>
                <w:b/>
                <w:i/>
                <w:color w:val="FF0000"/>
              </w:rPr>
            </w:pPr>
            <w:r>
              <w:rPr>
                <w:b/>
                <w:bCs/>
              </w:rPr>
              <w:t xml:space="preserve">Bendra palyginamoji paslaugų kaina, EUR </w:t>
            </w:r>
            <w:r w:rsidRPr="0083334D">
              <w:rPr>
                <w:b/>
                <w:bCs/>
                <w:color w:val="FF0000"/>
              </w:rPr>
              <w:t>su PVM</w:t>
            </w:r>
          </w:p>
        </w:tc>
        <w:tc>
          <w:tcPr>
            <w:tcW w:w="3120" w:type="dxa"/>
            <w:tcBorders>
              <w:bottom w:val="single" w:sz="4" w:space="0" w:color="auto"/>
            </w:tcBorders>
          </w:tcPr>
          <w:p w14:paraId="25B3589A" w14:textId="4C5702FF" w:rsidR="0036356C" w:rsidRPr="00152C1E" w:rsidRDefault="0036356C" w:rsidP="00C76EBF">
            <w:pPr>
              <w:spacing w:before="60" w:after="60"/>
              <w:ind w:firstLine="41"/>
            </w:pPr>
          </w:p>
        </w:tc>
      </w:tr>
    </w:tbl>
    <w:p w14:paraId="3BFBE128" w14:textId="77777777" w:rsidR="0071194E" w:rsidRDefault="0071194E" w:rsidP="008B527B">
      <w:pPr>
        <w:rPr>
          <w:b/>
        </w:rPr>
      </w:pPr>
    </w:p>
    <w:p w14:paraId="0E196272" w14:textId="37C9EE6E"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C76EBF">
        <w:rPr>
          <w:b/>
        </w:rPr>
        <w:t>be</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lastRenderedPageBreak/>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4B80849D" w:rsidR="003050BD" w:rsidRDefault="006F3BC1" w:rsidP="006F3BC1">
      <w:pPr>
        <w:spacing w:before="60" w:after="60"/>
        <w:ind w:firstLine="720"/>
      </w:pPr>
      <w:r>
        <w:t>6.</w:t>
      </w:r>
      <w:r w:rsidR="00071217">
        <w:t>1</w:t>
      </w:r>
      <w:r>
        <w:t xml:space="preserve">. </w:t>
      </w:r>
      <w:r w:rsidR="0036356C">
        <w:t>Paslaugos</w:t>
      </w:r>
      <w:r w:rsidR="00395FC6">
        <w:t xml:space="preserve"> </w:t>
      </w:r>
      <w:r w:rsidR="0036356C">
        <w:t>atlikimo adresas</w:t>
      </w:r>
      <w:r w:rsidR="00D03B59">
        <w:t xml:space="preserve">: </w:t>
      </w:r>
      <w:r w:rsidR="0083334D" w:rsidRPr="0083334D">
        <w:t>Dariaus ir Girėno g. 144, Radviliškis</w:t>
      </w:r>
      <w:r w:rsidR="0083334D" w:rsidRPr="0083334D">
        <w:t xml:space="preserve">, </w:t>
      </w:r>
      <w:r w:rsidR="0083334D" w:rsidRPr="0083334D">
        <w:t>Arsenalo g. 7, Linkaičių km., Radviliškio r.</w:t>
      </w:r>
    </w:p>
    <w:p w14:paraId="2292FF64" w14:textId="064292BF" w:rsidR="00A72C2F" w:rsidRPr="00EA696A" w:rsidRDefault="00A72C2F" w:rsidP="006F3BC1">
      <w:pPr>
        <w:spacing w:before="60" w:after="60"/>
        <w:ind w:firstLine="720"/>
      </w:pP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95FC6">
      <w:pgSz w:w="15840" w:h="12240" w:orient="landscape"/>
      <w:pgMar w:top="1134" w:right="67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8808E" w14:textId="77777777" w:rsidR="008343BB" w:rsidRDefault="008343BB" w:rsidP="00324E3D">
      <w:r>
        <w:separator/>
      </w:r>
    </w:p>
  </w:endnote>
  <w:endnote w:type="continuationSeparator" w:id="0">
    <w:p w14:paraId="1DE599DF" w14:textId="77777777" w:rsidR="008343BB" w:rsidRDefault="008343BB"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DF3C6" w14:textId="77777777" w:rsidR="008343BB" w:rsidRDefault="008343BB" w:rsidP="00324E3D">
      <w:r>
        <w:separator/>
      </w:r>
    </w:p>
  </w:footnote>
  <w:footnote w:type="continuationSeparator" w:id="0">
    <w:p w14:paraId="4863F3B3" w14:textId="77777777" w:rsidR="008343BB" w:rsidRDefault="008343BB"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5"/>
  </w:num>
  <w:num w:numId="6">
    <w:abstractNumId w:val="13"/>
  </w:num>
  <w:num w:numId="7">
    <w:abstractNumId w:val="12"/>
  </w:num>
  <w:num w:numId="8">
    <w:abstractNumId w:val="6"/>
  </w:num>
  <w:num w:numId="9">
    <w:abstractNumId w:val="2"/>
  </w:num>
  <w:num w:numId="10">
    <w:abstractNumId w:val="10"/>
  </w:num>
  <w:num w:numId="11">
    <w:abstractNumId w:val="9"/>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641"/>
    <w:rsid w:val="000A2C11"/>
    <w:rsid w:val="000A7B83"/>
    <w:rsid w:val="000B3595"/>
    <w:rsid w:val="000B72B1"/>
    <w:rsid w:val="000C41DF"/>
    <w:rsid w:val="000E1F6A"/>
    <w:rsid w:val="0012225C"/>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4A25"/>
    <w:rsid w:val="00256F06"/>
    <w:rsid w:val="002638B2"/>
    <w:rsid w:val="00272F44"/>
    <w:rsid w:val="0028404C"/>
    <w:rsid w:val="00292EDD"/>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25BA3"/>
    <w:rsid w:val="003449FE"/>
    <w:rsid w:val="00345DE8"/>
    <w:rsid w:val="00360DBA"/>
    <w:rsid w:val="0036356C"/>
    <w:rsid w:val="003732EF"/>
    <w:rsid w:val="003738BB"/>
    <w:rsid w:val="00376746"/>
    <w:rsid w:val="0038393A"/>
    <w:rsid w:val="00394EDD"/>
    <w:rsid w:val="00395FC6"/>
    <w:rsid w:val="003A3805"/>
    <w:rsid w:val="003A6A95"/>
    <w:rsid w:val="003A6F72"/>
    <w:rsid w:val="003B4DE8"/>
    <w:rsid w:val="003C3C6B"/>
    <w:rsid w:val="003C4DA6"/>
    <w:rsid w:val="003D1EC4"/>
    <w:rsid w:val="003D566C"/>
    <w:rsid w:val="003E5976"/>
    <w:rsid w:val="003E6613"/>
    <w:rsid w:val="003F18BB"/>
    <w:rsid w:val="003F3166"/>
    <w:rsid w:val="003F3B0E"/>
    <w:rsid w:val="00425BA0"/>
    <w:rsid w:val="00453F2B"/>
    <w:rsid w:val="0046623A"/>
    <w:rsid w:val="004765BB"/>
    <w:rsid w:val="004A0EAF"/>
    <w:rsid w:val="004A120C"/>
    <w:rsid w:val="004B33BF"/>
    <w:rsid w:val="004C13D0"/>
    <w:rsid w:val="004C5DD6"/>
    <w:rsid w:val="004C71FF"/>
    <w:rsid w:val="004D0414"/>
    <w:rsid w:val="004D4159"/>
    <w:rsid w:val="004E36A7"/>
    <w:rsid w:val="004E763B"/>
    <w:rsid w:val="004E768A"/>
    <w:rsid w:val="004F4FC3"/>
    <w:rsid w:val="005055F6"/>
    <w:rsid w:val="00511A22"/>
    <w:rsid w:val="005125AD"/>
    <w:rsid w:val="0052090F"/>
    <w:rsid w:val="0052523C"/>
    <w:rsid w:val="00534E4D"/>
    <w:rsid w:val="00535D18"/>
    <w:rsid w:val="0054106B"/>
    <w:rsid w:val="00567814"/>
    <w:rsid w:val="00583341"/>
    <w:rsid w:val="005855E0"/>
    <w:rsid w:val="00585CD8"/>
    <w:rsid w:val="00587988"/>
    <w:rsid w:val="00597DA1"/>
    <w:rsid w:val="005A4976"/>
    <w:rsid w:val="005A7E23"/>
    <w:rsid w:val="005C3341"/>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C60B8"/>
    <w:rsid w:val="006D0960"/>
    <w:rsid w:val="006D2D7F"/>
    <w:rsid w:val="006E0E3F"/>
    <w:rsid w:val="006E4B84"/>
    <w:rsid w:val="006F3BC1"/>
    <w:rsid w:val="0070667A"/>
    <w:rsid w:val="0071194E"/>
    <w:rsid w:val="00727D16"/>
    <w:rsid w:val="007300A9"/>
    <w:rsid w:val="007324C6"/>
    <w:rsid w:val="00737018"/>
    <w:rsid w:val="00753872"/>
    <w:rsid w:val="0075688B"/>
    <w:rsid w:val="00764DF0"/>
    <w:rsid w:val="00771FF5"/>
    <w:rsid w:val="007967CD"/>
    <w:rsid w:val="007A1E67"/>
    <w:rsid w:val="007B44C2"/>
    <w:rsid w:val="007B6DE4"/>
    <w:rsid w:val="007C6559"/>
    <w:rsid w:val="007D08C9"/>
    <w:rsid w:val="007D7FA1"/>
    <w:rsid w:val="007F06F4"/>
    <w:rsid w:val="00803C75"/>
    <w:rsid w:val="00813A37"/>
    <w:rsid w:val="00813C5B"/>
    <w:rsid w:val="00813F83"/>
    <w:rsid w:val="0082236E"/>
    <w:rsid w:val="00825473"/>
    <w:rsid w:val="0083143B"/>
    <w:rsid w:val="00832C1C"/>
    <w:rsid w:val="0083334D"/>
    <w:rsid w:val="008343BB"/>
    <w:rsid w:val="00856C58"/>
    <w:rsid w:val="0086259A"/>
    <w:rsid w:val="00867C73"/>
    <w:rsid w:val="00871C75"/>
    <w:rsid w:val="00874022"/>
    <w:rsid w:val="008A0001"/>
    <w:rsid w:val="008A5F7E"/>
    <w:rsid w:val="008B527B"/>
    <w:rsid w:val="008B7BCA"/>
    <w:rsid w:val="008B7E4B"/>
    <w:rsid w:val="008C25EE"/>
    <w:rsid w:val="008D3738"/>
    <w:rsid w:val="008D5BE3"/>
    <w:rsid w:val="008E1378"/>
    <w:rsid w:val="008F51A8"/>
    <w:rsid w:val="008F6A9F"/>
    <w:rsid w:val="00933502"/>
    <w:rsid w:val="00934ECD"/>
    <w:rsid w:val="009446B9"/>
    <w:rsid w:val="009465B2"/>
    <w:rsid w:val="00957FD9"/>
    <w:rsid w:val="009658F2"/>
    <w:rsid w:val="00981132"/>
    <w:rsid w:val="00983DDB"/>
    <w:rsid w:val="009B2E56"/>
    <w:rsid w:val="009B60AE"/>
    <w:rsid w:val="009C0DB7"/>
    <w:rsid w:val="009C33A6"/>
    <w:rsid w:val="009C705A"/>
    <w:rsid w:val="009E0060"/>
    <w:rsid w:val="009F7F4C"/>
    <w:rsid w:val="00A00D5F"/>
    <w:rsid w:val="00A0107C"/>
    <w:rsid w:val="00A1223D"/>
    <w:rsid w:val="00A25B7C"/>
    <w:rsid w:val="00A303D5"/>
    <w:rsid w:val="00A52FB4"/>
    <w:rsid w:val="00A635B1"/>
    <w:rsid w:val="00A72C2F"/>
    <w:rsid w:val="00A72FB6"/>
    <w:rsid w:val="00A8213E"/>
    <w:rsid w:val="00A862B8"/>
    <w:rsid w:val="00A92332"/>
    <w:rsid w:val="00A95BE3"/>
    <w:rsid w:val="00AA4C87"/>
    <w:rsid w:val="00AB2159"/>
    <w:rsid w:val="00AB5D07"/>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FF8"/>
    <w:rsid w:val="00C042C8"/>
    <w:rsid w:val="00C052CD"/>
    <w:rsid w:val="00C15C7E"/>
    <w:rsid w:val="00C458C5"/>
    <w:rsid w:val="00C53FA2"/>
    <w:rsid w:val="00C76EBF"/>
    <w:rsid w:val="00C8150E"/>
    <w:rsid w:val="00C9211A"/>
    <w:rsid w:val="00CA52C3"/>
    <w:rsid w:val="00CB091C"/>
    <w:rsid w:val="00CB1F9E"/>
    <w:rsid w:val="00CB4CA5"/>
    <w:rsid w:val="00CC3A8D"/>
    <w:rsid w:val="00CD224F"/>
    <w:rsid w:val="00CD315F"/>
    <w:rsid w:val="00CD4A3A"/>
    <w:rsid w:val="00CE0DDD"/>
    <w:rsid w:val="00CF3797"/>
    <w:rsid w:val="00CF7E24"/>
    <w:rsid w:val="00D03B59"/>
    <w:rsid w:val="00D07AF2"/>
    <w:rsid w:val="00D10702"/>
    <w:rsid w:val="00D119BD"/>
    <w:rsid w:val="00D31DA7"/>
    <w:rsid w:val="00D371BE"/>
    <w:rsid w:val="00D53648"/>
    <w:rsid w:val="00D5429E"/>
    <w:rsid w:val="00D60A49"/>
    <w:rsid w:val="00D64E58"/>
    <w:rsid w:val="00D7228A"/>
    <w:rsid w:val="00D91E0B"/>
    <w:rsid w:val="00D92A7A"/>
    <w:rsid w:val="00DA6969"/>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42A4B"/>
    <w:rsid w:val="00E50623"/>
    <w:rsid w:val="00E70B9E"/>
    <w:rsid w:val="00E9346A"/>
    <w:rsid w:val="00E952E2"/>
    <w:rsid w:val="00E96E31"/>
    <w:rsid w:val="00EA696A"/>
    <w:rsid w:val="00EA7F82"/>
    <w:rsid w:val="00EB0A13"/>
    <w:rsid w:val="00EB54C2"/>
    <w:rsid w:val="00EC0493"/>
    <w:rsid w:val="00EC2173"/>
    <w:rsid w:val="00EC283B"/>
    <w:rsid w:val="00EE4838"/>
    <w:rsid w:val="00F0113A"/>
    <w:rsid w:val="00F070CF"/>
    <w:rsid w:val="00F162F9"/>
    <w:rsid w:val="00F20AC5"/>
    <w:rsid w:val="00F21E61"/>
    <w:rsid w:val="00F25765"/>
    <w:rsid w:val="00F30071"/>
    <w:rsid w:val="00F44B61"/>
    <w:rsid w:val="00F45159"/>
    <w:rsid w:val="00F51ADB"/>
    <w:rsid w:val="00F556EE"/>
    <w:rsid w:val="00FA04E2"/>
    <w:rsid w:val="00FA6D86"/>
    <w:rsid w:val="00FC27A3"/>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23982462">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4D35-0C87-4368-BE26-650449D5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2491</Words>
  <Characters>1420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30</cp:revision>
  <cp:lastPrinted>2017-09-25T07:05:00Z</cp:lastPrinted>
  <dcterms:created xsi:type="dcterms:W3CDTF">2022-03-01T10:34:00Z</dcterms:created>
  <dcterms:modified xsi:type="dcterms:W3CDTF">2025-04-02T10:22:00Z</dcterms:modified>
</cp:coreProperties>
</file>