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F1C6" w14:textId="67F97CF3" w:rsidR="00730995" w:rsidRPr="00307583" w:rsidRDefault="00730995" w:rsidP="00730995">
      <w:pPr>
        <w:tabs>
          <w:tab w:val="left" w:pos="720"/>
        </w:tabs>
        <w:jc w:val="right"/>
        <w:rPr>
          <w:rFonts w:ascii="Times New Roman" w:eastAsia="Times New Roman" w:hAnsi="Times New Roman" w:cs="Times New Roman"/>
          <w:sz w:val="24"/>
          <w:szCs w:val="24"/>
        </w:rPr>
      </w:pPr>
      <w:r w:rsidRPr="00307583">
        <w:rPr>
          <w:rFonts w:ascii="Times New Roman" w:eastAsia="Times New Roman" w:hAnsi="Times New Roman" w:cs="Times New Roman"/>
          <w:sz w:val="24"/>
          <w:szCs w:val="24"/>
        </w:rPr>
        <w:t xml:space="preserve">Pirkimo sąlygų </w:t>
      </w:r>
      <w:r w:rsidR="00B9051E">
        <w:rPr>
          <w:rFonts w:ascii="Times New Roman" w:eastAsia="Times New Roman" w:hAnsi="Times New Roman" w:cs="Times New Roman"/>
          <w:sz w:val="24"/>
          <w:szCs w:val="24"/>
        </w:rPr>
        <w:t>6</w:t>
      </w:r>
      <w:r w:rsidRPr="00307583">
        <w:rPr>
          <w:rFonts w:ascii="Times New Roman" w:eastAsia="Times New Roman" w:hAnsi="Times New Roman" w:cs="Times New Roman"/>
          <w:sz w:val="24"/>
          <w:szCs w:val="24"/>
        </w:rPr>
        <w:t xml:space="preserve"> priedas</w:t>
      </w:r>
    </w:p>
    <w:p w14:paraId="1DA0DF4B" w14:textId="77777777" w:rsidR="00730995" w:rsidRPr="00307583" w:rsidRDefault="00730995" w:rsidP="00730995">
      <w:pPr>
        <w:autoSpaceDE w:val="0"/>
        <w:autoSpaceDN w:val="0"/>
        <w:adjustRightInd w:val="0"/>
        <w:spacing w:after="120" w:line="240" w:lineRule="auto"/>
        <w:rPr>
          <w:rFonts w:ascii="Times New Roman" w:hAnsi="Times New Roman" w:cs="Times New Roman"/>
          <w:b/>
          <w:sz w:val="24"/>
          <w:szCs w:val="24"/>
        </w:rPr>
      </w:pPr>
    </w:p>
    <w:p w14:paraId="4DBC093A" w14:textId="3A099B8A" w:rsidR="00B828B4" w:rsidRPr="00307583" w:rsidRDefault="00B828B4" w:rsidP="00B828B4">
      <w:pPr>
        <w:autoSpaceDE w:val="0"/>
        <w:autoSpaceDN w:val="0"/>
        <w:adjustRightInd w:val="0"/>
        <w:spacing w:after="120" w:line="240" w:lineRule="auto"/>
        <w:jc w:val="center"/>
        <w:rPr>
          <w:rFonts w:ascii="Times New Roman" w:hAnsi="Times New Roman" w:cs="Times New Roman"/>
          <w:b/>
          <w:sz w:val="24"/>
          <w:szCs w:val="24"/>
        </w:rPr>
      </w:pPr>
      <w:r w:rsidRPr="00307583">
        <w:rPr>
          <w:rFonts w:ascii="Times New Roman" w:hAnsi="Times New Roman" w:cs="Times New Roman"/>
          <w:b/>
          <w:sz w:val="24"/>
          <w:szCs w:val="24"/>
        </w:rPr>
        <w:t>ŽMONIŲ PALAIKŲ GABENIMO PATOLOGINĖS ANATOMIJOS TYRIMAMS AR TEISMO MEDICINOS EKSPERTIZĖMS IR TYRIMAMS BEI PALAIKŲ LAIKINO SAUGOJIMO PASLAUGŲ PIRKIMO PASIŪLYMŲ</w:t>
      </w:r>
    </w:p>
    <w:p w14:paraId="43F70141" w14:textId="6D5D8B2C" w:rsidR="006E64BC" w:rsidRPr="00307583" w:rsidRDefault="00B828B4" w:rsidP="006E64BC">
      <w:pPr>
        <w:spacing w:after="0" w:line="240" w:lineRule="auto"/>
        <w:jc w:val="center"/>
        <w:rPr>
          <w:rFonts w:ascii="Times New Roman" w:hAnsi="Times New Roman" w:cs="Times New Roman"/>
          <w:b/>
          <w:bCs/>
          <w:sz w:val="24"/>
          <w:szCs w:val="24"/>
        </w:rPr>
      </w:pPr>
      <w:r w:rsidRPr="00307583">
        <w:rPr>
          <w:rFonts w:ascii="Times New Roman" w:hAnsi="Times New Roman" w:cs="Times New Roman"/>
          <w:b/>
          <w:bCs/>
          <w:sz w:val="24"/>
          <w:szCs w:val="24"/>
        </w:rPr>
        <w:t>V</w:t>
      </w:r>
      <w:r w:rsidR="006E64BC" w:rsidRPr="00307583">
        <w:rPr>
          <w:rFonts w:ascii="Times New Roman" w:hAnsi="Times New Roman" w:cs="Times New Roman"/>
          <w:b/>
          <w:bCs/>
          <w:sz w:val="24"/>
          <w:szCs w:val="24"/>
        </w:rPr>
        <w:t>ERTINIMO METODIKA</w:t>
      </w:r>
    </w:p>
    <w:p w14:paraId="75F7F460" w14:textId="77777777" w:rsidR="006E64BC" w:rsidRPr="00307583" w:rsidRDefault="006E64BC" w:rsidP="006E64BC">
      <w:pPr>
        <w:spacing w:after="0" w:line="240" w:lineRule="auto"/>
        <w:jc w:val="both"/>
        <w:rPr>
          <w:rFonts w:ascii="Times New Roman" w:hAnsi="Times New Roman" w:cs="Times New Roman"/>
          <w:b/>
          <w:bCs/>
          <w:sz w:val="24"/>
          <w:szCs w:val="24"/>
        </w:rPr>
      </w:pPr>
    </w:p>
    <w:p w14:paraId="4466F7F1" w14:textId="77777777" w:rsidR="006E64BC" w:rsidRPr="00307583" w:rsidRDefault="006E64BC" w:rsidP="006E64BC">
      <w:pPr>
        <w:spacing w:after="0" w:line="240" w:lineRule="auto"/>
        <w:jc w:val="both"/>
        <w:rPr>
          <w:rFonts w:ascii="Times New Roman" w:hAnsi="Times New Roman" w:cs="Times New Roman"/>
          <w:b/>
          <w:bCs/>
          <w:sz w:val="24"/>
          <w:szCs w:val="24"/>
        </w:rPr>
      </w:pPr>
    </w:p>
    <w:p w14:paraId="3D42B623" w14:textId="14C7111F" w:rsidR="006E64BC" w:rsidRPr="00307583" w:rsidRDefault="006E64BC" w:rsidP="006E64BC">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t xml:space="preserve">1. </w:t>
      </w:r>
      <w:r w:rsidR="00CA111E" w:rsidRPr="00307583">
        <w:rPr>
          <w:rFonts w:ascii="Times New Roman" w:hAnsi="Times New Roman" w:cs="Times New Roman"/>
          <w:sz w:val="24"/>
          <w:szCs w:val="24"/>
        </w:rPr>
        <w:t>Pirkimo dokumentuose iš anksto nustatoma fiksuota kaina. Tiekėjai konkuruoja ir ekonomiškai naudingiausias pasiūlymas išrenkamas tik kokybės kriterijų pagrindu.</w:t>
      </w:r>
    </w:p>
    <w:p w14:paraId="43523189" w14:textId="28B79DE9" w:rsidR="006E64BC" w:rsidRPr="00307583" w:rsidRDefault="006E64BC" w:rsidP="006E64BC">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t xml:space="preserve">2. Ekonomiškai naudingiausias pasiūlymas bus išrenkamas pagal šiuos </w:t>
      </w:r>
      <w:r w:rsidR="00CA111E" w:rsidRPr="00307583">
        <w:rPr>
          <w:rFonts w:ascii="Times New Roman" w:hAnsi="Times New Roman" w:cs="Times New Roman"/>
          <w:sz w:val="24"/>
          <w:szCs w:val="24"/>
        </w:rPr>
        <w:t xml:space="preserve">kokybinius vertinimo </w:t>
      </w:r>
      <w:r w:rsidRPr="00307583">
        <w:rPr>
          <w:rFonts w:ascii="Times New Roman" w:hAnsi="Times New Roman" w:cs="Times New Roman"/>
          <w:sz w:val="24"/>
          <w:szCs w:val="24"/>
        </w:rPr>
        <w:t>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674"/>
        <w:gridCol w:w="2149"/>
      </w:tblGrid>
      <w:tr w:rsidR="00307583" w:rsidRPr="00307583" w14:paraId="570D9CE8" w14:textId="77777777" w:rsidTr="008B5BF1">
        <w:tc>
          <w:tcPr>
            <w:tcW w:w="805" w:type="dxa"/>
            <w:tcBorders>
              <w:top w:val="single" w:sz="4" w:space="0" w:color="auto"/>
              <w:left w:val="single" w:sz="4" w:space="0" w:color="auto"/>
              <w:bottom w:val="single" w:sz="4" w:space="0" w:color="auto"/>
              <w:right w:val="single" w:sz="4" w:space="0" w:color="auto"/>
            </w:tcBorders>
            <w:hideMark/>
          </w:tcPr>
          <w:p w14:paraId="43431FEC" w14:textId="77777777" w:rsidR="006E64BC" w:rsidRPr="00307583" w:rsidRDefault="006E64BC" w:rsidP="006E64BC">
            <w:pPr>
              <w:spacing w:after="0" w:line="240" w:lineRule="auto"/>
              <w:ind w:right="100"/>
              <w:jc w:val="center"/>
              <w:rPr>
                <w:rFonts w:ascii="Times New Roman" w:hAnsi="Times New Roman" w:cs="Times New Roman"/>
                <w:sz w:val="24"/>
                <w:szCs w:val="24"/>
              </w:rPr>
            </w:pPr>
            <w:r w:rsidRPr="00307583">
              <w:rPr>
                <w:rFonts w:ascii="Times New Roman" w:hAnsi="Times New Roman" w:cs="Times New Roman"/>
                <w:sz w:val="24"/>
                <w:szCs w:val="24"/>
              </w:rPr>
              <w:t>Eil. Nr.</w:t>
            </w:r>
          </w:p>
        </w:tc>
        <w:tc>
          <w:tcPr>
            <w:tcW w:w="6674" w:type="dxa"/>
            <w:tcBorders>
              <w:top w:val="single" w:sz="4" w:space="0" w:color="auto"/>
              <w:left w:val="single" w:sz="4" w:space="0" w:color="auto"/>
              <w:bottom w:val="single" w:sz="4" w:space="0" w:color="auto"/>
              <w:right w:val="single" w:sz="4" w:space="0" w:color="auto"/>
            </w:tcBorders>
            <w:hideMark/>
          </w:tcPr>
          <w:p w14:paraId="012C81B2" w14:textId="77777777" w:rsidR="006E64BC" w:rsidRPr="00307583" w:rsidRDefault="006E64BC" w:rsidP="006E64BC">
            <w:pPr>
              <w:spacing w:after="0" w:line="240" w:lineRule="auto"/>
              <w:ind w:right="100"/>
              <w:jc w:val="center"/>
              <w:rPr>
                <w:rFonts w:ascii="Times New Roman" w:hAnsi="Times New Roman" w:cs="Times New Roman"/>
                <w:sz w:val="24"/>
                <w:szCs w:val="24"/>
              </w:rPr>
            </w:pPr>
            <w:r w:rsidRPr="00307583">
              <w:rPr>
                <w:rFonts w:ascii="Times New Roman" w:hAnsi="Times New Roman" w:cs="Times New Roman"/>
                <w:sz w:val="24"/>
                <w:szCs w:val="24"/>
              </w:rPr>
              <w:t>Kokybės vertinimo kriterijai</w:t>
            </w:r>
          </w:p>
        </w:tc>
        <w:tc>
          <w:tcPr>
            <w:tcW w:w="2149" w:type="dxa"/>
            <w:tcBorders>
              <w:top w:val="single" w:sz="4" w:space="0" w:color="auto"/>
              <w:left w:val="single" w:sz="4" w:space="0" w:color="auto"/>
              <w:bottom w:val="single" w:sz="4" w:space="0" w:color="auto"/>
              <w:right w:val="single" w:sz="4" w:space="0" w:color="auto"/>
            </w:tcBorders>
            <w:hideMark/>
          </w:tcPr>
          <w:p w14:paraId="23783ECA" w14:textId="77777777" w:rsidR="006E64BC" w:rsidRPr="00307583" w:rsidRDefault="006E64BC" w:rsidP="006E64BC">
            <w:pPr>
              <w:spacing w:after="0" w:line="240" w:lineRule="auto"/>
              <w:ind w:right="100"/>
              <w:jc w:val="center"/>
              <w:rPr>
                <w:rFonts w:ascii="Times New Roman" w:hAnsi="Times New Roman" w:cs="Times New Roman"/>
                <w:sz w:val="24"/>
                <w:szCs w:val="24"/>
              </w:rPr>
            </w:pPr>
            <w:r w:rsidRPr="00307583">
              <w:rPr>
                <w:rFonts w:ascii="Times New Roman" w:hAnsi="Times New Roman" w:cs="Times New Roman"/>
                <w:sz w:val="24"/>
                <w:szCs w:val="24"/>
              </w:rPr>
              <w:t>Kokybės vertinimo kriterijų lyginamasis svoris</w:t>
            </w:r>
          </w:p>
        </w:tc>
      </w:tr>
      <w:tr w:rsidR="00307583" w:rsidRPr="00307583" w14:paraId="7801B17C" w14:textId="77777777" w:rsidTr="008B5BF1">
        <w:tc>
          <w:tcPr>
            <w:tcW w:w="805" w:type="dxa"/>
            <w:tcBorders>
              <w:top w:val="single" w:sz="4" w:space="0" w:color="auto"/>
              <w:left w:val="single" w:sz="4" w:space="0" w:color="auto"/>
              <w:bottom w:val="single" w:sz="4" w:space="0" w:color="auto"/>
              <w:right w:val="single" w:sz="4" w:space="0" w:color="auto"/>
            </w:tcBorders>
          </w:tcPr>
          <w:p w14:paraId="16D20F68" w14:textId="27E7FD1C" w:rsidR="009B79C8" w:rsidRPr="00307583" w:rsidRDefault="009B79C8" w:rsidP="009B79C8">
            <w:pPr>
              <w:spacing w:after="0" w:line="240" w:lineRule="auto"/>
              <w:ind w:right="100"/>
              <w:jc w:val="center"/>
              <w:rPr>
                <w:rFonts w:ascii="Times New Roman" w:hAnsi="Times New Roman" w:cs="Times New Roman"/>
                <w:sz w:val="24"/>
                <w:szCs w:val="24"/>
              </w:rPr>
            </w:pPr>
            <w:r w:rsidRPr="00307583">
              <w:rPr>
                <w:rFonts w:ascii="Times New Roman" w:hAnsi="Times New Roman" w:cs="Times New Roman"/>
                <w:sz w:val="24"/>
                <w:szCs w:val="24"/>
              </w:rPr>
              <w:t>1.</w:t>
            </w:r>
          </w:p>
        </w:tc>
        <w:tc>
          <w:tcPr>
            <w:tcW w:w="6674" w:type="dxa"/>
            <w:tcBorders>
              <w:top w:val="single" w:sz="4" w:space="0" w:color="auto"/>
              <w:left w:val="single" w:sz="4" w:space="0" w:color="auto"/>
              <w:bottom w:val="single" w:sz="4" w:space="0" w:color="auto"/>
              <w:right w:val="single" w:sz="4" w:space="0" w:color="auto"/>
            </w:tcBorders>
          </w:tcPr>
          <w:p w14:paraId="13A5B37E" w14:textId="07D5F382"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b/>
                <w:bCs/>
                <w:sz w:val="24"/>
                <w:szCs w:val="24"/>
              </w:rPr>
              <w:t>Kriterijus A.</w:t>
            </w:r>
            <w:r w:rsidRPr="00307583">
              <w:rPr>
                <w:rFonts w:ascii="Times New Roman" w:hAnsi="Times New Roman"/>
                <w:sz w:val="24"/>
                <w:szCs w:val="24"/>
              </w:rPr>
              <w:t xml:space="preserve"> Į pranešimą dėl žmogaus palaikų gabenimo reagavimo  laikas*:</w:t>
            </w:r>
          </w:p>
        </w:tc>
        <w:tc>
          <w:tcPr>
            <w:tcW w:w="2149" w:type="dxa"/>
            <w:tcBorders>
              <w:top w:val="single" w:sz="4" w:space="0" w:color="auto"/>
              <w:left w:val="single" w:sz="4" w:space="0" w:color="auto"/>
              <w:bottom w:val="single" w:sz="4" w:space="0" w:color="auto"/>
              <w:right w:val="single" w:sz="4" w:space="0" w:color="auto"/>
            </w:tcBorders>
          </w:tcPr>
          <w:p w14:paraId="56E3B0C7" w14:textId="6F84F128"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AL ₌ 30</w:t>
            </w:r>
          </w:p>
        </w:tc>
      </w:tr>
      <w:tr w:rsidR="00307583" w:rsidRPr="00307583" w14:paraId="540F8261" w14:textId="77777777" w:rsidTr="008B5BF1">
        <w:tc>
          <w:tcPr>
            <w:tcW w:w="805" w:type="dxa"/>
            <w:tcBorders>
              <w:top w:val="single" w:sz="4" w:space="0" w:color="auto"/>
              <w:left w:val="single" w:sz="4" w:space="0" w:color="auto"/>
              <w:bottom w:val="single" w:sz="4" w:space="0" w:color="auto"/>
              <w:right w:val="single" w:sz="4" w:space="0" w:color="auto"/>
            </w:tcBorders>
          </w:tcPr>
          <w:p w14:paraId="7402D12A" w14:textId="2AB66BAE"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1.1.</w:t>
            </w:r>
          </w:p>
        </w:tc>
        <w:tc>
          <w:tcPr>
            <w:tcW w:w="6674" w:type="dxa"/>
            <w:tcBorders>
              <w:top w:val="single" w:sz="4" w:space="0" w:color="auto"/>
              <w:left w:val="single" w:sz="4" w:space="0" w:color="auto"/>
              <w:bottom w:val="single" w:sz="4" w:space="0" w:color="auto"/>
              <w:right w:val="single" w:sz="4" w:space="0" w:color="auto"/>
            </w:tcBorders>
          </w:tcPr>
          <w:p w14:paraId="2B1F207C" w14:textId="240F7793"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sz w:val="24"/>
                <w:szCs w:val="24"/>
              </w:rPr>
              <w:t xml:space="preserve">per 40 min. nuo pranešimo gavimo momento </w:t>
            </w:r>
          </w:p>
        </w:tc>
        <w:tc>
          <w:tcPr>
            <w:tcW w:w="2149" w:type="dxa"/>
            <w:tcBorders>
              <w:top w:val="single" w:sz="4" w:space="0" w:color="auto"/>
              <w:left w:val="single" w:sz="4" w:space="0" w:color="auto"/>
              <w:bottom w:val="single" w:sz="4" w:space="0" w:color="auto"/>
              <w:right w:val="single" w:sz="4" w:space="0" w:color="auto"/>
            </w:tcBorders>
          </w:tcPr>
          <w:p w14:paraId="642E01FF" w14:textId="4345E8C2"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30</w:t>
            </w:r>
          </w:p>
        </w:tc>
      </w:tr>
      <w:tr w:rsidR="00307583" w:rsidRPr="00307583" w14:paraId="0B837D54" w14:textId="77777777" w:rsidTr="008B5BF1">
        <w:tc>
          <w:tcPr>
            <w:tcW w:w="805" w:type="dxa"/>
            <w:tcBorders>
              <w:top w:val="single" w:sz="4" w:space="0" w:color="auto"/>
              <w:left w:val="single" w:sz="4" w:space="0" w:color="auto"/>
              <w:bottom w:val="single" w:sz="4" w:space="0" w:color="auto"/>
              <w:right w:val="single" w:sz="4" w:space="0" w:color="auto"/>
            </w:tcBorders>
          </w:tcPr>
          <w:p w14:paraId="7209AEE8" w14:textId="46FC558A"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1.2.</w:t>
            </w:r>
          </w:p>
        </w:tc>
        <w:tc>
          <w:tcPr>
            <w:tcW w:w="6674" w:type="dxa"/>
            <w:tcBorders>
              <w:top w:val="single" w:sz="4" w:space="0" w:color="auto"/>
              <w:left w:val="single" w:sz="4" w:space="0" w:color="auto"/>
              <w:bottom w:val="single" w:sz="4" w:space="0" w:color="auto"/>
              <w:right w:val="single" w:sz="4" w:space="0" w:color="auto"/>
            </w:tcBorders>
          </w:tcPr>
          <w:p w14:paraId="7887FB28" w14:textId="258F4612"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sz w:val="24"/>
                <w:szCs w:val="24"/>
              </w:rPr>
              <w:t xml:space="preserve">nuo 41 iki 50 min. nuo pranešimo gavimo momento </w:t>
            </w:r>
          </w:p>
        </w:tc>
        <w:tc>
          <w:tcPr>
            <w:tcW w:w="2149" w:type="dxa"/>
            <w:tcBorders>
              <w:top w:val="single" w:sz="4" w:space="0" w:color="auto"/>
              <w:left w:val="single" w:sz="4" w:space="0" w:color="auto"/>
              <w:bottom w:val="single" w:sz="4" w:space="0" w:color="auto"/>
              <w:right w:val="single" w:sz="4" w:space="0" w:color="auto"/>
            </w:tcBorders>
          </w:tcPr>
          <w:p w14:paraId="13BB178F" w14:textId="4D36C2EA"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20</w:t>
            </w:r>
          </w:p>
        </w:tc>
      </w:tr>
      <w:tr w:rsidR="00307583" w:rsidRPr="00307583" w14:paraId="3966D71D" w14:textId="77777777" w:rsidTr="008B5BF1">
        <w:tc>
          <w:tcPr>
            <w:tcW w:w="805" w:type="dxa"/>
            <w:tcBorders>
              <w:top w:val="single" w:sz="4" w:space="0" w:color="auto"/>
              <w:left w:val="single" w:sz="4" w:space="0" w:color="auto"/>
              <w:bottom w:val="single" w:sz="4" w:space="0" w:color="auto"/>
              <w:right w:val="single" w:sz="4" w:space="0" w:color="auto"/>
            </w:tcBorders>
          </w:tcPr>
          <w:p w14:paraId="4E6BB1B8" w14:textId="620EFCD1"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1.3.</w:t>
            </w:r>
          </w:p>
        </w:tc>
        <w:tc>
          <w:tcPr>
            <w:tcW w:w="6674" w:type="dxa"/>
            <w:tcBorders>
              <w:top w:val="single" w:sz="4" w:space="0" w:color="auto"/>
              <w:left w:val="single" w:sz="4" w:space="0" w:color="auto"/>
              <w:bottom w:val="single" w:sz="4" w:space="0" w:color="auto"/>
              <w:right w:val="single" w:sz="4" w:space="0" w:color="auto"/>
            </w:tcBorders>
          </w:tcPr>
          <w:p w14:paraId="148DAE26" w14:textId="3B92E579"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sz w:val="24"/>
                <w:szCs w:val="24"/>
              </w:rPr>
              <w:t>nuo 51 iki 60 min. nuo pranešimo gavimo momento</w:t>
            </w:r>
          </w:p>
        </w:tc>
        <w:tc>
          <w:tcPr>
            <w:tcW w:w="2149" w:type="dxa"/>
            <w:tcBorders>
              <w:top w:val="single" w:sz="4" w:space="0" w:color="auto"/>
              <w:left w:val="single" w:sz="4" w:space="0" w:color="auto"/>
              <w:bottom w:val="single" w:sz="4" w:space="0" w:color="auto"/>
              <w:right w:val="single" w:sz="4" w:space="0" w:color="auto"/>
            </w:tcBorders>
          </w:tcPr>
          <w:p w14:paraId="1A5E942A" w14:textId="17A114FF"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10</w:t>
            </w:r>
          </w:p>
        </w:tc>
      </w:tr>
      <w:tr w:rsidR="00307583" w:rsidRPr="00307583" w14:paraId="4B02D506" w14:textId="77777777" w:rsidTr="008B5BF1">
        <w:tc>
          <w:tcPr>
            <w:tcW w:w="805" w:type="dxa"/>
            <w:tcBorders>
              <w:top w:val="single" w:sz="4" w:space="0" w:color="auto"/>
              <w:left w:val="single" w:sz="4" w:space="0" w:color="auto"/>
              <w:bottom w:val="single" w:sz="4" w:space="0" w:color="auto"/>
              <w:right w:val="single" w:sz="4" w:space="0" w:color="auto"/>
            </w:tcBorders>
          </w:tcPr>
          <w:p w14:paraId="381A8CAD" w14:textId="670754E1"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1.4.</w:t>
            </w:r>
          </w:p>
        </w:tc>
        <w:tc>
          <w:tcPr>
            <w:tcW w:w="6674" w:type="dxa"/>
            <w:tcBorders>
              <w:top w:val="single" w:sz="4" w:space="0" w:color="auto"/>
              <w:left w:val="single" w:sz="4" w:space="0" w:color="auto"/>
              <w:bottom w:val="single" w:sz="4" w:space="0" w:color="auto"/>
              <w:right w:val="single" w:sz="4" w:space="0" w:color="auto"/>
            </w:tcBorders>
          </w:tcPr>
          <w:p w14:paraId="6D9397BF" w14:textId="2458C132"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sz w:val="24"/>
                <w:szCs w:val="24"/>
              </w:rPr>
              <w:t>nuo 61 iki 70 min. nuo pranešimo gavimo momento.</w:t>
            </w:r>
          </w:p>
        </w:tc>
        <w:tc>
          <w:tcPr>
            <w:tcW w:w="2149" w:type="dxa"/>
            <w:tcBorders>
              <w:top w:val="single" w:sz="4" w:space="0" w:color="auto"/>
              <w:left w:val="single" w:sz="4" w:space="0" w:color="auto"/>
              <w:bottom w:val="single" w:sz="4" w:space="0" w:color="auto"/>
              <w:right w:val="single" w:sz="4" w:space="0" w:color="auto"/>
            </w:tcBorders>
          </w:tcPr>
          <w:p w14:paraId="52315E7D" w14:textId="5CD44F70"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0</w:t>
            </w:r>
          </w:p>
        </w:tc>
      </w:tr>
      <w:tr w:rsidR="00307583" w:rsidRPr="00307583" w14:paraId="7CEF639A" w14:textId="77777777" w:rsidTr="008B5BF1">
        <w:tc>
          <w:tcPr>
            <w:tcW w:w="805" w:type="dxa"/>
            <w:tcBorders>
              <w:top w:val="single" w:sz="4" w:space="0" w:color="auto"/>
              <w:left w:val="single" w:sz="4" w:space="0" w:color="auto"/>
              <w:bottom w:val="single" w:sz="4" w:space="0" w:color="auto"/>
              <w:right w:val="single" w:sz="4" w:space="0" w:color="auto"/>
            </w:tcBorders>
          </w:tcPr>
          <w:p w14:paraId="395754CB" w14:textId="1C059941"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 xml:space="preserve">2. </w:t>
            </w:r>
          </w:p>
        </w:tc>
        <w:tc>
          <w:tcPr>
            <w:tcW w:w="6674" w:type="dxa"/>
            <w:tcBorders>
              <w:top w:val="single" w:sz="4" w:space="0" w:color="auto"/>
              <w:left w:val="single" w:sz="4" w:space="0" w:color="auto"/>
              <w:bottom w:val="single" w:sz="4" w:space="0" w:color="auto"/>
              <w:right w:val="single" w:sz="4" w:space="0" w:color="auto"/>
            </w:tcBorders>
          </w:tcPr>
          <w:p w14:paraId="0F5B206E" w14:textId="04998574" w:rsidR="009B79C8" w:rsidRPr="00307583" w:rsidRDefault="009B79C8" w:rsidP="009B79C8">
            <w:pPr>
              <w:spacing w:after="0" w:line="240" w:lineRule="auto"/>
              <w:jc w:val="both"/>
              <w:rPr>
                <w:rFonts w:ascii="Times New Roman" w:hAnsi="Times New Roman" w:cs="Times New Roman"/>
                <w:sz w:val="24"/>
                <w:szCs w:val="24"/>
              </w:rPr>
            </w:pPr>
            <w:r w:rsidRPr="00307583">
              <w:rPr>
                <w:rFonts w:ascii="Times New Roman" w:hAnsi="Times New Roman"/>
                <w:b/>
                <w:bCs/>
                <w:sz w:val="24"/>
                <w:szCs w:val="24"/>
              </w:rPr>
              <w:t>Kriterijus B.</w:t>
            </w:r>
            <w:r w:rsidRPr="00307583">
              <w:rPr>
                <w:rFonts w:ascii="Times New Roman" w:hAnsi="Times New Roman"/>
                <w:sz w:val="24"/>
                <w:szCs w:val="24"/>
              </w:rPr>
              <w:t xml:space="preserve"> Naudojami valikliai transporto priemonei ir žmogaus palaikų laikinojo saugojimo patalpoms dezinfekuoti  nepriklausomai nuo to, ar jie įtraukti į produktų sąrašą**, atitinka jiems nustatytus I tipo ekologinio ženklo reikalavimus (pagal LST EN ISO 14024), patvirtinamus I tipo ekologiniu ženklu*** arba kitu tiekėjo pateiktu lygiaverčiu įrodymu.****</w:t>
            </w:r>
            <w:r w:rsidRPr="00307583">
              <w:t xml:space="preserve"> </w:t>
            </w:r>
          </w:p>
        </w:tc>
        <w:tc>
          <w:tcPr>
            <w:tcW w:w="2149" w:type="dxa"/>
            <w:tcBorders>
              <w:top w:val="single" w:sz="4" w:space="0" w:color="auto"/>
              <w:left w:val="single" w:sz="4" w:space="0" w:color="auto"/>
              <w:bottom w:val="single" w:sz="4" w:space="0" w:color="auto"/>
              <w:right w:val="single" w:sz="4" w:space="0" w:color="auto"/>
            </w:tcBorders>
          </w:tcPr>
          <w:p w14:paraId="35F7C28D" w14:textId="0397AE6A"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BL ₌ 20</w:t>
            </w:r>
          </w:p>
        </w:tc>
      </w:tr>
      <w:tr w:rsidR="00307583" w:rsidRPr="00307583" w14:paraId="08A2BAEE" w14:textId="77777777" w:rsidTr="008B5BF1">
        <w:tc>
          <w:tcPr>
            <w:tcW w:w="805" w:type="dxa"/>
            <w:tcBorders>
              <w:top w:val="single" w:sz="4" w:space="0" w:color="auto"/>
              <w:left w:val="single" w:sz="4" w:space="0" w:color="auto"/>
              <w:bottom w:val="single" w:sz="4" w:space="0" w:color="auto"/>
              <w:right w:val="single" w:sz="4" w:space="0" w:color="auto"/>
            </w:tcBorders>
          </w:tcPr>
          <w:p w14:paraId="3F8AE67A" w14:textId="5CDA0283"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3.</w:t>
            </w:r>
          </w:p>
        </w:tc>
        <w:tc>
          <w:tcPr>
            <w:tcW w:w="6674" w:type="dxa"/>
            <w:tcBorders>
              <w:top w:val="single" w:sz="4" w:space="0" w:color="auto"/>
              <w:left w:val="single" w:sz="4" w:space="0" w:color="auto"/>
              <w:bottom w:val="single" w:sz="4" w:space="0" w:color="auto"/>
              <w:right w:val="single" w:sz="4" w:space="0" w:color="auto"/>
            </w:tcBorders>
          </w:tcPr>
          <w:p w14:paraId="4EB8B542" w14:textId="1CAAF8E6" w:rsidR="009B79C8" w:rsidRPr="00307583" w:rsidRDefault="009B79C8" w:rsidP="009B79C8">
            <w:pPr>
              <w:spacing w:after="0" w:line="240" w:lineRule="auto"/>
              <w:jc w:val="both"/>
              <w:rPr>
                <w:rFonts w:ascii="Times New Roman" w:hAnsi="Times New Roman" w:cs="Times New Roman"/>
                <w:sz w:val="24"/>
                <w:szCs w:val="24"/>
              </w:rPr>
            </w:pPr>
            <w:r w:rsidRPr="00307583">
              <w:rPr>
                <w:rFonts w:ascii="Times New Roman" w:hAnsi="Times New Roman"/>
                <w:b/>
                <w:bCs/>
                <w:sz w:val="24"/>
                <w:szCs w:val="24"/>
              </w:rPr>
              <w:t>Kriterijus C.</w:t>
            </w:r>
            <w:r w:rsidRPr="00307583">
              <w:rPr>
                <w:rFonts w:ascii="Times New Roman" w:hAnsi="Times New Roman"/>
                <w:sz w:val="24"/>
                <w:szCs w:val="24"/>
              </w:rPr>
              <w:t xml:space="preserve"> Tiekėjo įmonė žmonių palaikų laikino saugojimo patalpose naudoja elektrą iš atsinaujinančių energijos išteklių.*****</w:t>
            </w:r>
          </w:p>
        </w:tc>
        <w:tc>
          <w:tcPr>
            <w:tcW w:w="2149" w:type="dxa"/>
            <w:tcBorders>
              <w:top w:val="single" w:sz="4" w:space="0" w:color="auto"/>
              <w:left w:val="single" w:sz="4" w:space="0" w:color="auto"/>
              <w:bottom w:val="single" w:sz="4" w:space="0" w:color="auto"/>
              <w:right w:val="single" w:sz="4" w:space="0" w:color="auto"/>
            </w:tcBorders>
          </w:tcPr>
          <w:p w14:paraId="1F0E74C7" w14:textId="6E104E39" w:rsidR="009B79C8" w:rsidRPr="00307583" w:rsidRDefault="009B79C8" w:rsidP="009B79C8">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 xml:space="preserve">CL ₌ 20 </w:t>
            </w:r>
          </w:p>
        </w:tc>
      </w:tr>
      <w:tr w:rsidR="00697BEE" w:rsidRPr="00307583" w14:paraId="18061996" w14:textId="77777777" w:rsidTr="008B5BF1">
        <w:tc>
          <w:tcPr>
            <w:tcW w:w="805" w:type="dxa"/>
            <w:tcBorders>
              <w:top w:val="single" w:sz="4" w:space="0" w:color="auto"/>
              <w:left w:val="single" w:sz="4" w:space="0" w:color="auto"/>
              <w:bottom w:val="single" w:sz="4" w:space="0" w:color="auto"/>
              <w:right w:val="single" w:sz="4" w:space="0" w:color="auto"/>
            </w:tcBorders>
          </w:tcPr>
          <w:p w14:paraId="398E2617" w14:textId="1C00C340" w:rsidR="00697BEE" w:rsidRPr="00307583" w:rsidRDefault="00697BEE" w:rsidP="00697BEE">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t>4.</w:t>
            </w:r>
          </w:p>
        </w:tc>
        <w:tc>
          <w:tcPr>
            <w:tcW w:w="6674" w:type="dxa"/>
            <w:tcBorders>
              <w:top w:val="single" w:sz="4" w:space="0" w:color="auto"/>
              <w:left w:val="single" w:sz="4" w:space="0" w:color="auto"/>
              <w:bottom w:val="single" w:sz="4" w:space="0" w:color="auto"/>
              <w:right w:val="single" w:sz="4" w:space="0" w:color="auto"/>
            </w:tcBorders>
          </w:tcPr>
          <w:p w14:paraId="5205E4C4" w14:textId="21560481" w:rsidR="009409C1" w:rsidRPr="00307583" w:rsidRDefault="00697BEE" w:rsidP="00FF3576">
            <w:pPr>
              <w:spacing w:after="0" w:line="240" w:lineRule="auto"/>
              <w:jc w:val="both"/>
              <w:rPr>
                <w:rFonts w:asciiTheme="majorBidi" w:hAnsiTheme="majorBidi" w:cstheme="majorBidi"/>
                <w:sz w:val="24"/>
                <w:szCs w:val="24"/>
              </w:rPr>
            </w:pPr>
            <w:r w:rsidRPr="00307583">
              <w:rPr>
                <w:rFonts w:asciiTheme="majorBidi" w:hAnsiTheme="majorBidi" w:cstheme="majorBidi"/>
                <w:b/>
                <w:bCs/>
                <w:sz w:val="24"/>
                <w:szCs w:val="24"/>
                <w:lang w:eastAsia="lt-LT"/>
              </w:rPr>
              <w:t>Kriterijus D.</w:t>
            </w:r>
            <w:r w:rsidRPr="00307583">
              <w:rPr>
                <w:rFonts w:asciiTheme="majorBidi" w:hAnsiTheme="majorBidi" w:cstheme="majorBidi"/>
                <w:sz w:val="24"/>
                <w:szCs w:val="24"/>
                <w:lang w:eastAsia="lt-LT"/>
              </w:rPr>
              <w:t xml:space="preserve"> </w:t>
            </w:r>
            <w:r w:rsidR="008B5BF1" w:rsidRPr="00307583">
              <w:rPr>
                <w:rFonts w:asciiTheme="majorBidi" w:hAnsiTheme="majorBidi" w:cstheme="majorBidi"/>
                <w:sz w:val="24"/>
                <w:szCs w:val="24"/>
                <w:lang w:eastAsia="lt-LT"/>
              </w:rPr>
              <w:t>T</w:t>
            </w:r>
            <w:r w:rsidRPr="00307583">
              <w:rPr>
                <w:rFonts w:asciiTheme="majorBidi" w:hAnsiTheme="majorBidi" w:cstheme="majorBidi"/>
                <w:sz w:val="24"/>
                <w:szCs w:val="24"/>
                <w:lang w:eastAsia="lt-LT"/>
              </w:rPr>
              <w:t xml:space="preserve">ransporto priemonės, naudojamos </w:t>
            </w:r>
            <w:r w:rsidRPr="00307583">
              <w:rPr>
                <w:rFonts w:asciiTheme="majorBidi" w:hAnsiTheme="majorBidi" w:cstheme="majorBidi"/>
                <w:sz w:val="24"/>
                <w:szCs w:val="24"/>
              </w:rPr>
              <w:t>žmonių palaikų vežimui</w:t>
            </w:r>
            <w:r w:rsidR="00FF3576" w:rsidRPr="00307583">
              <w:rPr>
                <w:rFonts w:asciiTheme="majorBidi" w:hAnsiTheme="majorBidi" w:cstheme="majorBidi"/>
                <w:sz w:val="24"/>
                <w:szCs w:val="24"/>
              </w:rPr>
              <w:t xml:space="preserve">, </w:t>
            </w:r>
            <w:r w:rsidR="00FF3576" w:rsidRPr="00307583">
              <w:rPr>
                <w:rFonts w:ascii="Times New Roman" w:hAnsi="Times New Roman" w:cs="Times New Roman"/>
                <w:sz w:val="24"/>
                <w:szCs w:val="24"/>
                <w:lang w:eastAsia="lt-LT"/>
              </w:rPr>
              <w:t>išmetamas anglies dioksido (CO2) kiekis</w:t>
            </w:r>
            <w:r w:rsidR="00FF3576" w:rsidRPr="00307583">
              <w:rPr>
                <w:rFonts w:asciiTheme="majorBidi" w:hAnsiTheme="majorBidi" w:cstheme="majorBidi"/>
                <w:sz w:val="24"/>
                <w:szCs w:val="24"/>
                <w:lang w:eastAsia="lt-LT"/>
              </w:rPr>
              <w:t xml:space="preserve">,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FF3576" w:rsidRPr="00307583">
              <w:rPr>
                <w:rFonts w:ascii="Times New Roman" w:hAnsi="Times New Roman" w:cs="Times New Roman"/>
                <w:sz w:val="24"/>
                <w:szCs w:val="24"/>
                <w:lang w:eastAsia="lt-LT"/>
              </w:rPr>
              <w:t>(„Euro 5“ ir „Euro 6“) su visais pakeitimais (toliau – Reglamentas (EB) Nr. 715/2007) ir jo įgyvendinimo priemonėmis</w:t>
            </w:r>
            <w:r w:rsidR="008B5BF1" w:rsidRPr="00307583">
              <w:rPr>
                <w:rFonts w:asciiTheme="majorBidi" w:hAnsiTheme="majorBidi" w:cstheme="majorBidi"/>
                <w:sz w:val="24"/>
                <w:szCs w:val="24"/>
              </w:rPr>
              <w:t>:</w:t>
            </w:r>
            <w:r w:rsidR="008B5BF1" w:rsidRPr="00307583">
              <w:rPr>
                <w:rFonts w:ascii="Times New Roman" w:hAnsi="Times New Roman" w:cs="Times New Roman"/>
                <w:sz w:val="24"/>
                <w:szCs w:val="24"/>
                <w:lang w:eastAsia="en-GB"/>
              </w:rPr>
              <w:t>******</w:t>
            </w:r>
          </w:p>
          <w:tbl>
            <w:tblPr>
              <w:tblStyle w:val="Lentelstinklelis"/>
              <w:tblW w:w="0" w:type="auto"/>
              <w:tblLook w:val="04A0" w:firstRow="1" w:lastRow="0" w:firstColumn="1" w:lastColumn="0" w:noHBand="0" w:noVBand="1"/>
            </w:tblPr>
            <w:tblGrid>
              <w:gridCol w:w="4151"/>
              <w:gridCol w:w="2268"/>
            </w:tblGrid>
            <w:tr w:rsidR="00307583" w:rsidRPr="00307583" w14:paraId="3A15509F" w14:textId="77777777" w:rsidTr="008B5BF1">
              <w:tc>
                <w:tcPr>
                  <w:tcW w:w="6419" w:type="dxa"/>
                  <w:gridSpan w:val="2"/>
                </w:tcPr>
                <w:p w14:paraId="24D92962" w14:textId="6377D702" w:rsidR="009409C1" w:rsidRPr="00307583" w:rsidRDefault="008B5BF1" w:rsidP="00697BEE">
                  <w:pPr>
                    <w:jc w:val="both"/>
                    <w:rPr>
                      <w:rFonts w:asciiTheme="majorBidi" w:hAnsiTheme="majorBidi" w:cstheme="majorBidi"/>
                      <w:b/>
                      <w:bCs/>
                    </w:rPr>
                  </w:pPr>
                  <w:r w:rsidRPr="00307583">
                    <w:rPr>
                      <w:rFonts w:ascii="Times New Roman" w:hAnsi="Times New Roman" w:cs="Times New Roman"/>
                      <w:b/>
                      <w:bCs/>
                    </w:rPr>
                    <w:t>Lengvasis specialios paskirties automobilis (M1 kategorija)</w:t>
                  </w:r>
                </w:p>
              </w:tc>
            </w:tr>
            <w:tr w:rsidR="00307583" w:rsidRPr="00307583" w14:paraId="695EFB1B" w14:textId="77777777" w:rsidTr="008B5BF1">
              <w:tc>
                <w:tcPr>
                  <w:tcW w:w="4151" w:type="dxa"/>
                </w:tcPr>
                <w:p w14:paraId="5EC2AA31" w14:textId="5223FFBF" w:rsidR="009409C1" w:rsidRPr="00307583" w:rsidRDefault="009409C1" w:rsidP="009409C1">
                  <w:pPr>
                    <w:rPr>
                      <w:rFonts w:asciiTheme="majorBidi" w:hAnsiTheme="majorBidi" w:cstheme="majorBidi"/>
                    </w:rPr>
                  </w:pPr>
                  <w:r w:rsidRPr="00307583">
                    <w:rPr>
                      <w:rFonts w:asciiTheme="majorBidi" w:hAnsiTheme="majorBidi" w:cstheme="majorBidi"/>
                    </w:rPr>
                    <w:t>Transporto priemonės išmetamas anglies dioksido (CO2) kiekis</w:t>
                  </w:r>
                </w:p>
              </w:tc>
              <w:tc>
                <w:tcPr>
                  <w:tcW w:w="2268" w:type="dxa"/>
                </w:tcPr>
                <w:p w14:paraId="6D08101C" w14:textId="3F54F582" w:rsidR="009409C1" w:rsidRPr="00307583" w:rsidRDefault="009409C1" w:rsidP="00697BEE">
                  <w:pPr>
                    <w:jc w:val="both"/>
                    <w:rPr>
                      <w:rFonts w:asciiTheme="majorBidi" w:hAnsiTheme="majorBidi" w:cstheme="majorBidi"/>
                    </w:rPr>
                  </w:pPr>
                  <w:r w:rsidRPr="00307583">
                    <w:rPr>
                      <w:rFonts w:asciiTheme="majorBidi" w:hAnsiTheme="majorBidi" w:cstheme="majorBidi"/>
                    </w:rPr>
                    <w:t>neviršija 99 g/km</w:t>
                  </w:r>
                </w:p>
              </w:tc>
            </w:tr>
            <w:tr w:rsidR="00A857BA" w:rsidRPr="00307583" w14:paraId="5A98501E" w14:textId="77777777" w:rsidTr="008B5BF1">
              <w:tc>
                <w:tcPr>
                  <w:tcW w:w="4151" w:type="dxa"/>
                </w:tcPr>
                <w:p w14:paraId="1132D0AA" w14:textId="7738565C" w:rsidR="00A857BA" w:rsidRPr="00307583" w:rsidRDefault="00A857BA" w:rsidP="009409C1">
                  <w:pPr>
                    <w:rPr>
                      <w:rFonts w:asciiTheme="majorBidi" w:hAnsiTheme="majorBidi" w:cstheme="majorBidi"/>
                    </w:rPr>
                  </w:pPr>
                  <w:r w:rsidRPr="00A857BA">
                    <w:rPr>
                      <w:rFonts w:asciiTheme="majorBidi" w:hAnsiTheme="majorBidi" w:cstheme="majorBidi"/>
                    </w:rPr>
                    <w:t>Realiomis važiavimo sąlygomis išmetamų teršalų kiekis neviršija 80 procentų ribinės vertės (neatsižvelgiant į taikomą atitikties faktorių / matavimo metodo paklaidą), nustatytos Reglamente (EB) Nr. 715/200723</w:t>
                  </w:r>
                </w:p>
              </w:tc>
              <w:tc>
                <w:tcPr>
                  <w:tcW w:w="2268" w:type="dxa"/>
                </w:tcPr>
                <w:p w14:paraId="0D751FFC" w14:textId="1420177A" w:rsidR="00A857BA" w:rsidRPr="00A857BA" w:rsidRDefault="00A857BA" w:rsidP="00A857BA">
                  <w:pPr>
                    <w:rPr>
                      <w:rFonts w:asciiTheme="majorBidi" w:hAnsiTheme="majorBidi" w:cstheme="majorBidi"/>
                    </w:rPr>
                  </w:pPr>
                  <w:r>
                    <w:rPr>
                      <w:rFonts w:asciiTheme="majorBidi" w:hAnsiTheme="majorBidi" w:cstheme="majorBidi"/>
                    </w:rPr>
                    <w:t>n</w:t>
                  </w:r>
                  <w:r w:rsidRPr="00A857BA">
                    <w:rPr>
                      <w:rFonts w:asciiTheme="majorBidi" w:hAnsiTheme="majorBidi" w:cstheme="majorBidi"/>
                    </w:rPr>
                    <w:t>eviršija 79,20 g/km</w:t>
                  </w:r>
                </w:p>
                <w:p w14:paraId="657BD49C" w14:textId="05B0E349" w:rsidR="00A857BA" w:rsidRPr="00307583" w:rsidRDefault="00A857BA" w:rsidP="00A857BA">
                  <w:pPr>
                    <w:rPr>
                      <w:rFonts w:asciiTheme="majorBidi" w:hAnsiTheme="majorBidi" w:cstheme="majorBidi"/>
                    </w:rPr>
                  </w:pPr>
                  <w:r w:rsidRPr="00A857BA">
                    <w:rPr>
                      <w:rFonts w:asciiTheme="majorBidi" w:hAnsiTheme="majorBidi" w:cstheme="majorBidi"/>
                    </w:rPr>
                    <w:t>(</w:t>
                  </w:r>
                  <w:r>
                    <w:rPr>
                      <w:rFonts w:asciiTheme="majorBidi" w:hAnsiTheme="majorBidi" w:cstheme="majorBidi"/>
                    </w:rPr>
                    <w:t xml:space="preserve">99 g/km </w:t>
                  </w:r>
                  <w:r w:rsidRPr="00A857BA">
                    <w:rPr>
                      <w:rFonts w:asciiTheme="majorBidi" w:hAnsiTheme="majorBidi" w:cstheme="majorBidi"/>
                    </w:rPr>
                    <w:t>reikšmė padauginama iš 0,8)</w:t>
                  </w:r>
                </w:p>
              </w:tc>
            </w:tr>
            <w:tr w:rsidR="00307583" w:rsidRPr="00307583" w14:paraId="6C956F28" w14:textId="77777777" w:rsidTr="008B5BF1">
              <w:tc>
                <w:tcPr>
                  <w:tcW w:w="6419" w:type="dxa"/>
                  <w:gridSpan w:val="2"/>
                </w:tcPr>
                <w:p w14:paraId="70E3C1F9" w14:textId="29012720" w:rsidR="008B5BF1" w:rsidRPr="00307583" w:rsidRDefault="008B5BF1" w:rsidP="009409C1">
                  <w:pPr>
                    <w:rPr>
                      <w:rFonts w:asciiTheme="majorBidi" w:hAnsiTheme="majorBidi" w:cstheme="majorBidi"/>
                      <w:b/>
                      <w:bCs/>
                    </w:rPr>
                  </w:pPr>
                  <w:r w:rsidRPr="00307583">
                    <w:rPr>
                      <w:rFonts w:asciiTheme="majorBidi" w:hAnsiTheme="majorBidi" w:cstheme="majorBidi"/>
                      <w:b/>
                      <w:bCs/>
                    </w:rPr>
                    <w:t>Lengvasis specialios paskirties automobilis (N1 kategorija), kurio etaloninė masė neviršija 1760 kg, varomas dyzelinu</w:t>
                  </w:r>
                </w:p>
              </w:tc>
            </w:tr>
            <w:tr w:rsidR="00307583" w:rsidRPr="00307583" w14:paraId="4402F82A" w14:textId="77777777" w:rsidTr="008B5BF1">
              <w:tc>
                <w:tcPr>
                  <w:tcW w:w="4151" w:type="dxa"/>
                </w:tcPr>
                <w:p w14:paraId="314EF5B8" w14:textId="57FC8489" w:rsidR="008B5BF1" w:rsidRPr="00307583" w:rsidRDefault="008B5BF1" w:rsidP="009409C1">
                  <w:pPr>
                    <w:rPr>
                      <w:rFonts w:asciiTheme="majorBidi" w:hAnsiTheme="majorBidi" w:cstheme="majorBidi"/>
                    </w:rPr>
                  </w:pPr>
                  <w:r w:rsidRPr="00307583">
                    <w:rPr>
                      <w:rFonts w:asciiTheme="majorBidi" w:hAnsiTheme="majorBidi" w:cstheme="majorBidi"/>
                    </w:rPr>
                    <w:t>transporto priemonės išmetamas anglies dioksido (CO2) kiekis</w:t>
                  </w:r>
                </w:p>
              </w:tc>
              <w:tc>
                <w:tcPr>
                  <w:tcW w:w="2268" w:type="dxa"/>
                </w:tcPr>
                <w:p w14:paraId="3D356225" w14:textId="6C6D43AB" w:rsidR="008B5BF1" w:rsidRPr="00307583" w:rsidRDefault="008B5BF1" w:rsidP="009409C1">
                  <w:pPr>
                    <w:rPr>
                      <w:rFonts w:asciiTheme="majorBidi" w:hAnsiTheme="majorBidi" w:cstheme="majorBidi"/>
                    </w:rPr>
                  </w:pPr>
                  <w:r w:rsidRPr="00307583">
                    <w:rPr>
                      <w:rFonts w:asciiTheme="majorBidi" w:hAnsiTheme="majorBidi" w:cstheme="majorBidi"/>
                    </w:rPr>
                    <w:t>neviršija 113 g/km</w:t>
                  </w:r>
                </w:p>
              </w:tc>
            </w:tr>
            <w:tr w:rsidR="00A857BA" w:rsidRPr="00307583" w14:paraId="17096FB8" w14:textId="77777777" w:rsidTr="008B5BF1">
              <w:tc>
                <w:tcPr>
                  <w:tcW w:w="4151" w:type="dxa"/>
                </w:tcPr>
                <w:p w14:paraId="6063B68D" w14:textId="555C43B7" w:rsidR="00A857BA" w:rsidRPr="00307583" w:rsidRDefault="00A857BA" w:rsidP="009409C1">
                  <w:pPr>
                    <w:rPr>
                      <w:rFonts w:asciiTheme="majorBidi" w:hAnsiTheme="majorBidi" w:cstheme="majorBidi"/>
                    </w:rPr>
                  </w:pPr>
                  <w:r w:rsidRPr="00A857BA">
                    <w:rPr>
                      <w:rFonts w:asciiTheme="majorBidi" w:hAnsiTheme="majorBidi" w:cstheme="majorBidi"/>
                    </w:rPr>
                    <w:t xml:space="preserve">Realiomis važiavimo sąlygomis išmetamų </w:t>
                  </w:r>
                  <w:r w:rsidRPr="00A857BA">
                    <w:rPr>
                      <w:rFonts w:asciiTheme="majorBidi" w:hAnsiTheme="majorBidi" w:cstheme="majorBidi"/>
                    </w:rPr>
                    <w:lastRenderedPageBreak/>
                    <w:t>teršalų kiekis neviršija 80 procentų ribinės vertės (neatsižvelgiant į taikomą atitikties faktorių / matavimo metodo paklaidą), nustatytos Reglamente (EB) Nr. 715/200723</w:t>
                  </w:r>
                </w:p>
              </w:tc>
              <w:tc>
                <w:tcPr>
                  <w:tcW w:w="2268" w:type="dxa"/>
                </w:tcPr>
                <w:p w14:paraId="0442AAE9" w14:textId="0E9179A8" w:rsidR="00A857BA" w:rsidRPr="00A857BA" w:rsidRDefault="00A857BA" w:rsidP="00A857BA">
                  <w:pPr>
                    <w:rPr>
                      <w:rFonts w:asciiTheme="majorBidi" w:hAnsiTheme="majorBidi" w:cstheme="majorBidi"/>
                    </w:rPr>
                  </w:pPr>
                  <w:r>
                    <w:rPr>
                      <w:rFonts w:asciiTheme="majorBidi" w:hAnsiTheme="majorBidi" w:cstheme="majorBidi"/>
                    </w:rPr>
                    <w:lastRenderedPageBreak/>
                    <w:t>n</w:t>
                  </w:r>
                  <w:r w:rsidRPr="00A857BA">
                    <w:rPr>
                      <w:rFonts w:asciiTheme="majorBidi" w:hAnsiTheme="majorBidi" w:cstheme="majorBidi"/>
                    </w:rPr>
                    <w:t>eviršija 90</w:t>
                  </w:r>
                  <w:r>
                    <w:rPr>
                      <w:rFonts w:asciiTheme="majorBidi" w:hAnsiTheme="majorBidi" w:cstheme="majorBidi"/>
                    </w:rPr>
                    <w:t>,</w:t>
                  </w:r>
                  <w:r w:rsidRPr="00A857BA">
                    <w:rPr>
                      <w:rFonts w:asciiTheme="majorBidi" w:hAnsiTheme="majorBidi" w:cstheme="majorBidi"/>
                    </w:rPr>
                    <w:t>40 g/km</w:t>
                  </w:r>
                </w:p>
                <w:p w14:paraId="6C5F1730" w14:textId="09367728" w:rsidR="00A857BA" w:rsidRPr="00307583" w:rsidRDefault="00A857BA" w:rsidP="00A857BA">
                  <w:pPr>
                    <w:rPr>
                      <w:rFonts w:asciiTheme="majorBidi" w:hAnsiTheme="majorBidi" w:cstheme="majorBidi"/>
                    </w:rPr>
                  </w:pPr>
                  <w:r w:rsidRPr="00A857BA">
                    <w:rPr>
                      <w:rFonts w:asciiTheme="majorBidi" w:hAnsiTheme="majorBidi" w:cstheme="majorBidi"/>
                    </w:rPr>
                    <w:lastRenderedPageBreak/>
                    <w:t>(</w:t>
                  </w:r>
                  <w:r>
                    <w:rPr>
                      <w:rFonts w:asciiTheme="majorBidi" w:hAnsiTheme="majorBidi" w:cstheme="majorBidi"/>
                    </w:rPr>
                    <w:t>113 g/km</w:t>
                  </w:r>
                  <w:r w:rsidRPr="00A857BA">
                    <w:rPr>
                      <w:rFonts w:asciiTheme="majorBidi" w:hAnsiTheme="majorBidi" w:cstheme="majorBidi"/>
                    </w:rPr>
                    <w:t xml:space="preserve"> reikšmė padauginama iš 0,8)</w:t>
                  </w:r>
                </w:p>
              </w:tc>
            </w:tr>
            <w:tr w:rsidR="00307583" w:rsidRPr="00307583" w14:paraId="73AA3ADC" w14:textId="77777777" w:rsidTr="008B5BF1">
              <w:tc>
                <w:tcPr>
                  <w:tcW w:w="6419" w:type="dxa"/>
                  <w:gridSpan w:val="2"/>
                </w:tcPr>
                <w:p w14:paraId="572CFB1C" w14:textId="03BA5C31" w:rsidR="008B5BF1" w:rsidRPr="00307583" w:rsidRDefault="008B5BF1" w:rsidP="009409C1">
                  <w:pPr>
                    <w:rPr>
                      <w:rFonts w:asciiTheme="majorBidi" w:hAnsiTheme="majorBidi" w:cstheme="majorBidi"/>
                      <w:b/>
                      <w:bCs/>
                    </w:rPr>
                  </w:pPr>
                  <w:r w:rsidRPr="00307583">
                    <w:rPr>
                      <w:rFonts w:asciiTheme="majorBidi" w:hAnsiTheme="majorBidi" w:cstheme="majorBidi"/>
                      <w:b/>
                      <w:bCs/>
                    </w:rPr>
                    <w:lastRenderedPageBreak/>
                    <w:t>Lengvasis specialios paskirties automobilis (N1 kategorija), kurio etaloninė masė neviršija 1760 kg, varomas kitu kuru</w:t>
                  </w:r>
                </w:p>
              </w:tc>
            </w:tr>
            <w:tr w:rsidR="00307583" w:rsidRPr="00307583" w14:paraId="2939C4CE" w14:textId="77777777" w:rsidTr="008B5BF1">
              <w:tc>
                <w:tcPr>
                  <w:tcW w:w="4151" w:type="dxa"/>
                </w:tcPr>
                <w:p w14:paraId="625ABFB6" w14:textId="6D68AEAB" w:rsidR="008B5BF1" w:rsidRPr="00307583" w:rsidRDefault="008B5BF1" w:rsidP="008B5BF1">
                  <w:pPr>
                    <w:rPr>
                      <w:rFonts w:asciiTheme="majorBidi" w:hAnsiTheme="majorBidi" w:cstheme="majorBidi"/>
                    </w:rPr>
                  </w:pPr>
                  <w:r w:rsidRPr="00307583">
                    <w:rPr>
                      <w:rFonts w:asciiTheme="majorBidi" w:hAnsiTheme="majorBidi" w:cstheme="majorBidi"/>
                    </w:rPr>
                    <w:t>transporto priemonės išmetamas anglies dioksido (CO2) kiekis</w:t>
                  </w:r>
                </w:p>
              </w:tc>
              <w:tc>
                <w:tcPr>
                  <w:tcW w:w="2268" w:type="dxa"/>
                </w:tcPr>
                <w:p w14:paraId="4E799444" w14:textId="088A54A9" w:rsidR="008B5BF1" w:rsidRPr="00307583" w:rsidRDefault="008B5BF1" w:rsidP="008B5BF1">
                  <w:pPr>
                    <w:rPr>
                      <w:rFonts w:asciiTheme="majorBidi" w:hAnsiTheme="majorBidi" w:cstheme="majorBidi"/>
                    </w:rPr>
                  </w:pPr>
                  <w:r w:rsidRPr="00307583">
                    <w:rPr>
                      <w:rFonts w:asciiTheme="majorBidi" w:hAnsiTheme="majorBidi" w:cstheme="majorBidi"/>
                    </w:rPr>
                    <w:t>neviršija 131 g/km</w:t>
                  </w:r>
                </w:p>
              </w:tc>
            </w:tr>
            <w:tr w:rsidR="00A857BA" w:rsidRPr="00307583" w14:paraId="01D90197" w14:textId="77777777" w:rsidTr="008B5BF1">
              <w:tc>
                <w:tcPr>
                  <w:tcW w:w="4151" w:type="dxa"/>
                </w:tcPr>
                <w:p w14:paraId="262099F6" w14:textId="61B83A33" w:rsidR="00A857BA" w:rsidRPr="00307583" w:rsidRDefault="00A857BA" w:rsidP="008B5BF1">
                  <w:pPr>
                    <w:rPr>
                      <w:rFonts w:asciiTheme="majorBidi" w:hAnsiTheme="majorBidi" w:cstheme="majorBidi"/>
                    </w:rPr>
                  </w:pPr>
                  <w:r w:rsidRPr="00A857BA">
                    <w:rPr>
                      <w:rFonts w:asciiTheme="majorBidi" w:hAnsiTheme="majorBidi" w:cstheme="majorBidi"/>
                    </w:rPr>
                    <w:t>Realiomis važiavimo sąlygomis išmetamų teršalų kiekis neviršija 80 procentų ribinės vertės (neatsižvelgiant į taikomą atitikties faktorių / matavimo metodo paklaidą), nustatytos Reglamente (EB) Nr. 715/200723</w:t>
                  </w:r>
                </w:p>
              </w:tc>
              <w:tc>
                <w:tcPr>
                  <w:tcW w:w="2268" w:type="dxa"/>
                </w:tcPr>
                <w:p w14:paraId="686838D1" w14:textId="2579D2D2" w:rsidR="00A857BA" w:rsidRPr="00A857BA" w:rsidRDefault="00A857BA" w:rsidP="00A857BA">
                  <w:pPr>
                    <w:rPr>
                      <w:rFonts w:asciiTheme="majorBidi" w:hAnsiTheme="majorBidi" w:cstheme="majorBidi"/>
                    </w:rPr>
                  </w:pPr>
                  <w:r>
                    <w:rPr>
                      <w:rFonts w:asciiTheme="majorBidi" w:hAnsiTheme="majorBidi" w:cstheme="majorBidi"/>
                    </w:rPr>
                    <w:t>n</w:t>
                  </w:r>
                  <w:r w:rsidRPr="00A857BA">
                    <w:rPr>
                      <w:rFonts w:asciiTheme="majorBidi" w:hAnsiTheme="majorBidi" w:cstheme="majorBidi"/>
                    </w:rPr>
                    <w:t>eviršija 104,80 g/km</w:t>
                  </w:r>
                </w:p>
                <w:p w14:paraId="4BBF3820" w14:textId="4817A46F" w:rsidR="00A857BA" w:rsidRPr="00307583" w:rsidRDefault="00A857BA" w:rsidP="00A857BA">
                  <w:pPr>
                    <w:rPr>
                      <w:rFonts w:asciiTheme="majorBidi" w:hAnsiTheme="majorBidi" w:cstheme="majorBidi"/>
                    </w:rPr>
                  </w:pPr>
                  <w:r w:rsidRPr="00A857BA">
                    <w:rPr>
                      <w:rFonts w:asciiTheme="majorBidi" w:hAnsiTheme="majorBidi" w:cstheme="majorBidi"/>
                    </w:rPr>
                    <w:t>(</w:t>
                  </w:r>
                  <w:r>
                    <w:rPr>
                      <w:rFonts w:asciiTheme="majorBidi" w:hAnsiTheme="majorBidi" w:cstheme="majorBidi"/>
                    </w:rPr>
                    <w:t>1</w:t>
                  </w:r>
                  <w:r w:rsidR="0063798C">
                    <w:rPr>
                      <w:rFonts w:asciiTheme="majorBidi" w:hAnsiTheme="majorBidi" w:cstheme="majorBidi"/>
                    </w:rPr>
                    <w:t>31</w:t>
                  </w:r>
                  <w:r w:rsidRPr="00A857BA">
                    <w:rPr>
                      <w:rFonts w:asciiTheme="majorBidi" w:hAnsiTheme="majorBidi" w:cstheme="majorBidi"/>
                    </w:rPr>
                    <w:t xml:space="preserve"> </w:t>
                  </w:r>
                  <w:r w:rsidR="001E1B0C">
                    <w:rPr>
                      <w:rFonts w:asciiTheme="majorBidi" w:hAnsiTheme="majorBidi" w:cstheme="majorBidi"/>
                    </w:rPr>
                    <w:t xml:space="preserve">g/km </w:t>
                  </w:r>
                  <w:r w:rsidRPr="00A857BA">
                    <w:rPr>
                      <w:rFonts w:asciiTheme="majorBidi" w:hAnsiTheme="majorBidi" w:cstheme="majorBidi"/>
                    </w:rPr>
                    <w:t>reikšmė padauginama iš 0,8)</w:t>
                  </w:r>
                </w:p>
              </w:tc>
            </w:tr>
            <w:tr w:rsidR="00307583" w:rsidRPr="00307583" w14:paraId="4639F6DD" w14:textId="77777777" w:rsidTr="008B5BF1">
              <w:tc>
                <w:tcPr>
                  <w:tcW w:w="6419" w:type="dxa"/>
                  <w:gridSpan w:val="2"/>
                </w:tcPr>
                <w:p w14:paraId="6556990A" w14:textId="00617A8D" w:rsidR="008B5BF1" w:rsidRPr="00307583" w:rsidRDefault="008B5BF1" w:rsidP="008B5BF1">
                  <w:pPr>
                    <w:rPr>
                      <w:rFonts w:asciiTheme="majorBidi" w:hAnsiTheme="majorBidi" w:cstheme="majorBidi"/>
                      <w:b/>
                      <w:bCs/>
                    </w:rPr>
                  </w:pPr>
                  <w:r w:rsidRPr="00307583">
                    <w:rPr>
                      <w:rFonts w:asciiTheme="majorBidi" w:hAnsiTheme="majorBidi" w:cstheme="majorBidi"/>
                      <w:b/>
                      <w:bCs/>
                    </w:rPr>
                    <w:t>Lengvasis specialios paskirties automobilis (N1 kategorija), kurio etaloninė masė viršija 1760 kg</w:t>
                  </w:r>
                </w:p>
              </w:tc>
            </w:tr>
            <w:tr w:rsidR="00307583" w:rsidRPr="00307583" w14:paraId="18732333" w14:textId="77777777" w:rsidTr="008B5BF1">
              <w:tc>
                <w:tcPr>
                  <w:tcW w:w="4151" w:type="dxa"/>
                </w:tcPr>
                <w:p w14:paraId="2D78730F" w14:textId="578AB814" w:rsidR="008B5BF1" w:rsidRPr="00307583" w:rsidRDefault="008B5BF1" w:rsidP="008B5BF1">
                  <w:pPr>
                    <w:rPr>
                      <w:rFonts w:asciiTheme="majorBidi" w:hAnsiTheme="majorBidi" w:cstheme="majorBidi"/>
                    </w:rPr>
                  </w:pPr>
                  <w:r w:rsidRPr="00307583">
                    <w:rPr>
                      <w:rFonts w:asciiTheme="majorBidi" w:hAnsiTheme="majorBidi" w:cstheme="majorBidi"/>
                    </w:rPr>
                    <w:t>transporto priemonės išmetamas anglies dioksido (CO2) kiekis</w:t>
                  </w:r>
                </w:p>
              </w:tc>
              <w:tc>
                <w:tcPr>
                  <w:tcW w:w="2268" w:type="dxa"/>
                </w:tcPr>
                <w:p w14:paraId="00E2D0DB" w14:textId="5D910F69" w:rsidR="008B5BF1" w:rsidRPr="00307583" w:rsidRDefault="008B5BF1" w:rsidP="008B5BF1">
                  <w:pPr>
                    <w:rPr>
                      <w:rFonts w:asciiTheme="majorBidi" w:hAnsiTheme="majorBidi" w:cstheme="majorBidi"/>
                    </w:rPr>
                  </w:pPr>
                  <w:r w:rsidRPr="00307583">
                    <w:rPr>
                      <w:rFonts w:asciiTheme="majorBidi" w:hAnsiTheme="majorBidi" w:cstheme="majorBidi"/>
                    </w:rPr>
                    <w:t>neviršija 153 g/km</w:t>
                  </w:r>
                </w:p>
              </w:tc>
            </w:tr>
            <w:tr w:rsidR="00A857BA" w:rsidRPr="00307583" w14:paraId="5E84F856" w14:textId="77777777" w:rsidTr="008B5BF1">
              <w:tc>
                <w:tcPr>
                  <w:tcW w:w="4151" w:type="dxa"/>
                </w:tcPr>
                <w:p w14:paraId="6BA74ABE" w14:textId="59A221F2" w:rsidR="00A857BA" w:rsidRPr="00307583" w:rsidRDefault="00A857BA" w:rsidP="008B5BF1">
                  <w:pPr>
                    <w:rPr>
                      <w:rFonts w:asciiTheme="majorBidi" w:hAnsiTheme="majorBidi" w:cstheme="majorBidi"/>
                    </w:rPr>
                  </w:pPr>
                  <w:r w:rsidRPr="00A857BA">
                    <w:rPr>
                      <w:rFonts w:asciiTheme="majorBidi" w:hAnsiTheme="majorBidi" w:cstheme="majorBidi"/>
                    </w:rPr>
                    <w:t>Realiomis važiavimo sąlygomis išmetamų teršalų kiekis neviršija 80 procentų ribinės vertės (neatsižvelgiant į taikomą atitikties faktorių / matavimo metodo paklaidą), nustatytos Reglamente (EB) Nr. 715/200723</w:t>
                  </w:r>
                </w:p>
              </w:tc>
              <w:tc>
                <w:tcPr>
                  <w:tcW w:w="2268" w:type="dxa"/>
                </w:tcPr>
                <w:p w14:paraId="04C0BD8F" w14:textId="7FBFC84E" w:rsidR="00A857BA" w:rsidRPr="00A857BA" w:rsidRDefault="00A857BA" w:rsidP="00A857BA">
                  <w:pPr>
                    <w:rPr>
                      <w:rFonts w:asciiTheme="majorBidi" w:hAnsiTheme="majorBidi" w:cstheme="majorBidi"/>
                    </w:rPr>
                  </w:pPr>
                  <w:r>
                    <w:rPr>
                      <w:rFonts w:asciiTheme="majorBidi" w:hAnsiTheme="majorBidi" w:cstheme="majorBidi"/>
                    </w:rPr>
                    <w:t>n</w:t>
                  </w:r>
                  <w:r w:rsidRPr="00A857BA">
                    <w:rPr>
                      <w:rFonts w:asciiTheme="majorBidi" w:hAnsiTheme="majorBidi" w:cstheme="majorBidi"/>
                    </w:rPr>
                    <w:t>eviršija 1</w:t>
                  </w:r>
                  <w:r w:rsidR="0063798C">
                    <w:rPr>
                      <w:rFonts w:asciiTheme="majorBidi" w:hAnsiTheme="majorBidi" w:cstheme="majorBidi"/>
                    </w:rPr>
                    <w:t>22,40</w:t>
                  </w:r>
                  <w:r w:rsidRPr="00A857BA">
                    <w:rPr>
                      <w:rFonts w:asciiTheme="majorBidi" w:hAnsiTheme="majorBidi" w:cstheme="majorBidi"/>
                    </w:rPr>
                    <w:t xml:space="preserve"> g/km</w:t>
                  </w:r>
                </w:p>
                <w:p w14:paraId="0BEB5768" w14:textId="76152A10" w:rsidR="00A857BA" w:rsidRPr="00307583" w:rsidRDefault="00A857BA" w:rsidP="00A857BA">
                  <w:pPr>
                    <w:rPr>
                      <w:rFonts w:asciiTheme="majorBidi" w:hAnsiTheme="majorBidi" w:cstheme="majorBidi"/>
                    </w:rPr>
                  </w:pPr>
                  <w:r w:rsidRPr="00A857BA">
                    <w:rPr>
                      <w:rFonts w:asciiTheme="majorBidi" w:hAnsiTheme="majorBidi" w:cstheme="majorBidi"/>
                    </w:rPr>
                    <w:t>(</w:t>
                  </w:r>
                  <w:r>
                    <w:rPr>
                      <w:rFonts w:asciiTheme="majorBidi" w:hAnsiTheme="majorBidi" w:cstheme="majorBidi"/>
                    </w:rPr>
                    <w:t>1</w:t>
                  </w:r>
                  <w:r w:rsidR="0063798C">
                    <w:rPr>
                      <w:rFonts w:asciiTheme="majorBidi" w:hAnsiTheme="majorBidi" w:cstheme="majorBidi"/>
                    </w:rPr>
                    <w:t>53</w:t>
                  </w:r>
                  <w:r w:rsidRPr="00A857BA">
                    <w:rPr>
                      <w:rFonts w:asciiTheme="majorBidi" w:hAnsiTheme="majorBidi" w:cstheme="majorBidi"/>
                    </w:rPr>
                    <w:t xml:space="preserve"> </w:t>
                  </w:r>
                  <w:r w:rsidR="001E1B0C">
                    <w:rPr>
                      <w:rFonts w:asciiTheme="majorBidi" w:hAnsiTheme="majorBidi" w:cstheme="majorBidi"/>
                    </w:rPr>
                    <w:t xml:space="preserve">g/km </w:t>
                  </w:r>
                  <w:r w:rsidRPr="00A857BA">
                    <w:rPr>
                      <w:rFonts w:asciiTheme="majorBidi" w:hAnsiTheme="majorBidi" w:cstheme="majorBidi"/>
                    </w:rPr>
                    <w:t>reikšmė padauginama iš 0,8)</w:t>
                  </w:r>
                </w:p>
              </w:tc>
            </w:tr>
          </w:tbl>
          <w:p w14:paraId="1D581A92" w14:textId="3BFD2D90" w:rsidR="00697BEE" w:rsidRPr="00307583" w:rsidRDefault="00697BEE" w:rsidP="00697BEE">
            <w:pPr>
              <w:spacing w:after="0" w:line="240" w:lineRule="auto"/>
              <w:jc w:val="both"/>
              <w:rPr>
                <w:rFonts w:asciiTheme="majorBidi" w:hAnsiTheme="majorBidi" w:cstheme="majorBidi"/>
                <w:sz w:val="24"/>
                <w:szCs w:val="24"/>
              </w:rPr>
            </w:pPr>
          </w:p>
        </w:tc>
        <w:tc>
          <w:tcPr>
            <w:tcW w:w="2149" w:type="dxa"/>
            <w:tcBorders>
              <w:top w:val="single" w:sz="4" w:space="0" w:color="auto"/>
              <w:left w:val="single" w:sz="4" w:space="0" w:color="auto"/>
              <w:bottom w:val="single" w:sz="4" w:space="0" w:color="auto"/>
              <w:right w:val="single" w:sz="4" w:space="0" w:color="auto"/>
            </w:tcBorders>
          </w:tcPr>
          <w:p w14:paraId="16465BAA" w14:textId="77777777" w:rsidR="00697BEE" w:rsidRPr="00307583" w:rsidRDefault="00697BEE" w:rsidP="00697BEE">
            <w:pPr>
              <w:spacing w:after="0" w:line="240" w:lineRule="auto"/>
              <w:ind w:right="100"/>
              <w:rPr>
                <w:rFonts w:ascii="Times New Roman" w:hAnsi="Times New Roman" w:cs="Times New Roman"/>
                <w:sz w:val="24"/>
                <w:szCs w:val="24"/>
              </w:rPr>
            </w:pPr>
            <w:r w:rsidRPr="00307583">
              <w:rPr>
                <w:rFonts w:ascii="Times New Roman" w:hAnsi="Times New Roman" w:cs="Times New Roman"/>
                <w:sz w:val="24"/>
                <w:szCs w:val="24"/>
              </w:rPr>
              <w:lastRenderedPageBreak/>
              <w:t>DL ₌ 30</w:t>
            </w:r>
          </w:p>
          <w:p w14:paraId="78D49B86" w14:textId="77777777" w:rsidR="009409C1" w:rsidRPr="00307583" w:rsidRDefault="009409C1" w:rsidP="00697BEE">
            <w:pPr>
              <w:spacing w:after="0" w:line="240" w:lineRule="auto"/>
              <w:ind w:right="100"/>
              <w:rPr>
                <w:rFonts w:ascii="Times New Roman" w:hAnsi="Times New Roman" w:cs="Times New Roman"/>
                <w:sz w:val="24"/>
                <w:szCs w:val="24"/>
              </w:rPr>
            </w:pPr>
          </w:p>
          <w:p w14:paraId="58002130" w14:textId="20C4D90F" w:rsidR="009409C1" w:rsidRPr="00307583" w:rsidRDefault="009409C1" w:rsidP="00697BEE">
            <w:pPr>
              <w:spacing w:after="0" w:line="240" w:lineRule="auto"/>
              <w:ind w:right="100"/>
              <w:rPr>
                <w:rFonts w:ascii="Times New Roman" w:hAnsi="Times New Roman" w:cs="Times New Roman"/>
                <w:sz w:val="24"/>
                <w:szCs w:val="24"/>
              </w:rPr>
            </w:pPr>
          </w:p>
        </w:tc>
      </w:tr>
    </w:tbl>
    <w:p w14:paraId="13CB6B85" w14:textId="77777777" w:rsidR="00346454" w:rsidRPr="00307583" w:rsidRDefault="00346454" w:rsidP="00D901E5">
      <w:pPr>
        <w:spacing w:after="0" w:line="240" w:lineRule="auto"/>
        <w:jc w:val="both"/>
        <w:rPr>
          <w:rFonts w:ascii="Times New Roman" w:hAnsi="Times New Roman" w:cs="Times New Roman"/>
          <w:sz w:val="24"/>
          <w:szCs w:val="24"/>
        </w:rPr>
      </w:pPr>
    </w:p>
    <w:p w14:paraId="50988FCA" w14:textId="4F9149DC" w:rsidR="00E26F25" w:rsidRPr="0063798C" w:rsidRDefault="00E26F25" w:rsidP="00D901E5">
      <w:pPr>
        <w:spacing w:after="0" w:line="240" w:lineRule="auto"/>
        <w:jc w:val="both"/>
        <w:rPr>
          <w:rFonts w:ascii="Times New Roman" w:hAnsi="Times New Roman" w:cs="Times New Roman"/>
          <w:color w:val="000000" w:themeColor="text1"/>
          <w:sz w:val="24"/>
          <w:szCs w:val="24"/>
        </w:rPr>
      </w:pPr>
      <w:r w:rsidRPr="0063798C">
        <w:rPr>
          <w:rFonts w:ascii="Times New Roman" w:hAnsi="Times New Roman" w:cs="Times New Roman"/>
          <w:color w:val="000000" w:themeColor="text1"/>
          <w:sz w:val="24"/>
          <w:szCs w:val="24"/>
        </w:rPr>
        <w:t>* reagavimo laikas -  tai laikas</w:t>
      </w:r>
      <w:r w:rsidR="00346454" w:rsidRPr="0063798C">
        <w:rPr>
          <w:rFonts w:ascii="Times New Roman" w:hAnsi="Times New Roman" w:cs="Times New Roman"/>
          <w:color w:val="000000" w:themeColor="text1"/>
          <w:sz w:val="24"/>
          <w:szCs w:val="24"/>
        </w:rPr>
        <w:t>,</w:t>
      </w:r>
      <w:r w:rsidRPr="0063798C">
        <w:rPr>
          <w:rFonts w:ascii="Times New Roman" w:hAnsi="Times New Roman" w:cs="Times New Roman"/>
          <w:color w:val="000000" w:themeColor="text1"/>
          <w:sz w:val="24"/>
          <w:szCs w:val="24"/>
        </w:rPr>
        <w:t xml:space="preserve"> per kurį tiekėjas</w:t>
      </w:r>
      <w:r w:rsidR="00346454" w:rsidRPr="0063798C">
        <w:rPr>
          <w:rFonts w:ascii="Times New Roman" w:hAnsi="Times New Roman" w:cs="Times New Roman"/>
          <w:color w:val="000000" w:themeColor="text1"/>
          <w:sz w:val="24"/>
          <w:szCs w:val="24"/>
        </w:rPr>
        <w:t>,</w:t>
      </w:r>
      <w:r w:rsidRPr="0063798C">
        <w:rPr>
          <w:rFonts w:ascii="Times New Roman" w:hAnsi="Times New Roman" w:cs="Times New Roman"/>
          <w:color w:val="000000" w:themeColor="text1"/>
          <w:sz w:val="24"/>
          <w:szCs w:val="24"/>
        </w:rPr>
        <w:t xml:space="preserve"> gavęs pranešimą atvyksta paimti žmogaus palaikų.</w:t>
      </w:r>
    </w:p>
    <w:p w14:paraId="7C887C7A" w14:textId="77777777" w:rsidR="0039472C" w:rsidRPr="0063798C" w:rsidRDefault="0039472C" w:rsidP="00D901E5">
      <w:pPr>
        <w:spacing w:after="0" w:line="240" w:lineRule="auto"/>
        <w:jc w:val="both"/>
        <w:rPr>
          <w:rFonts w:ascii="Times New Roman" w:hAnsi="Times New Roman" w:cs="Times New Roman"/>
          <w:color w:val="000000" w:themeColor="text1"/>
          <w:sz w:val="24"/>
          <w:szCs w:val="24"/>
        </w:rPr>
      </w:pPr>
    </w:p>
    <w:p w14:paraId="72DAB731" w14:textId="42753B39" w:rsidR="00912CE3" w:rsidRPr="0063798C" w:rsidRDefault="00912CE3" w:rsidP="00D901E5">
      <w:pPr>
        <w:spacing w:after="0" w:line="240" w:lineRule="auto"/>
        <w:jc w:val="both"/>
        <w:rPr>
          <w:rFonts w:ascii="Times New Roman" w:hAnsi="Times New Roman" w:cs="Times New Roman"/>
          <w:color w:val="000000" w:themeColor="text1"/>
          <w:sz w:val="24"/>
          <w:szCs w:val="24"/>
        </w:rPr>
      </w:pPr>
      <w:r w:rsidRPr="0063798C">
        <w:rPr>
          <w:rFonts w:ascii="Times New Roman" w:hAnsi="Times New Roman" w:cs="Times New Roman"/>
          <w:color w:val="000000" w:themeColor="text1"/>
          <w:sz w:val="24"/>
          <w:szCs w:val="24"/>
        </w:rPr>
        <w:t>** produktų sąr</w:t>
      </w:r>
      <w:r w:rsidR="00FD249C" w:rsidRPr="0063798C">
        <w:rPr>
          <w:rFonts w:ascii="Times New Roman" w:hAnsi="Times New Roman" w:cs="Times New Roman"/>
          <w:color w:val="000000" w:themeColor="text1"/>
          <w:sz w:val="24"/>
          <w:szCs w:val="24"/>
        </w:rPr>
        <w:t>a</w:t>
      </w:r>
      <w:r w:rsidRPr="0063798C">
        <w:rPr>
          <w:rFonts w:ascii="Times New Roman" w:hAnsi="Times New Roman" w:cs="Times New Roman"/>
          <w:color w:val="000000" w:themeColor="text1"/>
          <w:sz w:val="24"/>
          <w:szCs w:val="24"/>
        </w:rPr>
        <w:t>šas patvirtintas Lietuvos Respublikos aplinkos ministro 2011</w:t>
      </w:r>
      <w:r w:rsidRPr="0063798C">
        <w:rPr>
          <w:rFonts w:ascii="Times New Roman" w:eastAsia="Tahoma" w:hAnsi="Times New Roman" w:cs="Times New Roman"/>
          <w:color w:val="000000" w:themeColor="text1"/>
          <w:sz w:val="24"/>
          <w:szCs w:val="24"/>
        </w:rPr>
        <w:t> </w:t>
      </w:r>
      <w:r w:rsidRPr="0063798C">
        <w:rPr>
          <w:rFonts w:ascii="Times New Roman" w:hAnsi="Times New Roman" w:cs="Times New Roman"/>
          <w:color w:val="000000" w:themeColor="text1"/>
          <w:sz w:val="24"/>
          <w:szCs w:val="24"/>
        </w:rPr>
        <w:t>m. birželio 28</w:t>
      </w:r>
      <w:r w:rsidRPr="0063798C">
        <w:rPr>
          <w:rFonts w:ascii="Times New Roman" w:eastAsia="Tahoma" w:hAnsi="Times New Roman" w:cs="Times New Roman"/>
          <w:color w:val="000000" w:themeColor="text1"/>
          <w:sz w:val="24"/>
          <w:szCs w:val="24"/>
        </w:rPr>
        <w:t> </w:t>
      </w:r>
      <w:r w:rsidRPr="0063798C">
        <w:rPr>
          <w:rFonts w:ascii="Times New Roman" w:hAnsi="Times New Roman" w:cs="Times New Roman"/>
          <w:color w:val="000000" w:themeColor="text1"/>
          <w:sz w:val="24"/>
          <w:szCs w:val="24"/>
        </w:rPr>
        <w:t>d. įsakymu Nr. D1</w:t>
      </w:r>
      <w:r w:rsidRPr="0063798C">
        <w:rPr>
          <w:rFonts w:ascii="Times New Roman" w:eastAsia="Andale Sans UI" w:hAnsi="Times New Roman" w:cs="Times New Roman"/>
          <w:color w:val="000000" w:themeColor="text1"/>
          <w:sz w:val="24"/>
          <w:szCs w:val="24"/>
          <w:lang w:bidi="en-US"/>
        </w:rPr>
        <w:t>–</w:t>
      </w:r>
      <w:r w:rsidRPr="0063798C">
        <w:rPr>
          <w:rFonts w:ascii="Times New Roman" w:hAnsi="Times New Roman" w:cs="Times New Roman"/>
          <w:color w:val="000000" w:themeColor="text1"/>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F12FE9" w:rsidRPr="0063798C">
        <w:rPr>
          <w:rFonts w:ascii="Times New Roman" w:hAnsi="Times New Roman" w:cs="Times New Roman"/>
          <w:color w:val="000000" w:themeColor="text1"/>
          <w:sz w:val="24"/>
          <w:szCs w:val="24"/>
        </w:rPr>
        <w:t>, https://www.e-tar</w:t>
      </w:r>
      <w:r w:rsidR="00FD249C" w:rsidRPr="0063798C">
        <w:rPr>
          <w:rFonts w:ascii="Times New Roman" w:hAnsi="Times New Roman" w:cs="Times New Roman"/>
          <w:color w:val="000000" w:themeColor="text1"/>
          <w:sz w:val="24"/>
          <w:szCs w:val="24"/>
        </w:rPr>
        <w:t>.lt/portal/lt/legalAct/TAR.</w:t>
      </w:r>
      <w:r w:rsidR="00FD249C" w:rsidRPr="0063798C">
        <w:rPr>
          <w:rFonts w:ascii="Times New Roman" w:hAnsi="Times New Roman" w:cs="Times New Roman"/>
          <w:color w:val="000000" w:themeColor="text1"/>
        </w:rPr>
        <w:t xml:space="preserve"> </w:t>
      </w:r>
      <w:r w:rsidR="00FD249C" w:rsidRPr="0063798C">
        <w:rPr>
          <w:rFonts w:ascii="Times New Roman" w:hAnsi="Times New Roman" w:cs="Times New Roman"/>
          <w:color w:val="000000" w:themeColor="text1"/>
          <w:sz w:val="24"/>
          <w:szCs w:val="24"/>
        </w:rPr>
        <w:t>4B60A8C9678B/asr .</w:t>
      </w:r>
    </w:p>
    <w:p w14:paraId="0CC78DD9" w14:textId="77777777" w:rsidR="00D84048" w:rsidRPr="0063798C" w:rsidRDefault="00D84048" w:rsidP="00D901E5">
      <w:pPr>
        <w:spacing w:after="0" w:line="240" w:lineRule="auto"/>
        <w:jc w:val="both"/>
        <w:rPr>
          <w:rFonts w:ascii="Times New Roman" w:hAnsi="Times New Roman" w:cs="Times New Roman"/>
          <w:color w:val="000000" w:themeColor="text1"/>
          <w:sz w:val="24"/>
          <w:szCs w:val="24"/>
        </w:rPr>
      </w:pPr>
    </w:p>
    <w:p w14:paraId="06CCF69F" w14:textId="328E00F5" w:rsidR="006E64BC" w:rsidRPr="0063798C" w:rsidRDefault="00E26F25" w:rsidP="00D84048">
      <w:pPr>
        <w:spacing w:after="0" w:line="240" w:lineRule="auto"/>
        <w:jc w:val="both"/>
        <w:rPr>
          <w:rFonts w:ascii="Times New Roman" w:hAnsi="Times New Roman" w:cs="Times New Roman"/>
          <w:color w:val="000000" w:themeColor="text1"/>
          <w:sz w:val="24"/>
          <w:szCs w:val="24"/>
        </w:rPr>
      </w:pPr>
      <w:r w:rsidRPr="0063798C">
        <w:rPr>
          <w:rFonts w:ascii="Times New Roman" w:hAnsi="Times New Roman" w:cs="Times New Roman"/>
          <w:color w:val="000000" w:themeColor="text1"/>
          <w:sz w:val="24"/>
          <w:szCs w:val="24"/>
        </w:rPr>
        <w:t>*</w:t>
      </w:r>
      <w:r w:rsidR="00BD60C5" w:rsidRPr="0063798C">
        <w:rPr>
          <w:rFonts w:ascii="Times New Roman" w:hAnsi="Times New Roman" w:cs="Times New Roman"/>
          <w:color w:val="000000" w:themeColor="text1"/>
          <w:sz w:val="24"/>
          <w:szCs w:val="24"/>
        </w:rPr>
        <w:t>*</w:t>
      </w:r>
      <w:r w:rsidR="0090592A" w:rsidRPr="0063798C">
        <w:rPr>
          <w:rFonts w:ascii="Times New Roman" w:hAnsi="Times New Roman" w:cs="Times New Roman"/>
          <w:color w:val="000000" w:themeColor="text1"/>
          <w:sz w:val="24"/>
          <w:szCs w:val="24"/>
        </w:rPr>
        <w:t>*</w:t>
      </w:r>
      <w:r w:rsidRPr="0063798C">
        <w:rPr>
          <w:rFonts w:ascii="Times New Roman" w:hAnsi="Times New Roman" w:cs="Times New Roman"/>
          <w:color w:val="000000" w:themeColor="text1"/>
          <w:sz w:val="24"/>
          <w:szCs w:val="24"/>
        </w:rPr>
        <w:t xml:space="preserve"> </w:t>
      </w:r>
      <w:r w:rsidR="00BD60C5" w:rsidRPr="0063798C">
        <w:rPr>
          <w:rFonts w:ascii="Times New Roman" w:hAnsi="Times New Roman" w:cs="Times New Roman"/>
          <w:color w:val="000000" w:themeColor="text1"/>
          <w:sz w:val="24"/>
          <w:szCs w:val="24"/>
        </w:rPr>
        <w:t>I tipo ekologinio ženklo pavyzdžiai</w:t>
      </w:r>
      <w:r w:rsidR="00EA0ACB" w:rsidRPr="0063798C">
        <w:rPr>
          <w:rFonts w:ascii="Times New Roman" w:hAnsi="Times New Roman" w:cs="Times New Roman"/>
          <w:color w:val="000000" w:themeColor="text1"/>
          <w:sz w:val="24"/>
          <w:szCs w:val="24"/>
        </w:rPr>
        <w:t xml:space="preserve">: </w:t>
      </w:r>
      <w:r w:rsidR="00D84048" w:rsidRPr="0063798C">
        <w:rPr>
          <w:rFonts w:ascii="Times New Roman" w:hAnsi="Times New Roman" w:cs="Times New Roman"/>
          <w:color w:val="000000" w:themeColor="text1"/>
          <w:sz w:val="24"/>
          <w:szCs w:val="24"/>
        </w:rPr>
        <w:t xml:space="preserve">EU Ecolabel, Nordic Swan, Blue Angel, El Distintiu, Milieukeur, Österreichisches Umweltzeichen, NF Environnement, The Hungarian Eco-label, Polish Eco Mark-Znak EKO arba kitu I tipo ekologiniu ženklu) </w:t>
      </w:r>
      <w:r w:rsidR="00431BFE" w:rsidRPr="0063798C">
        <w:rPr>
          <w:rFonts w:ascii="Times New Roman" w:hAnsi="Times New Roman" w:cs="Times New Roman"/>
          <w:color w:val="000000" w:themeColor="text1"/>
          <w:sz w:val="24"/>
          <w:szCs w:val="24"/>
        </w:rPr>
        <w:t>arba kitas ekologinis ženklas.</w:t>
      </w:r>
    </w:p>
    <w:p w14:paraId="7E85A882" w14:textId="77777777" w:rsidR="00D84048" w:rsidRPr="0063798C" w:rsidRDefault="00D84048" w:rsidP="00D84048">
      <w:pPr>
        <w:spacing w:after="0" w:line="240" w:lineRule="auto"/>
        <w:jc w:val="both"/>
        <w:rPr>
          <w:rFonts w:ascii="Times New Roman" w:hAnsi="Times New Roman" w:cs="Times New Roman"/>
          <w:color w:val="000000" w:themeColor="text1"/>
          <w:sz w:val="24"/>
          <w:szCs w:val="24"/>
        </w:rPr>
      </w:pPr>
    </w:p>
    <w:p w14:paraId="4086108F" w14:textId="34C93C7F" w:rsidR="00D901E5" w:rsidRPr="0063798C" w:rsidRDefault="005B31BA" w:rsidP="00D84048">
      <w:pPr>
        <w:spacing w:after="0" w:line="240" w:lineRule="auto"/>
        <w:jc w:val="both"/>
        <w:rPr>
          <w:rFonts w:ascii="Times New Roman" w:hAnsi="Times New Roman" w:cs="Times New Roman"/>
          <w:color w:val="000000" w:themeColor="text1"/>
          <w:sz w:val="24"/>
          <w:szCs w:val="24"/>
          <w:shd w:val="clear" w:color="auto" w:fill="FFFFFF"/>
        </w:rPr>
      </w:pPr>
      <w:r w:rsidRPr="0063798C">
        <w:rPr>
          <w:rFonts w:ascii="Times New Roman" w:hAnsi="Times New Roman" w:cs="Times New Roman"/>
          <w:color w:val="000000" w:themeColor="text1"/>
          <w:sz w:val="24"/>
          <w:szCs w:val="24"/>
        </w:rPr>
        <w:t>****</w:t>
      </w:r>
      <w:r w:rsidR="00D901E5" w:rsidRPr="0063798C">
        <w:rPr>
          <w:rFonts w:ascii="Times New Roman" w:hAnsi="Times New Roman" w:cs="Times New Roman"/>
          <w:color w:val="000000" w:themeColor="text1"/>
          <w:sz w:val="24"/>
          <w:szCs w:val="24"/>
        </w:rPr>
        <w:t xml:space="preserve"> </w:t>
      </w:r>
      <w:r w:rsidR="00D901E5" w:rsidRPr="0063798C">
        <w:rPr>
          <w:rFonts w:ascii="Times New Roman" w:hAnsi="Times New Roman" w:cs="Times New Roman"/>
          <w:color w:val="000000" w:themeColor="text1"/>
          <w:sz w:val="24"/>
          <w:szCs w:val="24"/>
          <w:lang w:val="lt"/>
        </w:rPr>
        <w:t xml:space="preserve">tiekėjo pateiktas lygiavertis įrodymas - </w:t>
      </w:r>
      <w:r w:rsidR="00D901E5" w:rsidRPr="0063798C">
        <w:rPr>
          <w:rFonts w:ascii="Times New Roman" w:hAnsi="Times New Roman" w:cs="Times New Roman"/>
          <w:color w:val="000000" w:themeColor="text1"/>
          <w:sz w:val="24"/>
          <w:szCs w:val="24"/>
        </w:rPr>
        <w:t xml:space="preserve">tiekėjas atitiktį Kriterijui B gali įrodinėti bet kokiomis patikimomis oficialiomis priemonėmis (pvz., </w:t>
      </w:r>
      <w:r w:rsidR="00D901E5" w:rsidRPr="0063798C">
        <w:rPr>
          <w:rFonts w:ascii="Times New Roman" w:hAnsi="Times New Roman" w:cs="Times New Roman"/>
          <w:color w:val="000000" w:themeColor="text1"/>
          <w:sz w:val="24"/>
          <w:szCs w:val="24"/>
          <w:shd w:val="clear" w:color="auto" w:fill="FFFFFF"/>
        </w:rPr>
        <w:t>saugos duomenų lapai, gamintojo techniniai dokumentai, laboratorinių tyrimų patvirtinimai arba kiti lygiaverčiai įrodymai).</w:t>
      </w:r>
    </w:p>
    <w:p w14:paraId="238F6B6F" w14:textId="77777777" w:rsidR="00D84048" w:rsidRPr="0063798C" w:rsidRDefault="00D84048" w:rsidP="00D84048">
      <w:pPr>
        <w:spacing w:after="0" w:line="240" w:lineRule="auto"/>
        <w:jc w:val="both"/>
        <w:rPr>
          <w:rFonts w:ascii="Times New Roman" w:hAnsi="Times New Roman" w:cs="Times New Roman"/>
          <w:color w:val="000000" w:themeColor="text1"/>
          <w:sz w:val="24"/>
          <w:szCs w:val="24"/>
          <w:shd w:val="clear" w:color="auto" w:fill="FFFFFF"/>
        </w:rPr>
      </w:pPr>
    </w:p>
    <w:p w14:paraId="48773747" w14:textId="0E8D19C3" w:rsidR="00431BFE" w:rsidRPr="0063798C" w:rsidRDefault="009420AF" w:rsidP="00D84048">
      <w:pPr>
        <w:spacing w:after="0" w:line="240" w:lineRule="auto"/>
        <w:jc w:val="both"/>
        <w:rPr>
          <w:rFonts w:ascii="Times New Roman" w:hAnsi="Times New Roman" w:cs="Times New Roman"/>
          <w:color w:val="000000" w:themeColor="text1"/>
          <w:sz w:val="24"/>
          <w:szCs w:val="24"/>
        </w:rPr>
      </w:pPr>
      <w:r w:rsidRPr="0063798C">
        <w:rPr>
          <w:rFonts w:ascii="Times New Roman" w:hAnsi="Times New Roman" w:cs="Times New Roman"/>
          <w:color w:val="000000" w:themeColor="text1"/>
          <w:sz w:val="24"/>
          <w:szCs w:val="24"/>
        </w:rPr>
        <w:t>**</w:t>
      </w:r>
      <w:r w:rsidR="00E26F25" w:rsidRPr="0063798C">
        <w:rPr>
          <w:rFonts w:ascii="Times New Roman" w:hAnsi="Times New Roman" w:cs="Times New Roman"/>
          <w:color w:val="000000" w:themeColor="text1"/>
          <w:sz w:val="24"/>
          <w:szCs w:val="24"/>
        </w:rPr>
        <w:t>*</w:t>
      </w:r>
      <w:r w:rsidR="00D901E5" w:rsidRPr="0063798C">
        <w:rPr>
          <w:rFonts w:ascii="Times New Roman" w:hAnsi="Times New Roman" w:cs="Times New Roman"/>
          <w:color w:val="000000" w:themeColor="text1"/>
          <w:sz w:val="24"/>
          <w:szCs w:val="24"/>
        </w:rPr>
        <w:t>**</w:t>
      </w:r>
      <w:r w:rsidR="00A6777D" w:rsidRPr="0063798C">
        <w:rPr>
          <w:rFonts w:ascii="Times New Roman" w:hAnsi="Times New Roman" w:cs="Times New Roman"/>
          <w:color w:val="000000" w:themeColor="text1"/>
          <w:sz w:val="24"/>
          <w:szCs w:val="24"/>
        </w:rPr>
        <w:t xml:space="preserve"> Atitiktį reikalavimams įrodantys dokumentai: žaliosios elektros energijos sertifikatas „Žalia lietuviška energija“, arba „Žalia energija“</w:t>
      </w:r>
      <w:r w:rsidR="00E64E15" w:rsidRPr="0063798C">
        <w:rPr>
          <w:rFonts w:ascii="Times New Roman" w:hAnsi="Times New Roman" w:cs="Times New Roman"/>
          <w:color w:val="000000" w:themeColor="text1"/>
          <w:sz w:val="24"/>
          <w:szCs w:val="24"/>
        </w:rPr>
        <w:t>, arba „Green Choice“ arba Baltic Green Energy“, arba kitas lygiavertis įrodymas.</w:t>
      </w:r>
    </w:p>
    <w:p w14:paraId="56220C41" w14:textId="77777777" w:rsidR="0039472C" w:rsidRPr="0063798C" w:rsidRDefault="0039472C" w:rsidP="00D84048">
      <w:pPr>
        <w:spacing w:after="0" w:line="240" w:lineRule="auto"/>
        <w:jc w:val="both"/>
        <w:rPr>
          <w:rFonts w:ascii="Times New Roman" w:hAnsi="Times New Roman" w:cs="Times New Roman"/>
          <w:color w:val="000000" w:themeColor="text1"/>
          <w:sz w:val="24"/>
          <w:szCs w:val="24"/>
        </w:rPr>
      </w:pPr>
    </w:p>
    <w:p w14:paraId="3B71429D" w14:textId="24CF7215" w:rsidR="00D96C10" w:rsidRPr="0063798C" w:rsidRDefault="00D96C10" w:rsidP="00D84048">
      <w:pPr>
        <w:pStyle w:val="Pagrindinistekstas"/>
        <w:tabs>
          <w:tab w:val="left" w:pos="0"/>
        </w:tabs>
        <w:rPr>
          <w:color w:val="000000" w:themeColor="text1"/>
          <w:sz w:val="24"/>
          <w:szCs w:val="24"/>
        </w:rPr>
      </w:pPr>
      <w:r w:rsidRPr="0063798C">
        <w:rPr>
          <w:color w:val="000000" w:themeColor="text1"/>
          <w:sz w:val="24"/>
          <w:szCs w:val="24"/>
        </w:rPr>
        <w:t>***</w:t>
      </w:r>
      <w:r w:rsidR="00E26F25" w:rsidRPr="0063798C">
        <w:rPr>
          <w:color w:val="000000" w:themeColor="text1"/>
          <w:sz w:val="24"/>
          <w:szCs w:val="24"/>
        </w:rPr>
        <w:t>*</w:t>
      </w:r>
      <w:r w:rsidR="00454B3E" w:rsidRPr="0063798C">
        <w:rPr>
          <w:color w:val="000000" w:themeColor="text1"/>
          <w:sz w:val="24"/>
          <w:szCs w:val="24"/>
        </w:rPr>
        <w:t>**</w:t>
      </w:r>
      <w:r w:rsidRPr="0063798C">
        <w:rPr>
          <w:color w:val="000000" w:themeColor="text1"/>
          <w:sz w:val="24"/>
          <w:szCs w:val="24"/>
        </w:rPr>
        <w:t xml:space="preserve"> </w:t>
      </w:r>
      <w:r w:rsidRPr="0063798C">
        <w:rPr>
          <w:color w:val="000000" w:themeColor="text1"/>
          <w:sz w:val="24"/>
          <w:szCs w:val="24"/>
          <w:lang w:eastAsia="en-GB"/>
        </w:rPr>
        <w:t>Atitiktį reikalavimams įrodantys dokumentai:</w:t>
      </w:r>
      <w:r w:rsidR="0072716F" w:rsidRPr="0063798C">
        <w:rPr>
          <w:color w:val="000000" w:themeColor="text1"/>
          <w:sz w:val="24"/>
          <w:szCs w:val="24"/>
          <w:lang w:eastAsia="en-GB"/>
        </w:rPr>
        <w:t xml:space="preserve"> gamintojo techniniai dokumentai (transporto priemonės tipo patvirtinimo dokumentai) arba tiekėjo deklaracija, arba kiti lygiaverčiai įrodymai.</w:t>
      </w:r>
    </w:p>
    <w:p w14:paraId="521AA5EC" w14:textId="77777777" w:rsidR="0072716F" w:rsidRPr="00307583" w:rsidRDefault="0072716F" w:rsidP="00D84048">
      <w:pPr>
        <w:pStyle w:val="Pagrindinistekstas"/>
        <w:tabs>
          <w:tab w:val="left" w:pos="0"/>
        </w:tabs>
        <w:rPr>
          <w:sz w:val="24"/>
          <w:szCs w:val="24"/>
        </w:rPr>
      </w:pPr>
    </w:p>
    <w:p w14:paraId="6284D65A" w14:textId="34E70350" w:rsidR="00DA10FA" w:rsidRPr="00307583" w:rsidRDefault="00DA10FA" w:rsidP="00D901E5">
      <w:pPr>
        <w:pStyle w:val="Pagrindinistekstas"/>
        <w:tabs>
          <w:tab w:val="left" w:pos="0"/>
        </w:tabs>
        <w:rPr>
          <w:sz w:val="24"/>
          <w:szCs w:val="24"/>
        </w:rPr>
      </w:pPr>
      <w:r w:rsidRPr="00307583">
        <w:rPr>
          <w:sz w:val="24"/>
          <w:szCs w:val="24"/>
        </w:rPr>
        <w:t xml:space="preserve">3. Kiekvieno pasiūlymo Ekonominio naudingumo balas (S) apskaičiuojamas sudedant </w:t>
      </w:r>
      <w:r w:rsidR="00054C41" w:rsidRPr="00307583">
        <w:rPr>
          <w:sz w:val="24"/>
          <w:szCs w:val="24"/>
        </w:rPr>
        <w:t>keturių</w:t>
      </w:r>
      <w:r w:rsidRPr="00307583">
        <w:rPr>
          <w:sz w:val="24"/>
          <w:szCs w:val="24"/>
        </w:rPr>
        <w:t xml:space="preserve"> kriterijų balus:</w:t>
      </w:r>
    </w:p>
    <w:p w14:paraId="3253D51E" w14:textId="77777777" w:rsidR="00E87526" w:rsidRPr="00307583" w:rsidRDefault="00E87526" w:rsidP="00DA10FA">
      <w:pPr>
        <w:pStyle w:val="Pagrindinistekstas"/>
        <w:tabs>
          <w:tab w:val="left" w:pos="0"/>
        </w:tabs>
        <w:rPr>
          <w:sz w:val="24"/>
          <w:szCs w:val="24"/>
        </w:rPr>
      </w:pPr>
    </w:p>
    <w:p w14:paraId="4FE31A5F" w14:textId="53E6C38B" w:rsidR="0094241F" w:rsidRPr="00307583" w:rsidRDefault="00DA10FA" w:rsidP="00E87526">
      <w:pPr>
        <w:spacing w:after="0" w:line="240" w:lineRule="auto"/>
        <w:jc w:val="center"/>
        <w:rPr>
          <w:rFonts w:ascii="Times New Roman" w:hAnsi="Times New Roman" w:cs="Times New Roman"/>
          <w:iCs/>
          <w:sz w:val="24"/>
          <w:szCs w:val="24"/>
        </w:rPr>
      </w:pPr>
      <w:r w:rsidRPr="00307583">
        <w:rPr>
          <w:rFonts w:ascii="Times New Roman" w:hAnsi="Times New Roman" w:cs="Times New Roman"/>
          <w:iCs/>
          <w:sz w:val="24"/>
          <w:szCs w:val="24"/>
        </w:rPr>
        <w:t>S= A + B</w:t>
      </w:r>
      <w:r w:rsidR="00207293" w:rsidRPr="00307583">
        <w:rPr>
          <w:rFonts w:ascii="Times New Roman" w:hAnsi="Times New Roman" w:cs="Times New Roman"/>
          <w:iCs/>
          <w:sz w:val="24"/>
          <w:szCs w:val="24"/>
        </w:rPr>
        <w:t xml:space="preserve"> + C + D</w:t>
      </w:r>
    </w:p>
    <w:p w14:paraId="54887121" w14:textId="77777777" w:rsidR="00E87526" w:rsidRPr="00307583" w:rsidRDefault="00E87526" w:rsidP="004C37D4">
      <w:pPr>
        <w:spacing w:after="0" w:line="240" w:lineRule="auto"/>
        <w:jc w:val="both"/>
        <w:rPr>
          <w:rFonts w:ascii="Times New Roman" w:hAnsi="Times New Roman" w:cs="Times New Roman"/>
          <w:sz w:val="24"/>
          <w:szCs w:val="24"/>
        </w:rPr>
      </w:pPr>
    </w:p>
    <w:p w14:paraId="4BC59AD1" w14:textId="5523ABF3" w:rsidR="004C37D4" w:rsidRPr="00307583" w:rsidRDefault="00DA10FA" w:rsidP="004C37D4">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t>4. Laimi tiekėjo pasiūlymas, kurio Ekonominio naudingumo balas (S) yra didžiausias.</w:t>
      </w:r>
    </w:p>
    <w:p w14:paraId="406D0D10" w14:textId="0BFC658E" w:rsidR="004C37D4" w:rsidRPr="00307583" w:rsidRDefault="00DA10FA" w:rsidP="004C37D4">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lastRenderedPageBreak/>
        <w:t xml:space="preserve">5. </w:t>
      </w:r>
      <w:r w:rsidR="004C37D4" w:rsidRPr="00307583">
        <w:rPr>
          <w:rFonts w:ascii="Times New Roman" w:hAnsi="Times New Roman" w:cs="Times New Roman"/>
          <w:sz w:val="24"/>
          <w:szCs w:val="24"/>
        </w:rPr>
        <w:t>Jeigu tiekėjas pasiūlyme nenurodo (nepasirenka) kriterijaus reikšmės, laikoma, kad kriterijui yra suteikiama nulis balų.</w:t>
      </w:r>
    </w:p>
    <w:p w14:paraId="007A8778" w14:textId="4A62F15F" w:rsidR="00E87526" w:rsidRPr="00307583" w:rsidRDefault="004C37D4" w:rsidP="00E87526">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t>6. Jei A</w:t>
      </w:r>
      <w:r w:rsidR="003D78D4" w:rsidRPr="00307583">
        <w:rPr>
          <w:rFonts w:ascii="Times New Roman" w:hAnsi="Times New Roman" w:cs="Times New Roman"/>
          <w:sz w:val="24"/>
          <w:szCs w:val="24"/>
        </w:rPr>
        <w:t xml:space="preserve">, </w:t>
      </w:r>
      <w:r w:rsidRPr="00307583">
        <w:rPr>
          <w:rFonts w:ascii="Times New Roman" w:hAnsi="Times New Roman" w:cs="Times New Roman"/>
          <w:sz w:val="24"/>
          <w:szCs w:val="24"/>
        </w:rPr>
        <w:t>B</w:t>
      </w:r>
      <w:r w:rsidR="003D78D4" w:rsidRPr="00307583">
        <w:rPr>
          <w:rFonts w:ascii="Times New Roman" w:hAnsi="Times New Roman" w:cs="Times New Roman"/>
          <w:sz w:val="24"/>
          <w:szCs w:val="24"/>
        </w:rPr>
        <w:t>, C, D</w:t>
      </w:r>
      <w:r w:rsidRPr="00307583">
        <w:rPr>
          <w:rFonts w:ascii="Times New Roman" w:hAnsi="Times New Roman" w:cs="Times New Roman"/>
          <w:sz w:val="24"/>
          <w:szCs w:val="24"/>
        </w:rPr>
        <w:t xml:space="preserve"> kriterijų balų suma yra lygi nuliui, toks pasiūlymas atmetamas.</w:t>
      </w:r>
    </w:p>
    <w:p w14:paraId="4B079DAB" w14:textId="5346CE8B" w:rsidR="00E87526" w:rsidRPr="00307583" w:rsidRDefault="004C37D4" w:rsidP="00E87526">
      <w:pPr>
        <w:spacing w:after="0" w:line="240" w:lineRule="auto"/>
        <w:jc w:val="both"/>
        <w:rPr>
          <w:rFonts w:ascii="Times New Roman" w:hAnsi="Times New Roman" w:cs="Times New Roman"/>
          <w:sz w:val="24"/>
          <w:szCs w:val="24"/>
        </w:rPr>
      </w:pPr>
      <w:r w:rsidRPr="00307583">
        <w:rPr>
          <w:rFonts w:ascii="Times New Roman" w:hAnsi="Times New Roman" w:cs="Times New Roman"/>
          <w:sz w:val="24"/>
          <w:szCs w:val="24"/>
        </w:rPr>
        <w:t xml:space="preserve">7. </w:t>
      </w:r>
      <w:r w:rsidR="00471CAB" w:rsidRPr="00307583">
        <w:rPr>
          <w:rFonts w:ascii="Times New Roman" w:hAnsi="Times New Roman" w:cs="Times New Roman"/>
          <w:sz w:val="24"/>
          <w:szCs w:val="24"/>
        </w:rPr>
        <w:t xml:space="preserve">Pirmojo kriterijaus A </w:t>
      </w:r>
      <w:r w:rsidR="00E87526" w:rsidRPr="00307583">
        <w:rPr>
          <w:rFonts w:ascii="Times New Roman" w:hAnsi="Times New Roman" w:cs="Times New Roman"/>
          <w:sz w:val="24"/>
          <w:szCs w:val="24"/>
        </w:rPr>
        <w:t>(</w:t>
      </w:r>
      <w:r w:rsidR="00B37188" w:rsidRPr="00307583">
        <w:rPr>
          <w:rFonts w:ascii="Times New Roman" w:hAnsi="Times New Roman" w:cs="Times New Roman"/>
          <w:sz w:val="24"/>
          <w:szCs w:val="24"/>
        </w:rPr>
        <w:t>į</w:t>
      </w:r>
      <w:r w:rsidR="00471CAB" w:rsidRPr="00307583">
        <w:rPr>
          <w:rFonts w:ascii="Times New Roman" w:hAnsi="Times New Roman" w:cs="Times New Roman"/>
          <w:sz w:val="24"/>
          <w:szCs w:val="24"/>
        </w:rPr>
        <w:t xml:space="preserve"> pranešimą dėl žmogaus palaikų gabenimo reagavimo</w:t>
      </w:r>
      <w:r w:rsidR="0078250D" w:rsidRPr="00307583">
        <w:rPr>
          <w:rFonts w:ascii="Times New Roman" w:hAnsi="Times New Roman" w:cs="Times New Roman"/>
          <w:sz w:val="24"/>
          <w:szCs w:val="24"/>
        </w:rPr>
        <w:t xml:space="preserve"> </w:t>
      </w:r>
      <w:r w:rsidR="00471CAB" w:rsidRPr="00307583">
        <w:rPr>
          <w:rFonts w:ascii="Times New Roman" w:hAnsi="Times New Roman" w:cs="Times New Roman"/>
          <w:sz w:val="24"/>
          <w:szCs w:val="24"/>
        </w:rPr>
        <w:t>laikas</w:t>
      </w:r>
      <w:r w:rsidR="00E87526" w:rsidRPr="00307583">
        <w:rPr>
          <w:rFonts w:ascii="Times New Roman" w:hAnsi="Times New Roman" w:cs="Times New Roman"/>
          <w:sz w:val="24"/>
          <w:szCs w:val="24"/>
        </w:rPr>
        <w:t>)</w:t>
      </w:r>
      <w:r w:rsidR="00471CAB" w:rsidRPr="00307583">
        <w:rPr>
          <w:rFonts w:ascii="Times New Roman" w:hAnsi="Times New Roman" w:cs="Times New Roman"/>
          <w:sz w:val="24"/>
          <w:szCs w:val="24"/>
        </w:rPr>
        <w:t xml:space="preserve"> balai apskaičiuojami vertinamo pasiūlymo kriterijaus reikšmės (A</w:t>
      </w:r>
      <w:r w:rsidR="00471CAB" w:rsidRPr="00307583">
        <w:rPr>
          <w:rFonts w:ascii="Times New Roman" w:hAnsi="Times New Roman" w:cs="Times New Roman"/>
          <w:sz w:val="24"/>
          <w:szCs w:val="24"/>
          <w:vertAlign w:val="subscript"/>
        </w:rPr>
        <w:t>p</w:t>
      </w:r>
      <w:r w:rsidR="00471CAB" w:rsidRPr="00307583">
        <w:rPr>
          <w:rFonts w:ascii="Times New Roman" w:hAnsi="Times New Roman" w:cs="Times New Roman"/>
          <w:sz w:val="24"/>
          <w:szCs w:val="24"/>
        </w:rPr>
        <w:t xml:space="preserve">) </w:t>
      </w:r>
      <w:r w:rsidR="00E87526" w:rsidRPr="00307583">
        <w:rPr>
          <w:rFonts w:ascii="Times New Roman" w:hAnsi="Times New Roman" w:cs="Times New Roman"/>
          <w:sz w:val="24"/>
          <w:szCs w:val="24"/>
        </w:rPr>
        <w:t>ir kriterijaus geriausios įvertinimo reikšmės tarp visų vertinamų pasiūlymų (A</w:t>
      </w:r>
      <w:r w:rsidR="00E87526" w:rsidRPr="00307583">
        <w:rPr>
          <w:rFonts w:ascii="Times New Roman" w:hAnsi="Times New Roman" w:cs="Times New Roman"/>
          <w:sz w:val="24"/>
          <w:szCs w:val="24"/>
          <w:vertAlign w:val="subscript"/>
        </w:rPr>
        <w:t>max</w:t>
      </w:r>
      <w:r w:rsidR="00E87526" w:rsidRPr="00307583">
        <w:rPr>
          <w:rFonts w:ascii="Times New Roman" w:hAnsi="Times New Roman" w:cs="Times New Roman"/>
          <w:sz w:val="24"/>
          <w:szCs w:val="24"/>
        </w:rPr>
        <w:t>) santykį padauginant iš kriterijaus lyginamojo svorio (AL):</w:t>
      </w:r>
    </w:p>
    <w:p w14:paraId="68D47D98" w14:textId="7E387C83" w:rsidR="004C37D4" w:rsidRPr="00307583" w:rsidRDefault="004C37D4" w:rsidP="004C37D4">
      <w:pPr>
        <w:spacing w:after="0" w:line="240" w:lineRule="auto"/>
        <w:jc w:val="both"/>
        <w:rPr>
          <w:rFonts w:ascii="Times New Roman" w:hAnsi="Times New Roman" w:cs="Times New Roman"/>
          <w:sz w:val="24"/>
          <w:szCs w:val="24"/>
        </w:rPr>
      </w:pPr>
    </w:p>
    <w:p w14:paraId="4380C66F" w14:textId="0BAB0FCE" w:rsidR="00DA10FA" w:rsidRPr="00307583" w:rsidRDefault="00E87526" w:rsidP="006E64BC">
      <w:pPr>
        <w:spacing w:after="0" w:line="24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m:t>A=</m:t>
          </m:r>
          <m:f>
            <m:fPr>
              <m:ctrlPr>
                <w:rPr>
                  <w:rFonts w:ascii="Cambria Math" w:hAnsi="Cambria Math" w:cs="Times New Roman"/>
                  <w:iCs/>
                  <w:kern w:val="24"/>
                  <w:sz w:val="24"/>
                  <w:szCs w:val="24"/>
                </w:rPr>
              </m:ctrlPr>
            </m:fPr>
            <m:num>
              <m:sSub>
                <m:sSubPr>
                  <m:ctrlPr>
                    <w:rPr>
                      <w:rFonts w:ascii="Cambria Math" w:hAnsi="Cambria Math" w:cs="Times New Roman"/>
                      <w:iCs/>
                      <w:kern w:val="24"/>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p</m:t>
                  </m:r>
                </m:sub>
              </m:sSub>
            </m:num>
            <m:den>
              <m:sSub>
                <m:sSubPr>
                  <m:ctrlPr>
                    <w:rPr>
                      <w:rFonts w:ascii="Cambria Math" w:hAnsi="Cambria Math" w:cs="Times New Roman"/>
                      <w:iCs/>
                      <w:kern w:val="24"/>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max</m:t>
                  </m:r>
                </m:sub>
              </m:sSub>
            </m:den>
          </m:f>
          <m:r>
            <m:rPr>
              <m:sty m:val="p"/>
            </m:rPr>
            <w:rPr>
              <w:rFonts w:ascii="Cambria Math" w:hAnsi="Cambria Math" w:cs="Times New Roman"/>
              <w:sz w:val="24"/>
              <w:szCs w:val="24"/>
            </w:rPr>
            <m:t>∙AL</m:t>
          </m:r>
        </m:oMath>
      </m:oMathPara>
    </w:p>
    <w:p w14:paraId="0CAB2DF1" w14:textId="77777777" w:rsidR="00986974" w:rsidRPr="00307583" w:rsidRDefault="00986974" w:rsidP="006E64BC">
      <w:pPr>
        <w:spacing w:after="0" w:line="240" w:lineRule="auto"/>
        <w:jc w:val="both"/>
        <w:rPr>
          <w:rFonts w:ascii="Times New Roman" w:hAnsi="Times New Roman" w:cs="Times New Roman"/>
          <w:sz w:val="24"/>
          <w:szCs w:val="24"/>
        </w:rPr>
      </w:pPr>
    </w:p>
    <w:p w14:paraId="35D8973D" w14:textId="57B1C7D3" w:rsidR="00B37188" w:rsidRPr="00307583" w:rsidRDefault="00E87526" w:rsidP="00B37188">
      <w:pPr>
        <w:pStyle w:val="1stlevelheading"/>
        <w:ind w:right="-1"/>
        <w:rPr>
          <w:rFonts w:ascii="Times New Roman" w:hAnsi="Times New Roman"/>
        </w:rPr>
      </w:pPr>
      <w:r w:rsidRPr="00307583">
        <w:rPr>
          <w:rFonts w:ascii="Times New Roman" w:hAnsi="Times New Roman"/>
        </w:rPr>
        <w:t xml:space="preserve">8. </w:t>
      </w:r>
      <w:r w:rsidRPr="00307583">
        <w:rPr>
          <w:rFonts w:ascii="Times New Roman" w:eastAsia="Times New Roman" w:hAnsi="Times New Roman"/>
        </w:rPr>
        <w:t>Antrojo kriterijaus B (</w:t>
      </w:r>
      <w:r w:rsidR="0040797B" w:rsidRPr="00307583">
        <w:rPr>
          <w:rFonts w:ascii="Times New Roman" w:eastAsia="Times New Roman" w:hAnsi="Times New Roman"/>
        </w:rPr>
        <w:t>n</w:t>
      </w:r>
      <w:r w:rsidR="0040797B" w:rsidRPr="00307583">
        <w:rPr>
          <w:rFonts w:ascii="Times New Roman" w:hAnsi="Times New Roman"/>
        </w:rPr>
        <w:t>audojamos cheminės medžiagos transporto priemonei ir žmogaus palaikų laikinojo saugojimo patalpoms dezinfekuoti turi mažiau arba visai neturi pavojingų cheminių medžiagų ir atitinka I tipo ekologinio ženklo reikalavimus pagal LST EN ISO 14024, patvirtinamus I tipo ekologiniu ženklu** arba kitu tiekėjo pateiktu lygiaverčiu įrodymu</w:t>
      </w:r>
      <w:r w:rsidRPr="00307583">
        <w:rPr>
          <w:rFonts w:ascii="Times New Roman" w:hAnsi="Times New Roman"/>
        </w:rPr>
        <w:t>)</w:t>
      </w:r>
      <w:r w:rsidR="00B37188" w:rsidRPr="00307583">
        <w:rPr>
          <w:rFonts w:ascii="Times New Roman" w:hAnsi="Times New Roman"/>
        </w:rPr>
        <w:t xml:space="preserve"> balai apskaičiuojami vertinamo pasiūlymo kriterijaus reikšmės (B</w:t>
      </w:r>
      <w:r w:rsidR="00B37188" w:rsidRPr="00307583">
        <w:rPr>
          <w:rFonts w:ascii="Times New Roman" w:hAnsi="Times New Roman"/>
          <w:vertAlign w:val="subscript"/>
        </w:rPr>
        <w:t>p</w:t>
      </w:r>
      <w:r w:rsidR="00B37188" w:rsidRPr="00307583">
        <w:rPr>
          <w:rFonts w:ascii="Times New Roman" w:hAnsi="Times New Roman"/>
        </w:rPr>
        <w:t>) ir kriterijaus geriausios įvertinimo reikšmės tarp visų vertinamų pasiūlymų (B</w:t>
      </w:r>
      <w:r w:rsidR="00B37188" w:rsidRPr="00307583">
        <w:rPr>
          <w:rFonts w:ascii="Times New Roman" w:hAnsi="Times New Roman"/>
          <w:vertAlign w:val="subscript"/>
        </w:rPr>
        <w:t>max</w:t>
      </w:r>
      <w:r w:rsidR="00B37188" w:rsidRPr="00307583">
        <w:rPr>
          <w:rFonts w:ascii="Times New Roman" w:hAnsi="Times New Roman"/>
        </w:rPr>
        <w:t>) santykį padauginant iš kriterijaus lyginamojo svorio (BL):</w:t>
      </w:r>
    </w:p>
    <w:p w14:paraId="512ED507" w14:textId="77777777" w:rsidR="00B37188" w:rsidRPr="00307583" w:rsidRDefault="00B37188" w:rsidP="00B37188">
      <w:pPr>
        <w:spacing w:after="0" w:line="240" w:lineRule="auto"/>
        <w:ind w:right="-1" w:firstLine="709"/>
        <w:jc w:val="both"/>
        <w:rPr>
          <w:rFonts w:ascii="Times New Roman" w:hAnsi="Times New Roman" w:cs="Times New Roman"/>
          <w:sz w:val="24"/>
          <w:szCs w:val="24"/>
        </w:rPr>
      </w:pPr>
    </w:p>
    <w:p w14:paraId="20B13D3E" w14:textId="0CAF4D88" w:rsidR="00986974" w:rsidRPr="00307583" w:rsidRDefault="00B37188" w:rsidP="00B37188">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B</m:t>
          </m:r>
          <m:r>
            <m:rPr>
              <m:sty m:val="p"/>
            </m:rPr>
            <w:rPr>
              <w:rFonts w:ascii="Cambria Math" w:hAnsi="Cambria Math" w:cs="Times New Roman"/>
              <w:sz w:val="24"/>
              <w:szCs w:val="24"/>
            </w:rPr>
            <m:t>=</m:t>
          </m:r>
          <m:f>
            <m:fPr>
              <m:ctrlPr>
                <w:rPr>
                  <w:rFonts w:ascii="Cambria Math" w:hAnsi="Cambria Math" w:cs="Times New Roman"/>
                  <w:kern w:val="24"/>
                  <w:sz w:val="24"/>
                  <w:szCs w:val="24"/>
                </w:rPr>
              </m:ctrlPr>
            </m:fPr>
            <m:num>
              <m:sSub>
                <m:sSubPr>
                  <m:ctrlPr>
                    <w:rPr>
                      <w:rFonts w:ascii="Cambria Math" w:hAnsi="Cambria Math" w:cs="Times New Roman"/>
                      <w:kern w:val="24"/>
                      <w:sz w:val="24"/>
                      <w:szCs w:val="24"/>
                    </w:rPr>
                  </m:ctrlPr>
                </m:sSubPr>
                <m:e>
                  <m:r>
                    <w:rPr>
                      <w:rFonts w:ascii="Cambria Math" w:hAnsi="Cambria Math" w:cs="Times New Roman"/>
                      <w:sz w:val="24"/>
                      <w:szCs w:val="24"/>
                    </w:rPr>
                    <m:t>B</m:t>
                  </m:r>
                </m:e>
                <m:sub>
                  <m:r>
                    <w:rPr>
                      <w:rFonts w:ascii="Cambria Math" w:hAnsi="Cambria Math" w:cs="Times New Roman"/>
                      <w:sz w:val="24"/>
                      <w:szCs w:val="24"/>
                    </w:rPr>
                    <m:t>p</m:t>
                  </m:r>
                </m:sub>
              </m:sSub>
            </m:num>
            <m:den>
              <m:sSub>
                <m:sSubPr>
                  <m:ctrlPr>
                    <w:rPr>
                      <w:rFonts w:ascii="Cambria Math" w:hAnsi="Cambria Math" w:cs="Times New Roman"/>
                      <w:kern w:val="24"/>
                      <w:sz w:val="24"/>
                      <w:szCs w:val="24"/>
                    </w:rPr>
                  </m:ctrlPr>
                </m:sSubPr>
                <m:e>
                  <m:r>
                    <w:rPr>
                      <w:rFonts w:ascii="Cambria Math" w:hAnsi="Cambria Math" w:cs="Times New Roman"/>
                      <w:sz w:val="24"/>
                      <w:szCs w:val="24"/>
                    </w:rPr>
                    <m:t>B</m:t>
                  </m:r>
                </m:e>
                <m:sub>
                  <m:r>
                    <w:rPr>
                      <w:rFonts w:ascii="Cambria Math" w:hAnsi="Cambria Math" w:cs="Times New Roman"/>
                      <w:sz w:val="24"/>
                      <w:szCs w:val="24"/>
                    </w:rPr>
                    <m:t>max</m:t>
                  </m:r>
                </m:sub>
              </m:sSub>
            </m:den>
          </m:f>
          <m:r>
            <m:rPr>
              <m:sty m:val="p"/>
            </m:rPr>
            <w:rPr>
              <w:rFonts w:ascii="Cambria Math" w:hAnsi="Cambria Math" w:cs="Times New Roman"/>
              <w:sz w:val="24"/>
              <w:szCs w:val="24"/>
            </w:rPr>
            <m:t>∙</m:t>
          </m:r>
          <m:r>
            <w:rPr>
              <w:rFonts w:ascii="Cambria Math" w:hAnsi="Cambria Math" w:cs="Times New Roman"/>
              <w:sz w:val="24"/>
              <w:szCs w:val="24"/>
            </w:rPr>
            <m:t>BL</m:t>
          </m:r>
        </m:oMath>
      </m:oMathPara>
    </w:p>
    <w:p w14:paraId="40E9BA67" w14:textId="77777777" w:rsidR="00986974" w:rsidRPr="00307583" w:rsidRDefault="00986974" w:rsidP="006E64BC">
      <w:pPr>
        <w:spacing w:after="0" w:line="240" w:lineRule="auto"/>
        <w:jc w:val="both"/>
        <w:rPr>
          <w:rFonts w:ascii="Times New Roman" w:hAnsi="Times New Roman" w:cs="Times New Roman"/>
          <w:sz w:val="24"/>
          <w:szCs w:val="24"/>
        </w:rPr>
      </w:pPr>
    </w:p>
    <w:p w14:paraId="70DC665E" w14:textId="31577BCA" w:rsidR="00591839" w:rsidRPr="00307583" w:rsidRDefault="0040797B" w:rsidP="00591839">
      <w:pPr>
        <w:pStyle w:val="1stlevelheading"/>
        <w:ind w:right="-1"/>
        <w:rPr>
          <w:rFonts w:ascii="Times New Roman" w:hAnsi="Times New Roman"/>
        </w:rPr>
      </w:pPr>
      <w:r w:rsidRPr="00307583">
        <w:rPr>
          <w:rFonts w:ascii="Times New Roman" w:hAnsi="Times New Roman"/>
        </w:rPr>
        <w:t xml:space="preserve">9. Trečiojo </w:t>
      </w:r>
      <w:r w:rsidRPr="00307583">
        <w:rPr>
          <w:rFonts w:ascii="Times New Roman" w:eastAsia="Times New Roman" w:hAnsi="Times New Roman"/>
        </w:rPr>
        <w:t xml:space="preserve"> kriterijaus </w:t>
      </w:r>
      <w:r w:rsidRPr="00307583">
        <w:rPr>
          <w:rFonts w:ascii="Times New Roman" w:hAnsi="Times New Roman"/>
        </w:rPr>
        <w:t xml:space="preserve">C </w:t>
      </w:r>
      <w:r w:rsidR="00573B5B" w:rsidRPr="00307583">
        <w:rPr>
          <w:rFonts w:ascii="Times New Roman" w:hAnsi="Times New Roman"/>
        </w:rPr>
        <w:t>(</w:t>
      </w:r>
      <w:r w:rsidR="00591839" w:rsidRPr="00307583">
        <w:rPr>
          <w:rFonts w:ascii="Times New Roman" w:hAnsi="Times New Roman"/>
        </w:rPr>
        <w:t>tiekėjo įmonė žmonių palaikų laikino saugojimo patalpose naudoja elektrą iš atsinaujinančių energijos išteklių) balai apskaičiuojami vertinamo pasiūlymo kriterijaus reikšmės (C</w:t>
      </w:r>
      <w:r w:rsidR="00591839" w:rsidRPr="00307583">
        <w:rPr>
          <w:rFonts w:ascii="Times New Roman" w:hAnsi="Times New Roman"/>
          <w:vertAlign w:val="subscript"/>
        </w:rPr>
        <w:t>p</w:t>
      </w:r>
      <w:r w:rsidR="00591839" w:rsidRPr="00307583">
        <w:rPr>
          <w:rFonts w:ascii="Times New Roman" w:hAnsi="Times New Roman"/>
        </w:rPr>
        <w:t>) ir kriterijaus geriausios įvertinimo reikšmės tarp visų vertinamų pasiūlymų (C</w:t>
      </w:r>
      <w:r w:rsidR="00591839" w:rsidRPr="00307583">
        <w:rPr>
          <w:rFonts w:ascii="Times New Roman" w:hAnsi="Times New Roman"/>
          <w:vertAlign w:val="subscript"/>
        </w:rPr>
        <w:t>max</w:t>
      </w:r>
      <w:r w:rsidR="00591839" w:rsidRPr="00307583">
        <w:rPr>
          <w:rFonts w:ascii="Times New Roman" w:hAnsi="Times New Roman"/>
        </w:rPr>
        <w:t>) santykį padauginant iš kriterijaus lyginamojo svorio (CL):</w:t>
      </w:r>
    </w:p>
    <w:p w14:paraId="5250209B" w14:textId="77777777" w:rsidR="00591839" w:rsidRPr="00307583" w:rsidRDefault="00591839" w:rsidP="00591839">
      <w:pPr>
        <w:spacing w:after="0" w:line="240" w:lineRule="auto"/>
        <w:ind w:right="-1" w:firstLine="709"/>
        <w:jc w:val="both"/>
        <w:rPr>
          <w:rFonts w:ascii="Times New Roman" w:hAnsi="Times New Roman" w:cs="Times New Roman"/>
          <w:sz w:val="24"/>
          <w:szCs w:val="24"/>
        </w:rPr>
      </w:pPr>
    </w:p>
    <w:p w14:paraId="66FFBFD6" w14:textId="3DC37051" w:rsidR="00591839" w:rsidRPr="00307583" w:rsidRDefault="000E211C" w:rsidP="00591839">
      <w:pPr>
        <w:spacing w:after="0" w:line="240" w:lineRule="auto"/>
        <w:jc w:val="both"/>
        <w:rPr>
          <w:rFonts w:ascii="Times New Roman" w:hAnsi="Times New Roman" w:cs="Times New Roman"/>
          <w:i/>
          <w:iCs/>
          <w:sz w:val="24"/>
          <w:szCs w:val="24"/>
        </w:rPr>
      </w:pPr>
      <m:oMathPara>
        <m:oMath>
          <m:r>
            <w:rPr>
              <w:rFonts w:ascii="Cambria Math" w:hAnsi="Cambria Math" w:cs="Times New Roman"/>
              <w:sz w:val="24"/>
              <w:szCs w:val="24"/>
            </w:rPr>
            <m:t>C=</m:t>
          </m:r>
          <m:f>
            <m:fPr>
              <m:ctrlPr>
                <w:rPr>
                  <w:rFonts w:ascii="Cambria Math" w:hAnsi="Cambria Math" w:cs="Times New Roman"/>
                  <w:i/>
                  <w:iCs/>
                  <w:kern w:val="24"/>
                  <w:sz w:val="24"/>
                  <w:szCs w:val="24"/>
                </w:rPr>
              </m:ctrlPr>
            </m:fPr>
            <m:num>
              <m:sSub>
                <m:sSubPr>
                  <m:ctrlPr>
                    <w:rPr>
                      <w:rFonts w:ascii="Cambria Math" w:hAnsi="Cambria Math" w:cs="Times New Roman"/>
                      <w:i/>
                      <w:iCs/>
                      <w:kern w:val="24"/>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num>
            <m:den>
              <m:sSub>
                <m:sSubPr>
                  <m:ctrlPr>
                    <w:rPr>
                      <w:rFonts w:ascii="Cambria Math" w:hAnsi="Cambria Math" w:cs="Times New Roman"/>
                      <w:i/>
                      <w:iCs/>
                      <w:kern w:val="24"/>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den>
          </m:f>
          <m:r>
            <w:rPr>
              <w:rFonts w:ascii="Cambria Math" w:hAnsi="Cambria Math" w:cs="Times New Roman"/>
              <w:sz w:val="24"/>
              <w:szCs w:val="24"/>
            </w:rPr>
            <m:t>∙CL</m:t>
          </m:r>
        </m:oMath>
      </m:oMathPara>
    </w:p>
    <w:p w14:paraId="640F8D2F" w14:textId="7C6F534C" w:rsidR="0078250D" w:rsidRPr="00307583" w:rsidRDefault="00591839" w:rsidP="00771645">
      <w:pPr>
        <w:pStyle w:val="Pagrindinistekstas"/>
        <w:tabs>
          <w:tab w:val="left" w:pos="1276"/>
        </w:tabs>
        <w:rPr>
          <w:sz w:val="24"/>
          <w:szCs w:val="24"/>
        </w:rPr>
      </w:pPr>
      <w:r w:rsidRPr="00307583">
        <w:rPr>
          <w:sz w:val="24"/>
          <w:szCs w:val="24"/>
        </w:rPr>
        <w:t xml:space="preserve"> </w:t>
      </w:r>
    </w:p>
    <w:p w14:paraId="028DE7DA" w14:textId="77777777" w:rsidR="000E211C" w:rsidRPr="00307583" w:rsidRDefault="000E211C" w:rsidP="00771645">
      <w:pPr>
        <w:pStyle w:val="Pagrindinistekstas"/>
        <w:tabs>
          <w:tab w:val="left" w:pos="1276"/>
        </w:tabs>
        <w:rPr>
          <w:sz w:val="24"/>
          <w:szCs w:val="24"/>
        </w:rPr>
      </w:pPr>
    </w:p>
    <w:p w14:paraId="090A0C4A" w14:textId="3F43F44A" w:rsidR="000E211C" w:rsidRPr="00307583" w:rsidRDefault="000E211C" w:rsidP="000E211C">
      <w:pPr>
        <w:pStyle w:val="1stlevelheading"/>
        <w:ind w:right="-1"/>
        <w:rPr>
          <w:rFonts w:ascii="Times New Roman" w:hAnsi="Times New Roman"/>
        </w:rPr>
      </w:pPr>
      <w:r w:rsidRPr="00307583">
        <w:rPr>
          <w:rFonts w:ascii="Times New Roman" w:hAnsi="Times New Roman"/>
        </w:rPr>
        <w:t>10. Ketvirtojo kriterijaus D (t</w:t>
      </w:r>
      <w:r w:rsidRPr="00307583">
        <w:rPr>
          <w:rFonts w:ascii="Times New Roman" w:hAnsi="Times New Roman"/>
          <w:lang w:eastAsia="lt-LT"/>
        </w:rPr>
        <w:t xml:space="preserve">ransporto priemonės, naudojamos </w:t>
      </w:r>
      <w:r w:rsidRPr="00307583">
        <w:rPr>
          <w:rFonts w:ascii="Times New Roman" w:hAnsi="Times New Roman"/>
        </w:rPr>
        <w:t>žmonių palaikų vežimui,</w:t>
      </w:r>
      <w:r w:rsidRPr="00307583">
        <w:rPr>
          <w:rFonts w:ascii="Times New Roman" w:hAnsi="Times New Roman"/>
          <w:lang w:eastAsia="lt-LT"/>
        </w:rPr>
        <w:t xml:space="preserve">  išmetamas anglies dioksido (CO</w:t>
      </w:r>
      <w:r w:rsidRPr="00307583">
        <w:rPr>
          <w:rFonts w:ascii="Times New Roman" w:hAnsi="Times New Roman"/>
          <w:vertAlign w:val="subscript"/>
          <w:lang w:eastAsia="lt-LT"/>
        </w:rPr>
        <w:t>2</w:t>
      </w:r>
      <w:r w:rsidRPr="00307583">
        <w:rPr>
          <w:rFonts w:ascii="Times New Roman" w:hAnsi="Times New Roman"/>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8F4A6C" w:rsidRPr="00307583">
        <w:rPr>
          <w:rFonts w:ascii="Times New Roman" w:hAnsi="Times New Roman"/>
          <w:lang w:eastAsia="lt-LT"/>
        </w:rPr>
        <w:t xml:space="preserve">(„Euro 5“ ir „Euro 6“) su visais pakeitimais (toliau – Reglamentas (EB) Nr. 715/2007) ir jo įgyvendinimo priemonėmis, </w:t>
      </w:r>
      <w:r w:rsidR="00FF3576" w:rsidRPr="00307583">
        <w:rPr>
          <w:rFonts w:ascii="Times New Roman" w:hAnsi="Times New Roman"/>
          <w:lang w:eastAsia="lt-LT"/>
        </w:rPr>
        <w:t xml:space="preserve">lengvajam specialios paskirties automobiliui (M1 kategorija) neturi viršyti </w:t>
      </w:r>
      <w:r w:rsidR="00FC6EA0" w:rsidRPr="00307583">
        <w:rPr>
          <w:rFonts w:ascii="Times New Roman" w:hAnsi="Times New Roman"/>
          <w:lang w:eastAsia="lt-LT"/>
        </w:rPr>
        <w:t>99 g/km; lengvajam specialios paskirties automobiliui (N1 kategorija), kurio etaloninė masė neviršija 1760 kg, varomas dyzelinu, neturi viršyti 113 g/km,</w:t>
      </w:r>
      <w:r w:rsidR="00FC6EA0" w:rsidRPr="00307583">
        <w:t xml:space="preserve"> </w:t>
      </w:r>
      <w:r w:rsidR="00FC6EA0" w:rsidRPr="00307583">
        <w:rPr>
          <w:rFonts w:ascii="Times New Roman" w:hAnsi="Times New Roman"/>
          <w:lang w:eastAsia="lt-LT"/>
        </w:rPr>
        <w:t>lengvasis specialios paskirties automobiliui (N1 kategorija), kurio etaloninė masė neviršija 1760 kg, varomas kitu kuru, neturi viršyti 131 g/km,</w:t>
      </w:r>
      <w:r w:rsidR="00FC6EA0" w:rsidRPr="00307583">
        <w:t xml:space="preserve"> </w:t>
      </w:r>
      <w:r w:rsidR="00FC6EA0" w:rsidRPr="00307583">
        <w:rPr>
          <w:rFonts w:ascii="Times New Roman" w:hAnsi="Times New Roman"/>
          <w:lang w:eastAsia="lt-LT"/>
        </w:rPr>
        <w:t>lengvajam specialios paskirties automobiliui (N1 kategorija), kurio etaloninė masė viršija 1760 kg, neturi viršyti 153 g/km</w:t>
      </w:r>
      <w:r w:rsidR="008F4A6C" w:rsidRPr="00307583">
        <w:rPr>
          <w:rFonts w:ascii="Times New Roman" w:hAnsi="Times New Roman"/>
          <w:lang w:eastAsia="lt-LT"/>
        </w:rPr>
        <w:t xml:space="preserve"> ir realiomis važiavimo sąlygomis transporto priemonės išmetamų teršalų kiekis neviršija 80 procentų ribinės vertės (neatsižvelgiant į taikomą atitikties faktorių ir (ar) matavimo metodo paklaidą), nustatytos Reglamente (EB) Nr. 715/2007</w:t>
      </w:r>
      <w:r w:rsidRPr="00307583">
        <w:rPr>
          <w:rFonts w:ascii="Times New Roman" w:hAnsi="Times New Roman"/>
          <w:lang w:eastAsia="en-GB"/>
        </w:rPr>
        <w:t xml:space="preserve">) </w:t>
      </w:r>
      <w:r w:rsidRPr="00307583">
        <w:rPr>
          <w:rFonts w:ascii="Times New Roman" w:hAnsi="Times New Roman"/>
        </w:rPr>
        <w:t>balai apskaičiuojami vertinamo pasiūlymo kriterijaus reikšmės (D</w:t>
      </w:r>
      <w:r w:rsidRPr="00307583">
        <w:rPr>
          <w:rFonts w:ascii="Times New Roman" w:hAnsi="Times New Roman"/>
          <w:vertAlign w:val="subscript"/>
        </w:rPr>
        <w:t>p</w:t>
      </w:r>
      <w:r w:rsidRPr="00307583">
        <w:rPr>
          <w:rFonts w:ascii="Times New Roman" w:hAnsi="Times New Roman"/>
        </w:rPr>
        <w:t>) ir kriterijaus geriausios įvertinimo reikšmės tarp visų vertinamų pasiūlymų (D</w:t>
      </w:r>
      <w:r w:rsidRPr="00307583">
        <w:rPr>
          <w:rFonts w:ascii="Times New Roman" w:hAnsi="Times New Roman"/>
          <w:vertAlign w:val="subscript"/>
        </w:rPr>
        <w:t>max</w:t>
      </w:r>
      <w:r w:rsidRPr="00307583">
        <w:rPr>
          <w:rFonts w:ascii="Times New Roman" w:hAnsi="Times New Roman"/>
        </w:rPr>
        <w:t>) santykį padauginant iš kriterijaus lyginamojo svorio (DL):</w:t>
      </w:r>
    </w:p>
    <w:p w14:paraId="61863B30" w14:textId="77777777" w:rsidR="000E211C" w:rsidRPr="00307583" w:rsidRDefault="000E211C" w:rsidP="000E211C">
      <w:pPr>
        <w:spacing w:after="0" w:line="240" w:lineRule="auto"/>
        <w:ind w:right="-1" w:firstLine="709"/>
        <w:jc w:val="both"/>
        <w:rPr>
          <w:rFonts w:ascii="Times New Roman" w:hAnsi="Times New Roman" w:cs="Times New Roman"/>
          <w:sz w:val="24"/>
          <w:szCs w:val="24"/>
        </w:rPr>
      </w:pPr>
    </w:p>
    <w:p w14:paraId="75998523" w14:textId="2AE6E87A" w:rsidR="000E211C" w:rsidRPr="00307583" w:rsidRDefault="000E211C" w:rsidP="000E211C">
      <w:pPr>
        <w:spacing w:after="0" w:line="240" w:lineRule="auto"/>
        <w:jc w:val="both"/>
        <w:rPr>
          <w:rFonts w:ascii="Times New Roman" w:hAnsi="Times New Roman" w:cs="Times New Roman"/>
          <w:i/>
          <w:iCs/>
          <w:sz w:val="24"/>
          <w:szCs w:val="24"/>
        </w:rPr>
      </w:pPr>
      <m:oMathPara>
        <m:oMath>
          <m:r>
            <w:rPr>
              <w:rFonts w:ascii="Cambria Math" w:hAnsi="Cambria Math" w:cs="Times New Roman"/>
              <w:sz w:val="24"/>
              <w:szCs w:val="24"/>
            </w:rPr>
            <m:t>D=</m:t>
          </m:r>
          <m:f>
            <m:fPr>
              <m:ctrlPr>
                <w:rPr>
                  <w:rFonts w:ascii="Cambria Math" w:hAnsi="Cambria Math" w:cs="Times New Roman"/>
                  <w:i/>
                  <w:iCs/>
                  <w:kern w:val="24"/>
                  <w:sz w:val="24"/>
                  <w:szCs w:val="24"/>
                </w:rPr>
              </m:ctrlPr>
            </m:fPr>
            <m:num>
              <m:sSub>
                <m:sSubPr>
                  <m:ctrlPr>
                    <w:rPr>
                      <w:rFonts w:ascii="Cambria Math" w:hAnsi="Cambria Math" w:cs="Times New Roman"/>
                      <w:i/>
                      <w:iCs/>
                      <w:kern w:val="24"/>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num>
            <m:den>
              <m:sSub>
                <m:sSubPr>
                  <m:ctrlPr>
                    <w:rPr>
                      <w:rFonts w:ascii="Cambria Math" w:hAnsi="Cambria Math" w:cs="Times New Roman"/>
                      <w:i/>
                      <w:iCs/>
                      <w:kern w:val="24"/>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den>
          </m:f>
          <m:r>
            <w:rPr>
              <w:rFonts w:ascii="Cambria Math" w:hAnsi="Cambria Math" w:cs="Times New Roman"/>
              <w:sz w:val="24"/>
              <w:szCs w:val="24"/>
            </w:rPr>
            <m:t>∙DL</m:t>
          </m:r>
        </m:oMath>
      </m:oMathPara>
    </w:p>
    <w:p w14:paraId="1D9594B7" w14:textId="77777777" w:rsidR="000E211C" w:rsidRPr="00307583" w:rsidRDefault="000E211C" w:rsidP="000E211C">
      <w:pPr>
        <w:pStyle w:val="Pagrindinistekstas"/>
        <w:tabs>
          <w:tab w:val="left" w:pos="1276"/>
        </w:tabs>
        <w:rPr>
          <w:sz w:val="24"/>
          <w:szCs w:val="24"/>
        </w:rPr>
      </w:pPr>
      <w:r w:rsidRPr="00307583">
        <w:rPr>
          <w:sz w:val="24"/>
          <w:szCs w:val="24"/>
        </w:rPr>
        <w:t xml:space="preserve"> </w:t>
      </w:r>
    </w:p>
    <w:p w14:paraId="53350C8C" w14:textId="0E76F3D8" w:rsidR="000E211C" w:rsidRPr="00307583" w:rsidRDefault="000E211C" w:rsidP="00771645">
      <w:pPr>
        <w:pStyle w:val="Pagrindinistekstas"/>
        <w:tabs>
          <w:tab w:val="left" w:pos="1276"/>
        </w:tabs>
        <w:rPr>
          <w:sz w:val="24"/>
          <w:szCs w:val="24"/>
        </w:rPr>
      </w:pPr>
      <w:r w:rsidRPr="00307583">
        <w:rPr>
          <w:sz w:val="24"/>
          <w:szCs w:val="24"/>
          <w:lang w:eastAsia="en-GB"/>
        </w:rPr>
        <w:t xml:space="preserve"> </w:t>
      </w:r>
    </w:p>
    <w:p w14:paraId="04B77A5E" w14:textId="64AD9E52" w:rsidR="00771645" w:rsidRPr="00307583" w:rsidRDefault="004C306C" w:rsidP="00771645">
      <w:pPr>
        <w:pStyle w:val="Pagrindinistekstas"/>
        <w:tabs>
          <w:tab w:val="left" w:pos="1276"/>
        </w:tabs>
        <w:rPr>
          <w:sz w:val="24"/>
          <w:szCs w:val="24"/>
        </w:rPr>
      </w:pPr>
      <w:r w:rsidRPr="00307583">
        <w:rPr>
          <w:sz w:val="24"/>
          <w:szCs w:val="24"/>
        </w:rPr>
        <w:lastRenderedPageBreak/>
        <w:t>11</w:t>
      </w:r>
      <w:r w:rsidR="00771645" w:rsidRPr="00307583">
        <w:rPr>
          <w:sz w:val="24"/>
          <w:szCs w:val="24"/>
        </w:rPr>
        <w:t>. Tais atvejais, kai kelių dalyvių pasiūlymų ekonominis naudingumas yra vienodas, nustatant pasiūlymų eilę, pirmesnis į šią eilę įrašomas dalyvis, kurio pasiūlymas pateiktas anksčiausiai.</w:t>
      </w:r>
    </w:p>
    <w:p w14:paraId="1BED8BB9" w14:textId="0DDE2DAF" w:rsidR="00B37188" w:rsidRPr="00307583" w:rsidRDefault="00B37188" w:rsidP="006E64BC">
      <w:pPr>
        <w:spacing w:after="0" w:line="240" w:lineRule="auto"/>
        <w:jc w:val="both"/>
        <w:rPr>
          <w:rFonts w:ascii="Times New Roman" w:hAnsi="Times New Roman" w:cs="Times New Roman"/>
          <w:sz w:val="24"/>
          <w:szCs w:val="24"/>
        </w:rPr>
      </w:pPr>
    </w:p>
    <w:p w14:paraId="7FBF538A" w14:textId="77777777" w:rsidR="00B37188" w:rsidRPr="00307583" w:rsidRDefault="00B37188" w:rsidP="006E64BC">
      <w:pPr>
        <w:spacing w:after="0" w:line="240" w:lineRule="auto"/>
        <w:jc w:val="both"/>
        <w:rPr>
          <w:rFonts w:ascii="Times New Roman" w:hAnsi="Times New Roman" w:cs="Times New Roman"/>
          <w:sz w:val="24"/>
          <w:szCs w:val="24"/>
        </w:rPr>
      </w:pPr>
    </w:p>
    <w:p w14:paraId="3F5D9DEA" w14:textId="00E2912F" w:rsidR="00B37188" w:rsidRPr="00307583" w:rsidRDefault="00771645" w:rsidP="00771645">
      <w:pPr>
        <w:spacing w:after="0" w:line="240" w:lineRule="auto"/>
        <w:jc w:val="center"/>
        <w:rPr>
          <w:rFonts w:ascii="Times New Roman" w:hAnsi="Times New Roman" w:cs="Times New Roman"/>
          <w:sz w:val="24"/>
          <w:szCs w:val="24"/>
        </w:rPr>
      </w:pPr>
      <w:r w:rsidRPr="00307583">
        <w:rPr>
          <w:rFonts w:ascii="Times New Roman" w:hAnsi="Times New Roman" w:cs="Times New Roman"/>
          <w:sz w:val="24"/>
          <w:szCs w:val="24"/>
        </w:rPr>
        <w:t>______________________</w:t>
      </w:r>
    </w:p>
    <w:p w14:paraId="19EE2FAB" w14:textId="77777777" w:rsidR="00B37188" w:rsidRPr="00307583" w:rsidRDefault="00B37188" w:rsidP="006E64BC">
      <w:pPr>
        <w:spacing w:after="0" w:line="240" w:lineRule="auto"/>
        <w:jc w:val="both"/>
        <w:rPr>
          <w:rFonts w:ascii="Times New Roman" w:hAnsi="Times New Roman" w:cs="Times New Roman"/>
          <w:sz w:val="24"/>
          <w:szCs w:val="24"/>
        </w:rPr>
      </w:pPr>
    </w:p>
    <w:p w14:paraId="70EF0C88" w14:textId="77777777" w:rsidR="00B37188" w:rsidRPr="00307583" w:rsidRDefault="00B37188" w:rsidP="006E64BC">
      <w:pPr>
        <w:spacing w:after="0" w:line="240" w:lineRule="auto"/>
        <w:jc w:val="both"/>
        <w:rPr>
          <w:rFonts w:ascii="Times New Roman" w:hAnsi="Times New Roman" w:cs="Times New Roman"/>
          <w:sz w:val="24"/>
          <w:szCs w:val="24"/>
        </w:rPr>
      </w:pPr>
    </w:p>
    <w:sectPr w:rsidR="00B37188" w:rsidRPr="00307583" w:rsidSect="008C22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7611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4BC"/>
    <w:rsid w:val="00031B29"/>
    <w:rsid w:val="00054C41"/>
    <w:rsid w:val="00066C83"/>
    <w:rsid w:val="000E211C"/>
    <w:rsid w:val="001C1878"/>
    <w:rsid w:val="001C474B"/>
    <w:rsid w:val="001E1B0C"/>
    <w:rsid w:val="00207293"/>
    <w:rsid w:val="002271C4"/>
    <w:rsid w:val="002652FC"/>
    <w:rsid w:val="002A5866"/>
    <w:rsid w:val="00303C89"/>
    <w:rsid w:val="00307583"/>
    <w:rsid w:val="00346454"/>
    <w:rsid w:val="0039472C"/>
    <w:rsid w:val="003D78D4"/>
    <w:rsid w:val="0040797B"/>
    <w:rsid w:val="00431BFE"/>
    <w:rsid w:val="00454B3E"/>
    <w:rsid w:val="0046168C"/>
    <w:rsid w:val="00471CAB"/>
    <w:rsid w:val="0048361B"/>
    <w:rsid w:val="004C306C"/>
    <w:rsid w:val="004C37D4"/>
    <w:rsid w:val="00502DD6"/>
    <w:rsid w:val="005738D4"/>
    <w:rsid w:val="00573B5B"/>
    <w:rsid w:val="0058384B"/>
    <w:rsid w:val="00591839"/>
    <w:rsid w:val="005B31BA"/>
    <w:rsid w:val="005D2E4B"/>
    <w:rsid w:val="0063798C"/>
    <w:rsid w:val="00697BEE"/>
    <w:rsid w:val="006A4A47"/>
    <w:rsid w:val="006E64BC"/>
    <w:rsid w:val="007231BB"/>
    <w:rsid w:val="0072716F"/>
    <w:rsid w:val="00730995"/>
    <w:rsid w:val="00743D6C"/>
    <w:rsid w:val="007542C7"/>
    <w:rsid w:val="00771645"/>
    <w:rsid w:val="0078088D"/>
    <w:rsid w:val="0078250D"/>
    <w:rsid w:val="007C7E9D"/>
    <w:rsid w:val="007D115F"/>
    <w:rsid w:val="007F49BE"/>
    <w:rsid w:val="008B5BF1"/>
    <w:rsid w:val="008C0AA4"/>
    <w:rsid w:val="008C22D4"/>
    <w:rsid w:val="008E2957"/>
    <w:rsid w:val="008F4A6C"/>
    <w:rsid w:val="008F4E6A"/>
    <w:rsid w:val="00902719"/>
    <w:rsid w:val="0090592A"/>
    <w:rsid w:val="00912CE3"/>
    <w:rsid w:val="009409C1"/>
    <w:rsid w:val="009420AF"/>
    <w:rsid w:val="0094241F"/>
    <w:rsid w:val="00986974"/>
    <w:rsid w:val="009B79C8"/>
    <w:rsid w:val="009C2543"/>
    <w:rsid w:val="00A34279"/>
    <w:rsid w:val="00A6777D"/>
    <w:rsid w:val="00A857BA"/>
    <w:rsid w:val="00B37188"/>
    <w:rsid w:val="00B828B4"/>
    <w:rsid w:val="00B9051E"/>
    <w:rsid w:val="00BB46BB"/>
    <w:rsid w:val="00BD60C5"/>
    <w:rsid w:val="00C36C0F"/>
    <w:rsid w:val="00C77134"/>
    <w:rsid w:val="00C9104A"/>
    <w:rsid w:val="00CA111E"/>
    <w:rsid w:val="00D14589"/>
    <w:rsid w:val="00D31BB9"/>
    <w:rsid w:val="00D5252F"/>
    <w:rsid w:val="00D84048"/>
    <w:rsid w:val="00D901E5"/>
    <w:rsid w:val="00D96C10"/>
    <w:rsid w:val="00DA10FA"/>
    <w:rsid w:val="00DC28C5"/>
    <w:rsid w:val="00DD25A0"/>
    <w:rsid w:val="00E26F25"/>
    <w:rsid w:val="00E442D2"/>
    <w:rsid w:val="00E64E15"/>
    <w:rsid w:val="00E87526"/>
    <w:rsid w:val="00EA0ACB"/>
    <w:rsid w:val="00EA3BFB"/>
    <w:rsid w:val="00F12FE9"/>
    <w:rsid w:val="00FC6EA0"/>
    <w:rsid w:val="00FD249C"/>
    <w:rsid w:val="00FD6EAC"/>
    <w:rsid w:val="00FE588D"/>
    <w:rsid w:val="00FE590E"/>
    <w:rsid w:val="00FE61B5"/>
    <w:rsid w:val="00FF35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27FF"/>
  <w15:docId w15:val="{F547497C-E560-418D-8073-426FA704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4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6E64BC"/>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E64BC"/>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E64BC"/>
  </w:style>
  <w:style w:type="paragraph" w:styleId="Sraopastraipa">
    <w:name w:val="List Paragraph"/>
    <w:basedOn w:val="prastasis"/>
    <w:uiPriority w:val="34"/>
    <w:qFormat/>
    <w:rsid w:val="00502DD6"/>
    <w:pPr>
      <w:ind w:left="720"/>
      <w:contextualSpacing/>
    </w:pPr>
  </w:style>
  <w:style w:type="paragraph" w:customStyle="1" w:styleId="1stlevelheading">
    <w:name w:val="1st level (heading)"/>
    <w:basedOn w:val="Sraopastraipa"/>
    <w:next w:val="prastasis"/>
    <w:uiPriority w:val="99"/>
    <w:qFormat/>
    <w:rsid w:val="004C37D4"/>
    <w:pPr>
      <w:tabs>
        <w:tab w:val="left" w:pos="709"/>
      </w:tabs>
      <w:spacing w:after="0" w:line="240" w:lineRule="auto"/>
      <w:ind w:left="0"/>
      <w:jc w:val="both"/>
    </w:pPr>
    <w:rPr>
      <w:rFonts w:eastAsia="Calibri" w:cs="Times New Roman"/>
      <w:sz w:val="24"/>
      <w:szCs w:val="24"/>
    </w:rPr>
  </w:style>
  <w:style w:type="character" w:styleId="Hipersaitas">
    <w:name w:val="Hyperlink"/>
    <w:basedOn w:val="Numatytasispastraiposriftas"/>
    <w:uiPriority w:val="99"/>
    <w:semiHidden/>
    <w:unhideWhenUsed/>
    <w:rsid w:val="00F12FE9"/>
    <w:rPr>
      <w:color w:val="0000FF"/>
      <w:u w:val="single"/>
    </w:rPr>
  </w:style>
  <w:style w:type="paragraph" w:styleId="Debesliotekstas">
    <w:name w:val="Balloon Text"/>
    <w:basedOn w:val="prastasis"/>
    <w:link w:val="DebesliotekstasDiagrama"/>
    <w:uiPriority w:val="99"/>
    <w:semiHidden/>
    <w:unhideWhenUsed/>
    <w:rsid w:val="00D31BB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1BB9"/>
    <w:rPr>
      <w:rFonts w:ascii="Tahoma" w:hAnsi="Tahoma" w:cs="Tahoma"/>
      <w:sz w:val="16"/>
      <w:szCs w:val="16"/>
    </w:rPr>
  </w:style>
  <w:style w:type="table" w:styleId="Lentelstinklelis">
    <w:name w:val="Table Grid"/>
    <w:basedOn w:val="prastojilentel"/>
    <w:uiPriority w:val="39"/>
    <w:rsid w:val="0094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710">
      <w:bodyDiv w:val="1"/>
      <w:marLeft w:val="0"/>
      <w:marRight w:val="0"/>
      <w:marTop w:val="0"/>
      <w:marBottom w:val="0"/>
      <w:divBdr>
        <w:top w:val="none" w:sz="0" w:space="0" w:color="auto"/>
        <w:left w:val="none" w:sz="0" w:space="0" w:color="auto"/>
        <w:bottom w:val="none" w:sz="0" w:space="0" w:color="auto"/>
        <w:right w:val="none" w:sz="0" w:space="0" w:color="auto"/>
      </w:divBdr>
    </w:div>
    <w:div w:id="6831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5520</Words>
  <Characters>3147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17</cp:revision>
  <cp:lastPrinted>2022-03-22T08:10:00Z</cp:lastPrinted>
  <dcterms:created xsi:type="dcterms:W3CDTF">2022-03-22T08:10:00Z</dcterms:created>
  <dcterms:modified xsi:type="dcterms:W3CDTF">2025-04-02T12:28:00Z</dcterms:modified>
</cp:coreProperties>
</file>