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9CA" w14:textId="77777777" w:rsidR="00A61E11" w:rsidRPr="00A61E11" w:rsidRDefault="00A61E11" w:rsidP="00A61E11">
      <w:pPr>
        <w:spacing w:after="0" w:line="240" w:lineRule="auto"/>
        <w:jc w:val="center"/>
        <w:rPr>
          <w:rFonts w:ascii="Times New Roman" w:eastAsia="Calibri" w:hAnsi="Times New Roman" w:cs="Times New Roman"/>
          <w:b/>
          <w:bCs/>
          <w:kern w:val="0"/>
          <w:sz w:val="24"/>
          <w:szCs w:val="24"/>
          <w14:ligatures w14:val="none"/>
        </w:rPr>
      </w:pPr>
      <w:r w:rsidRPr="00A61E11">
        <w:rPr>
          <w:rFonts w:ascii="Times New Roman" w:eastAsia="Calibri" w:hAnsi="Times New Roman" w:cs="Times New Roman"/>
          <w:b/>
          <w:bCs/>
          <w:kern w:val="0"/>
          <w:sz w:val="24"/>
          <w:szCs w:val="24"/>
          <w14:ligatures w14:val="none"/>
        </w:rPr>
        <w:t>KVIETIMAS SUTEIKTI RINKOS KONSULTACIJĄ</w:t>
      </w:r>
    </w:p>
    <w:p w14:paraId="3CE4B849" w14:textId="7D7038D8" w:rsidR="00A61E11" w:rsidRPr="00A61E11" w:rsidRDefault="00925409" w:rsidP="009906D4">
      <w:pPr>
        <w:widowControl w:val="0"/>
        <w:suppressAutoHyphens/>
        <w:spacing w:after="0" w:line="240" w:lineRule="auto"/>
        <w:jc w:val="center"/>
        <w:rPr>
          <w:rFonts w:ascii="Times New Roman" w:eastAsia="Calibri" w:hAnsi="Times New Roman" w:cs="Times New Roman"/>
          <w:b/>
          <w:bCs/>
          <w:kern w:val="0"/>
          <w:sz w:val="24"/>
          <w:szCs w:val="24"/>
          <w14:ligatures w14:val="none"/>
        </w:rPr>
      </w:pPr>
      <w:r>
        <w:rPr>
          <w:rFonts w:ascii="Times New Roman" w:eastAsia="Lucida Sans Unicode" w:hAnsi="Times New Roman" w:cs="Times New Roman"/>
          <w:b/>
          <w:color w:val="000000"/>
          <w:kern w:val="0"/>
          <w:sz w:val="24"/>
          <w:szCs w:val="24"/>
          <w:lang w:eastAsia="lt-LT"/>
          <w14:ligatures w14:val="none"/>
        </w:rPr>
        <w:t>VAISTINIŲ PREPARATŲ IR VAISTINIŲ PREKIŲ</w:t>
      </w:r>
      <w:r w:rsidR="003757C7">
        <w:rPr>
          <w:rFonts w:ascii="Times New Roman" w:eastAsia="Lucida Sans Unicode" w:hAnsi="Times New Roman" w:cs="Times New Roman"/>
          <w:b/>
          <w:color w:val="000000"/>
          <w:kern w:val="0"/>
          <w:sz w:val="24"/>
          <w:szCs w:val="24"/>
          <w:lang w:eastAsia="lt-LT"/>
          <w14:ligatures w14:val="none"/>
        </w:rPr>
        <w:t xml:space="preserve"> </w:t>
      </w:r>
      <w:r w:rsidR="00CD07A5" w:rsidRPr="00A61E11">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1B49C972" w:rsidR="00A61E11" w:rsidRPr="00A61E11" w:rsidRDefault="00A61E11" w:rsidP="00A61E11">
      <w:pPr>
        <w:spacing w:after="0" w:line="240" w:lineRule="auto"/>
        <w:ind w:firstLine="709"/>
        <w:jc w:val="both"/>
        <w:rPr>
          <w:rFonts w:ascii="Times New Roman" w:eastAsia="Calibri" w:hAnsi="Times New Roman" w:cs="Times New Roman"/>
          <w:bCs/>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iki </w:t>
      </w:r>
      <w:r w:rsidRPr="00A61E11">
        <w:rPr>
          <w:rFonts w:ascii="Times New Roman" w:eastAsia="Calibri" w:hAnsi="Times New Roman" w:cs="Times New Roman"/>
          <w:b/>
          <w:bCs/>
          <w:color w:val="000000"/>
          <w:kern w:val="0"/>
          <w:sz w:val="24"/>
          <w:szCs w:val="24"/>
          <w14:ligatures w14:val="none"/>
        </w:rPr>
        <w:t>202</w:t>
      </w:r>
      <w:r w:rsidR="00925409">
        <w:rPr>
          <w:rFonts w:ascii="Times New Roman" w:eastAsia="Calibri" w:hAnsi="Times New Roman" w:cs="Times New Roman"/>
          <w:b/>
          <w:bCs/>
          <w:color w:val="000000"/>
          <w:kern w:val="0"/>
          <w:sz w:val="24"/>
          <w:szCs w:val="24"/>
          <w14:ligatures w14:val="none"/>
        </w:rPr>
        <w:t>5</w:t>
      </w:r>
      <w:r w:rsidRPr="00A61E11">
        <w:rPr>
          <w:rFonts w:ascii="Times New Roman" w:eastAsia="Calibri" w:hAnsi="Times New Roman" w:cs="Times New Roman"/>
          <w:b/>
          <w:bCs/>
          <w:color w:val="000000"/>
          <w:kern w:val="0"/>
          <w:sz w:val="24"/>
          <w:szCs w:val="24"/>
          <w14:ligatures w14:val="none"/>
        </w:rPr>
        <w:t xml:space="preserve"> m. </w:t>
      </w:r>
      <w:r w:rsidR="00375DE5">
        <w:rPr>
          <w:rFonts w:ascii="Times New Roman" w:eastAsia="Calibri" w:hAnsi="Times New Roman" w:cs="Times New Roman"/>
          <w:b/>
          <w:bCs/>
          <w:color w:val="000000"/>
          <w:kern w:val="0"/>
          <w:sz w:val="24"/>
          <w:szCs w:val="24"/>
          <w14:ligatures w14:val="none"/>
        </w:rPr>
        <w:t xml:space="preserve">balandžio </w:t>
      </w:r>
      <w:r w:rsidR="00136613">
        <w:rPr>
          <w:rFonts w:ascii="Times New Roman" w:eastAsia="Calibri" w:hAnsi="Times New Roman" w:cs="Times New Roman"/>
          <w:b/>
          <w:bCs/>
          <w:color w:val="000000"/>
          <w:kern w:val="0"/>
          <w:sz w:val="24"/>
          <w:szCs w:val="24"/>
          <w14:ligatures w14:val="none"/>
        </w:rPr>
        <w:t>10</w:t>
      </w:r>
      <w:r w:rsidRPr="00A61E11">
        <w:rPr>
          <w:rFonts w:ascii="Times New Roman" w:eastAsia="Calibri" w:hAnsi="Times New Roman" w:cs="Times New Roman"/>
          <w:b/>
          <w:bCs/>
          <w:color w:val="000000"/>
          <w:kern w:val="0"/>
          <w:sz w:val="24"/>
          <w:szCs w:val="24"/>
          <w14:ligatures w14:val="none"/>
        </w:rPr>
        <w:t xml:space="preserve"> d. </w:t>
      </w:r>
      <w:r w:rsidR="00136613">
        <w:rPr>
          <w:rFonts w:ascii="Times New Roman" w:eastAsia="Calibri" w:hAnsi="Times New Roman" w:cs="Times New Roman"/>
          <w:b/>
          <w:bCs/>
          <w:color w:val="000000"/>
          <w:kern w:val="0"/>
          <w:sz w:val="24"/>
          <w:szCs w:val="24"/>
          <w14:ligatures w14:val="none"/>
        </w:rPr>
        <w:t>9</w:t>
      </w:r>
      <w:r w:rsidRPr="00A61E11">
        <w:rPr>
          <w:rFonts w:ascii="Times New Roman" w:eastAsia="Calibri" w:hAnsi="Times New Roman" w:cs="Times New Roman"/>
          <w:b/>
          <w:bCs/>
          <w:color w:val="000000"/>
          <w:kern w:val="0"/>
          <w:sz w:val="24"/>
          <w:szCs w:val="24"/>
          <w14:ligatures w14:val="none"/>
        </w:rPr>
        <w:t xml:space="preserve">:00 val. </w:t>
      </w:r>
      <w:r w:rsidRPr="00A61E11">
        <w:rPr>
          <w:rFonts w:ascii="Times New Roman" w:eastAsia="Calibri" w:hAnsi="Times New Roman" w:cs="Times New Roman"/>
          <w:color w:val="000000"/>
          <w:kern w:val="0"/>
          <w:sz w:val="24"/>
          <w:szCs w:val="24"/>
          <w14:ligatures w14:val="none"/>
        </w:rPr>
        <w:t xml:space="preserve">suteikti rinkos konsultaciją dėl </w:t>
      </w:r>
      <w:r w:rsidR="00925409">
        <w:rPr>
          <w:rFonts w:ascii="Times New Roman" w:eastAsia="Times New Roman" w:hAnsi="Times New Roman" w:cs="Times New Roman"/>
          <w:kern w:val="0"/>
          <w:sz w:val="24"/>
          <w:szCs w:val="24"/>
          <w:lang w:eastAsia="lt-LT"/>
          <w14:ligatures w14:val="none"/>
        </w:rPr>
        <w:t>vaistinių preparatų ir vaistinių prekių</w:t>
      </w:r>
      <w:r w:rsidR="00552A64">
        <w:rPr>
          <w:rFonts w:ascii="Times New Roman" w:eastAsia="Times New Roman" w:hAnsi="Times New Roman" w:cs="Times New Roman"/>
          <w:kern w:val="0"/>
          <w:sz w:val="24"/>
          <w:szCs w:val="24"/>
          <w:lang w:eastAsia="lt-LT"/>
          <w14:ligatures w14:val="none"/>
        </w:rPr>
        <w:t xml:space="preserve"> pirkimo</w:t>
      </w:r>
      <w:r w:rsidR="00552A64" w:rsidRPr="00A61E11">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w:t>
      </w:r>
      <w:r w:rsidRPr="00925409">
        <w:rPr>
          <w:rFonts w:ascii="Times New Roman" w:eastAsia="Calibri" w:hAnsi="Times New Roman" w:cs="Times New Roman"/>
          <w:color w:val="000000"/>
          <w:kern w:val="0"/>
          <w:sz w:val="24"/>
          <w:szCs w:val="24"/>
          <w14:ligatures w14:val="none"/>
        </w:rPr>
        <w:t>įstatymo 27</w:t>
      </w:r>
      <w:r w:rsidRPr="00A61E11">
        <w:rPr>
          <w:rFonts w:ascii="Times New Roman" w:eastAsia="Calibri" w:hAnsi="Times New Roman" w:cs="Times New Roman"/>
          <w:color w:val="000000"/>
          <w:kern w:val="0"/>
          <w:sz w:val="24"/>
          <w:szCs w:val="24"/>
          <w14:ligatures w14:val="none"/>
        </w:rPr>
        <w:t xml:space="preserve">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925409">
        <w:trPr>
          <w:jc w:val="center"/>
        </w:trPr>
        <w:tc>
          <w:tcPr>
            <w:tcW w:w="562" w:type="dxa"/>
            <w:vAlign w:val="center"/>
          </w:tcPr>
          <w:p w14:paraId="558E322E" w14:textId="61F06744" w:rsidR="00925409" w:rsidRPr="00925409" w:rsidRDefault="00925409" w:rsidP="00A61E11">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9" w:type="dxa"/>
            <w:vAlign w:val="center"/>
          </w:tcPr>
          <w:p w14:paraId="4B27F570" w14:textId="77777777"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7" w:type="dxa"/>
            <w:vAlign w:val="center"/>
          </w:tcPr>
          <w:p w14:paraId="5735C1AD" w14:textId="245D9F38"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925409">
        <w:trPr>
          <w:trHeight w:val="1410"/>
          <w:jc w:val="center"/>
        </w:trPr>
        <w:tc>
          <w:tcPr>
            <w:tcW w:w="562" w:type="dxa"/>
          </w:tcPr>
          <w:p w14:paraId="285C61C7" w14:textId="77777777" w:rsidR="00925409" w:rsidRPr="00A61E11"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1</w:t>
            </w:r>
          </w:p>
        </w:tc>
        <w:tc>
          <w:tcPr>
            <w:tcW w:w="4949" w:type="dxa"/>
          </w:tcPr>
          <w:p w14:paraId="7B1FD13A" w14:textId="553EA7BF" w:rsidR="00925409" w:rsidRPr="00A61E11" w:rsidRDefault="00925409" w:rsidP="00A61E11">
            <w:pPr>
              <w:widowControl w:val="0"/>
              <w:suppressAutoHyphens/>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Ar tiekėjai galėtų pasirašyti sutartis ilgesniam nei 12 mėnesių laikotarpiui, pvz. 24 mėn. ar 36 mėn.? Jeigu ne, kokios priežastys trukdytų sudaryti sutartį 24 mėn. ar 36 mėn. laikotarpiui?</w:t>
            </w:r>
          </w:p>
        </w:tc>
        <w:tc>
          <w:tcPr>
            <w:tcW w:w="4117" w:type="dxa"/>
          </w:tcPr>
          <w:p w14:paraId="6207C076" w14:textId="77777777" w:rsidR="00925409" w:rsidRDefault="00925409" w:rsidP="00A61E11">
            <w:pPr>
              <w:widowControl w:val="0"/>
              <w:suppressAutoHyphens/>
              <w:jc w:val="both"/>
              <w:rPr>
                <w:rFonts w:ascii="Times New Roman" w:eastAsia="Lucida Sans Unicode" w:hAnsi="Times New Roman" w:cs="Times New Roman"/>
                <w:sz w:val="24"/>
                <w:szCs w:val="24"/>
              </w:rPr>
            </w:pPr>
          </w:p>
        </w:tc>
      </w:tr>
      <w:tr w:rsidR="00925409" w:rsidRPr="00A61E11" w14:paraId="0D485CA4" w14:textId="5E6F512C" w:rsidTr="00925409">
        <w:trPr>
          <w:trHeight w:val="977"/>
          <w:jc w:val="center"/>
        </w:trPr>
        <w:tc>
          <w:tcPr>
            <w:tcW w:w="562" w:type="dxa"/>
          </w:tcPr>
          <w:p w14:paraId="41A0BF86" w14:textId="77777777" w:rsidR="00925409" w:rsidRPr="00A61E11" w:rsidRDefault="00925409" w:rsidP="00A61E11">
            <w:pPr>
              <w:widowControl w:val="0"/>
              <w:suppressAutoHyphens/>
              <w:spacing w:before="120"/>
              <w:jc w:val="both"/>
              <w:rPr>
                <w:rFonts w:ascii="Calibri" w:eastAsia="Lucida Sans Unicode" w:hAnsi="Calibri" w:cs="Times New Roman"/>
                <w:color w:val="000000"/>
                <w:sz w:val="24"/>
                <w:szCs w:val="24"/>
              </w:rPr>
            </w:pPr>
            <w:r w:rsidRPr="00A61E11">
              <w:rPr>
                <w:rFonts w:ascii="Times New Roman" w:eastAsia="Lucida Sans Unicode" w:hAnsi="Times New Roman" w:cs="Times New Roman"/>
                <w:color w:val="000000"/>
                <w:sz w:val="24"/>
                <w:szCs w:val="24"/>
              </w:rPr>
              <w:t>2</w:t>
            </w:r>
          </w:p>
        </w:tc>
        <w:tc>
          <w:tcPr>
            <w:tcW w:w="4949" w:type="dxa"/>
          </w:tcPr>
          <w:p w14:paraId="4EE04874" w14:textId="5EF68BE8" w:rsidR="00925409" w:rsidRPr="00A61E11" w:rsidRDefault="00925409" w:rsidP="00A61E11">
            <w:pPr>
              <w:widowControl w:val="0"/>
              <w:suppressAutoHyphens/>
              <w:jc w:val="both"/>
              <w:rPr>
                <w:rFonts w:ascii="Calibri" w:eastAsia="Lucida Sans Unicode" w:hAnsi="Calibri" w:cs="Times New Roman"/>
                <w:sz w:val="24"/>
                <w:szCs w:val="24"/>
              </w:rPr>
            </w:pPr>
            <w:r>
              <w:rPr>
                <w:rFonts w:ascii="Times New Roman" w:eastAsia="Times New Roman" w:hAnsi="Times New Roman" w:cs="Times New Roman"/>
                <w:color w:val="000000"/>
                <w:sz w:val="24"/>
                <w:szCs w:val="24"/>
                <w:lang w:eastAsia="lt-LT"/>
              </w:rPr>
              <w:t>Ar sudarant sutartį 24 mėn. ar 36 mėn. laikotarpiui siūlomų prekių kaina būtų tokia pati kaip ir sudarant sutartį 12 mėn. laikotarpiui?</w:t>
            </w:r>
          </w:p>
        </w:tc>
        <w:tc>
          <w:tcPr>
            <w:tcW w:w="4117" w:type="dxa"/>
          </w:tcPr>
          <w:p w14:paraId="6F89EACF" w14:textId="77777777" w:rsidR="00925409" w:rsidRDefault="00925409" w:rsidP="00A61E11">
            <w:pPr>
              <w:widowControl w:val="0"/>
              <w:suppressAutoHyphens/>
              <w:jc w:val="both"/>
              <w:rPr>
                <w:rFonts w:ascii="Times New Roman" w:eastAsia="Times New Roman" w:hAnsi="Times New Roman" w:cs="Times New Roman"/>
                <w:color w:val="000000"/>
                <w:sz w:val="24"/>
                <w:szCs w:val="24"/>
                <w:lang w:eastAsia="lt-LT"/>
              </w:rPr>
            </w:pPr>
          </w:p>
        </w:tc>
      </w:tr>
      <w:tr w:rsidR="00C16940" w:rsidRPr="00A61E11" w14:paraId="4CF1C5F9" w14:textId="77777777" w:rsidTr="00925409">
        <w:trPr>
          <w:trHeight w:val="977"/>
          <w:jc w:val="center"/>
        </w:trPr>
        <w:tc>
          <w:tcPr>
            <w:tcW w:w="562" w:type="dxa"/>
          </w:tcPr>
          <w:p w14:paraId="5102E2D7" w14:textId="7244B9B8" w:rsidR="00C16940" w:rsidRPr="00A61E11" w:rsidRDefault="00C16940"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p>
        </w:tc>
        <w:tc>
          <w:tcPr>
            <w:tcW w:w="4949" w:type="dxa"/>
          </w:tcPr>
          <w:p w14:paraId="76C532D6" w14:textId="24859680" w:rsidR="00C16940" w:rsidRDefault="00C16940" w:rsidP="00A61E11">
            <w:pPr>
              <w:widowControl w:val="0"/>
              <w:suppressAutoHyphen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Kokioms pirkimo dalims tiekėjas galėtų pateikti pasiūlymą?</w:t>
            </w:r>
          </w:p>
        </w:tc>
        <w:tc>
          <w:tcPr>
            <w:tcW w:w="4117" w:type="dxa"/>
          </w:tcPr>
          <w:p w14:paraId="063C28B1" w14:textId="77777777" w:rsidR="00C16940" w:rsidRDefault="00C16940" w:rsidP="00A61E11">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13AB92E8" w:rsidR="002823ED" w:rsidRDefault="00A61E11" w:rsidP="009906D4">
      <w:pPr>
        <w:ind w:firstLine="720"/>
      </w:pPr>
      <w:r w:rsidRPr="00A61E11">
        <w:rPr>
          <w:rFonts w:ascii="Times New Roman" w:eastAsia="Calibri" w:hAnsi="Times New Roman" w:cs="Times New Roman"/>
          <w:color w:val="000000"/>
          <w:kern w:val="0"/>
          <w:sz w:val="24"/>
          <w:szCs w:val="24"/>
          <w14:ligatures w14:val="none"/>
        </w:rPr>
        <w:t xml:space="preserve">PRIDEDAMA. </w:t>
      </w:r>
      <w:r w:rsidR="00925409">
        <w:rPr>
          <w:rFonts w:ascii="Times New Roman" w:eastAsia="Times New Roman" w:hAnsi="Times New Roman" w:cs="Times New Roman"/>
          <w:kern w:val="0"/>
          <w:sz w:val="24"/>
          <w:szCs w:val="24"/>
          <w:lang w:eastAsia="lt-LT"/>
          <w14:ligatures w14:val="none"/>
        </w:rPr>
        <w:t>Vaistinių preparatų ir vaistinių prekių</w:t>
      </w:r>
      <w:r w:rsidR="007A2E5A">
        <w:rPr>
          <w:rFonts w:ascii="Times New Roman" w:eastAsia="Times New Roman" w:hAnsi="Times New Roman" w:cs="Times New Roman"/>
          <w:kern w:val="0"/>
          <w:sz w:val="24"/>
          <w:szCs w:val="24"/>
          <w:lang w:eastAsia="lt-LT"/>
          <w14:ligatures w14:val="none"/>
        </w:rPr>
        <w:t xml:space="preserve"> techninės specifikacijos projektas</w:t>
      </w:r>
      <w:r w:rsidR="00925409">
        <w:rPr>
          <w:rFonts w:ascii="Times New Roman" w:eastAsia="Calibri" w:hAnsi="Times New Roman" w:cs="Times New Roman"/>
          <w:color w:val="000000"/>
          <w:kern w:val="0"/>
          <w:sz w:val="24"/>
          <w:szCs w:val="24"/>
          <w14:ligatures w14:val="none"/>
        </w:rPr>
        <w:t>.</w:t>
      </w: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136613"/>
    <w:rsid w:val="002823ED"/>
    <w:rsid w:val="00283272"/>
    <w:rsid w:val="003757C7"/>
    <w:rsid w:val="00375DE5"/>
    <w:rsid w:val="00552A64"/>
    <w:rsid w:val="005F13BA"/>
    <w:rsid w:val="00686284"/>
    <w:rsid w:val="007A2E5A"/>
    <w:rsid w:val="008A5CF0"/>
    <w:rsid w:val="00913A1F"/>
    <w:rsid w:val="00925409"/>
    <w:rsid w:val="009906D4"/>
    <w:rsid w:val="009A5FA0"/>
    <w:rsid w:val="00A61E11"/>
    <w:rsid w:val="00C16940"/>
    <w:rsid w:val="00CD07A5"/>
    <w:rsid w:val="00D03E96"/>
    <w:rsid w:val="00ED1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1202</Words>
  <Characters>686</Characters>
  <Application>Microsoft Office Word</Application>
  <DocSecurity>0</DocSecurity>
  <Lines>5</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16</cp:revision>
  <dcterms:created xsi:type="dcterms:W3CDTF">2024-03-13T09:03:00Z</dcterms:created>
  <dcterms:modified xsi:type="dcterms:W3CDTF">2025-04-03T10:56:00Z</dcterms:modified>
</cp:coreProperties>
</file>