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4B2DBC" w:rsidP="0084415E">
      <w:pPr>
        <w:jc w:val="center"/>
        <w:rPr>
          <w:rFonts w:asciiTheme="minorHAnsi" w:hAnsiTheme="minorHAnsi" w:cstheme="minorHAnsi"/>
          <w:b/>
          <w:szCs w:val="24"/>
        </w:rPr>
      </w:pPr>
      <w:r w:rsidRPr="004B2DBC">
        <w:rPr>
          <w:rFonts w:asciiTheme="minorHAnsi" w:hAnsiTheme="minorHAnsi" w:cstheme="minorHAnsi"/>
          <w:b/>
          <w:bCs/>
          <w:iCs/>
          <w:spacing w:val="-3"/>
          <w:szCs w:val="24"/>
        </w:rPr>
        <w:t>DEKLARACIJŲ APIE STATYBOS UŽBAIGIMĄ TVIRTINIMO PASLAUGŲ CENTRALIZUOTO</w:t>
      </w:r>
      <w:r w:rsidR="001F3FA2">
        <w:rPr>
          <w:rFonts w:asciiTheme="minorHAnsi" w:hAnsiTheme="minorHAnsi" w:cstheme="minorHAnsi"/>
          <w:b/>
          <w:bCs/>
          <w:iCs/>
          <w:spacing w:val="-3"/>
          <w:szCs w:val="24"/>
        </w:rPr>
        <w:t xml:space="preserve"> 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4B2DBC" w:rsidRPr="004B2DBC">
        <w:rPr>
          <w:rFonts w:asciiTheme="minorHAnsi" w:hAnsiTheme="minorHAnsi" w:cstheme="minorHAnsi"/>
          <w:bCs/>
          <w:iCs/>
          <w:spacing w:val="-3"/>
          <w:szCs w:val="24"/>
        </w:rPr>
        <w:t>Deklaracijų apie statybos užbaigimą tv</w:t>
      </w:r>
      <w:r w:rsidR="004B2DBC">
        <w:rPr>
          <w:rFonts w:asciiTheme="minorHAnsi" w:hAnsiTheme="minorHAnsi" w:cstheme="minorHAnsi"/>
          <w:bCs/>
          <w:iCs/>
          <w:spacing w:val="-3"/>
          <w:szCs w:val="24"/>
        </w:rPr>
        <w:t>irtinimo paslaugų centralizuotam</w:t>
      </w:r>
      <w:r w:rsidR="004B2DBC" w:rsidRPr="004B2DBC">
        <w:rPr>
          <w:rFonts w:asciiTheme="minorHAnsi" w:hAnsiTheme="minorHAnsi" w:cstheme="minorHAnsi"/>
          <w:bCs/>
          <w:iCs/>
          <w:spacing w:val="-3"/>
          <w:szCs w:val="24"/>
        </w:rPr>
        <w:t xml:space="preserve"> </w:t>
      </w:r>
      <w:bookmarkStart w:id="0" w:name="_GoBack"/>
      <w:bookmarkEnd w:id="0"/>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4B2DBC">
        <w:rPr>
          <w:rFonts w:asciiTheme="minorHAnsi" w:hAnsiTheme="minorHAnsi" w:cstheme="minorHAnsi"/>
          <w:b/>
          <w:szCs w:val="24"/>
        </w:rPr>
        <w:t>2025-04-0</w:t>
      </w:r>
      <w:r w:rsidR="001F3FA2">
        <w:rPr>
          <w:rFonts w:asciiTheme="minorHAnsi" w:hAnsiTheme="minorHAnsi" w:cstheme="minorHAnsi"/>
          <w:b/>
          <w:szCs w:val="24"/>
        </w:rPr>
        <w:t>8</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4B2DBC">
        <w:rPr>
          <w:rFonts w:asciiTheme="minorHAnsi" w:hAnsiTheme="minorHAnsi" w:cstheme="minorHAnsi"/>
          <w:b/>
          <w:szCs w:val="24"/>
        </w:rPr>
        <w:t>7</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B23532" w:rsidRPr="0084415E" w:rsidRDefault="00B23532" w:rsidP="0084415E">
      <w:pPr>
        <w:ind w:firstLine="851"/>
        <w:rPr>
          <w:rFonts w:asciiTheme="minorHAnsi" w:hAnsiTheme="minorHAnsi" w:cstheme="minorHAnsi"/>
          <w:szCs w:val="24"/>
        </w:rPr>
      </w:pP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4B2DBC">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 xml:space="preserve">sutarties </w:t>
            </w:r>
            <w:r w:rsidR="004B2DBC">
              <w:rPr>
                <w:rFonts w:eastAsia="Times New Roman" w:cstheme="minorHAnsi"/>
                <w:color w:val="000000"/>
                <w:sz w:val="24"/>
                <w:szCs w:val="24"/>
                <w:lang w:eastAsia="lt-LT"/>
              </w:rPr>
              <w:t xml:space="preserve">preliminariosios ir pagrindinės sutarčių </w:t>
            </w:r>
            <w:r w:rsidR="00A17393" w:rsidRPr="0084415E">
              <w:rPr>
                <w:rFonts w:eastAsia="Times New Roman" w:cstheme="minorHAnsi"/>
                <w:color w:val="000000"/>
                <w:sz w:val="24"/>
                <w:szCs w:val="24"/>
                <w:lang w:eastAsia="lt-LT"/>
              </w:rPr>
              <w:t>projekt</w:t>
            </w:r>
            <w:r w:rsidR="004B2DBC">
              <w:rPr>
                <w:rFonts w:eastAsia="Times New Roman" w:cstheme="minorHAnsi"/>
                <w:color w:val="000000"/>
                <w:sz w:val="24"/>
                <w:szCs w:val="24"/>
                <w:lang w:eastAsia="lt-LT"/>
              </w:rPr>
              <w:t>uose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4B2DBC" w:rsidRPr="004B2DBC">
              <w:rPr>
                <w:rFonts w:cstheme="minorHAnsi"/>
                <w:sz w:val="24"/>
                <w:szCs w:val="24"/>
              </w:rPr>
              <w:t xml:space="preserve">preliminariosios ir pagrindinės sutarčių projektuose </w:t>
            </w:r>
            <w:r w:rsidR="00AB6747" w:rsidRPr="0084415E">
              <w:rPr>
                <w:rFonts w:cstheme="minorHAnsi"/>
                <w:sz w:val="24"/>
                <w:szCs w:val="24"/>
              </w:rPr>
              <w:t xml:space="preserve">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CE4639" w:rsidRPr="0084415E" w:rsidTr="003D011D">
        <w:tc>
          <w:tcPr>
            <w:tcW w:w="9639" w:type="dxa"/>
            <w:tcBorders>
              <w:bottom w:val="dotted" w:sz="4" w:space="0" w:color="auto"/>
            </w:tcBorders>
          </w:tcPr>
          <w:p w:rsidR="00CE4639" w:rsidRPr="0084415E" w:rsidRDefault="002C022E" w:rsidP="0084415E">
            <w:pPr>
              <w:spacing w:line="276" w:lineRule="auto"/>
              <w:rPr>
                <w:rFonts w:cstheme="minorHAnsi"/>
                <w:sz w:val="24"/>
                <w:szCs w:val="24"/>
              </w:rPr>
            </w:pPr>
            <w:r w:rsidRPr="0084415E">
              <w:rPr>
                <w:rFonts w:cstheme="minorHAnsi"/>
                <w:sz w:val="24"/>
                <w:szCs w:val="24"/>
              </w:rPr>
              <w:t>3</w:t>
            </w:r>
            <w:r w:rsidR="00C14F81" w:rsidRPr="0084415E">
              <w:rPr>
                <w:rFonts w:cstheme="minorHAnsi"/>
                <w:sz w:val="24"/>
                <w:szCs w:val="24"/>
              </w:rPr>
              <w:t xml:space="preserve">. </w:t>
            </w:r>
            <w:r w:rsidR="00A17393" w:rsidRPr="0084415E">
              <w:rPr>
                <w:rFonts w:cstheme="minorHAnsi"/>
                <w:sz w:val="24"/>
                <w:szCs w:val="24"/>
              </w:rPr>
              <w:t>Ar nurodytas paslaugų suteikimo terminas yra pakankamas</w:t>
            </w:r>
            <w:r w:rsidR="00AB6747" w:rsidRPr="0084415E">
              <w:rPr>
                <w:rFonts w:cstheme="minorHAnsi"/>
                <w:sz w:val="24"/>
                <w:szCs w:val="24"/>
              </w:rPr>
              <w:t>?</w:t>
            </w:r>
          </w:p>
        </w:tc>
      </w:tr>
      <w:tr w:rsidR="00663B80" w:rsidRPr="0084415E" w:rsidTr="003D011D">
        <w:tc>
          <w:tcPr>
            <w:tcW w:w="9639" w:type="dxa"/>
            <w:tcBorders>
              <w:bottom w:val="single" w:sz="4" w:space="0" w:color="auto"/>
            </w:tcBorders>
          </w:tcPr>
          <w:p w:rsidR="00663B80" w:rsidRPr="0084415E" w:rsidRDefault="002C022E" w:rsidP="0084415E">
            <w:pPr>
              <w:spacing w:line="276" w:lineRule="auto"/>
              <w:jc w:val="both"/>
              <w:rPr>
                <w:rFonts w:cstheme="minorHAnsi"/>
                <w:i/>
                <w:sz w:val="24"/>
                <w:szCs w:val="24"/>
              </w:rPr>
            </w:pPr>
            <w:r w:rsidRPr="0084415E">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84415E" w:rsidP="0084415E">
            <w:pPr>
              <w:spacing w:line="276" w:lineRule="auto"/>
              <w:rPr>
                <w:rFonts w:cstheme="minorHAnsi"/>
                <w:sz w:val="24"/>
                <w:szCs w:val="24"/>
              </w:rPr>
            </w:pPr>
            <w:r w:rsidRPr="0084415E">
              <w:rPr>
                <w:rFonts w:cstheme="minorHAnsi"/>
                <w:sz w:val="24"/>
                <w:szCs w:val="24"/>
              </w:rPr>
              <w:t>5.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84415E" w:rsidP="0084415E">
            <w:pPr>
              <w:spacing w:line="276" w:lineRule="auto"/>
              <w:rPr>
                <w:rFonts w:eastAsia="Times New Roman" w:cstheme="minorHAnsi"/>
                <w:color w:val="000000"/>
                <w:sz w:val="24"/>
                <w:szCs w:val="24"/>
                <w:lang w:eastAsia="lt-LT"/>
              </w:rPr>
            </w:pPr>
            <w:r w:rsidRPr="0084415E">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F75D34">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DBC"/>
    <w:rsid w:val="004B2FB5"/>
    <w:rsid w:val="004B66E7"/>
    <w:rsid w:val="004C089D"/>
    <w:rsid w:val="004C17DC"/>
    <w:rsid w:val="004C2870"/>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75D34"/>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51F6-77DB-483B-81DA-E88C7B0B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2585</Words>
  <Characters>1475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9</cp:revision>
  <cp:lastPrinted>2025-01-22T11:34:00Z</cp:lastPrinted>
  <dcterms:created xsi:type="dcterms:W3CDTF">2024-07-05T07:14:00Z</dcterms:created>
  <dcterms:modified xsi:type="dcterms:W3CDTF">2025-04-03T11:54:00Z</dcterms:modified>
</cp:coreProperties>
</file>