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60C527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A9349B">
        <w:rPr>
          <w:rFonts w:eastAsia="Calibri"/>
          <w:szCs w:val="24"/>
        </w:rPr>
        <w:t>3</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4985F30E" w:rsidR="001160AB" w:rsidRPr="00432475" w:rsidRDefault="008656F7" w:rsidP="00A9381B">
      <w:pPr>
        <w:spacing w:line="259" w:lineRule="auto"/>
        <w:jc w:val="center"/>
        <w:rPr>
          <w:b/>
          <w:caps/>
          <w:sz w:val="20"/>
        </w:rPr>
      </w:pPr>
      <w:r>
        <w:rPr>
          <w:b/>
          <w:caps/>
          <w:sz w:val="20"/>
        </w:rPr>
        <w:t>ĮVAIRŪS MAISTO PRODUKTAI  (KAVINEI)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62DD307F" w14:textId="77777777" w:rsidR="00BD1E93" w:rsidRPr="00BD1E93" w:rsidRDefault="00BD1E93" w:rsidP="00BD1E93">
      <w:pPr>
        <w:spacing w:line="259" w:lineRule="auto"/>
        <w:jc w:val="center"/>
        <w:rPr>
          <w:b/>
          <w:caps/>
          <w:szCs w:val="24"/>
        </w:rPr>
      </w:pPr>
      <w:r w:rsidRPr="00BD1E93">
        <w:rPr>
          <w:b/>
          <w:caps/>
          <w:szCs w:val="24"/>
        </w:rPr>
        <w:lastRenderedPageBreak/>
        <w:t>ĮVAIRŪS MAISTO PRODUKTAI  (KAVINEI)</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47A9589B" w14:textId="77777777" w:rsidR="006F07B4" w:rsidRPr="00432475" w:rsidRDefault="006F07B4" w:rsidP="006F07B4">
            <w:pPr>
              <w:spacing w:line="259" w:lineRule="auto"/>
              <w:jc w:val="center"/>
              <w:rPr>
                <w:b/>
                <w:caps/>
                <w:sz w:val="20"/>
              </w:rPr>
            </w:pPr>
            <w:r>
              <w:rPr>
                <w:b/>
                <w:caps/>
                <w:sz w:val="20"/>
              </w:rPr>
              <w:t>ĮVAIRŪS MAISTO PRODUKTAI  (KAVINEI)</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1D07EDAF"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32F82F0C"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14726A">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6159AF7E"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757C13ED" w:rsidR="00193B56" w:rsidRPr="004C5E61" w:rsidRDefault="003E127D" w:rsidP="00193B56">
            <w:pPr>
              <w:autoSpaceDE w:val="0"/>
              <w:autoSpaceDN w:val="0"/>
              <w:adjustRightInd w:val="0"/>
              <w:rPr>
                <w:rFonts w:eastAsia="TimesNewRomanPSMT"/>
                <w:sz w:val="22"/>
                <w:szCs w:val="22"/>
              </w:rPr>
            </w:pPr>
            <w:r>
              <w:rPr>
                <w:rFonts w:eastAsia="TimesNewRomanPSMT"/>
                <w:sz w:val="22"/>
                <w:szCs w:val="22"/>
              </w:rPr>
              <w:t>Maisto tarnybos vyresnioji technologė Agnė Straukienė, tel. Nr. +370  6491036, el. paštas: agne.straukiene@kulig.lt</w:t>
            </w:r>
          </w:p>
          <w:p w14:paraId="48887821" w14:textId="77777777" w:rsidR="003E127D" w:rsidRDefault="003E127D" w:rsidP="00193B56">
            <w:pPr>
              <w:rPr>
                <w:rFonts w:eastAsia="Calibri"/>
                <w:sz w:val="22"/>
                <w:szCs w:val="22"/>
                <w14:ligatures w14:val="standardContextual"/>
              </w:rPr>
            </w:pPr>
          </w:p>
          <w:p w14:paraId="497764E7" w14:textId="347D5DE9"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0CC92CD8"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053F1C">
              <w:rPr>
                <w:kern w:val="2"/>
                <w:sz w:val="22"/>
                <w:szCs w:val="22"/>
              </w:rPr>
              <w:t>maisto produktus</w:t>
            </w:r>
            <w:r w:rsidR="00F7068C">
              <w:rPr>
                <w:kern w:val="2"/>
                <w:sz w:val="22"/>
                <w:szCs w:val="22"/>
              </w:rPr>
              <w:t xml:space="preserve">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53135776" w:rsidR="00E04D88" w:rsidRPr="00874B3C" w:rsidRDefault="00EF4EB3" w:rsidP="006F4C55">
            <w:pPr>
              <w:jc w:val="both"/>
              <w:rPr>
                <w:kern w:val="2"/>
                <w:sz w:val="22"/>
                <w:szCs w:val="22"/>
              </w:rPr>
            </w:pPr>
            <w:r>
              <w:rPr>
                <w:kern w:val="2"/>
                <w:sz w:val="22"/>
                <w:szCs w:val="22"/>
              </w:rPr>
              <w:t>2017977</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2BF8B3A" w14:textId="29B6D7E8" w:rsidR="00C77C77" w:rsidRPr="00C77C77" w:rsidRDefault="00C77C77" w:rsidP="005F3E80">
            <w:pPr>
              <w:jc w:val="both"/>
              <w:rPr>
                <w:b/>
                <w:bCs/>
                <w:kern w:val="2"/>
                <w:sz w:val="22"/>
                <w:szCs w:val="22"/>
              </w:rPr>
            </w:pPr>
            <w:r w:rsidRPr="00C77C77">
              <w:rPr>
                <w:b/>
                <w:bCs/>
                <w:kern w:val="2"/>
                <w:sz w:val="22"/>
                <w:szCs w:val="22"/>
              </w:rPr>
              <w:t>1 pirkimo dali</w:t>
            </w:r>
            <w:r w:rsidR="00C33767">
              <w:rPr>
                <w:b/>
                <w:bCs/>
                <w:kern w:val="2"/>
                <w:sz w:val="22"/>
                <w:szCs w:val="22"/>
              </w:rPr>
              <w:t>s</w:t>
            </w:r>
            <w:r w:rsidRPr="00C77C77">
              <w:rPr>
                <w:b/>
                <w:bCs/>
                <w:kern w:val="2"/>
                <w:sz w:val="22"/>
                <w:szCs w:val="22"/>
              </w:rPr>
              <w:t xml:space="preserve">. </w:t>
            </w:r>
          </w:p>
          <w:p w14:paraId="588F7EDF" w14:textId="16FB907C" w:rsidR="00C77C77" w:rsidRDefault="00C77C77" w:rsidP="00C77C77">
            <w:pPr>
              <w:jc w:val="both"/>
              <w:rPr>
                <w:kern w:val="2"/>
                <w:sz w:val="22"/>
                <w:szCs w:val="22"/>
              </w:rPr>
            </w:pPr>
            <w:r w:rsidRPr="000D629B">
              <w:rPr>
                <w:kern w:val="2"/>
                <w:sz w:val="22"/>
                <w:szCs w:val="22"/>
              </w:rPr>
              <w:t xml:space="preserve">Tiekėjas įsipareigoja pristatyti Prekes </w:t>
            </w:r>
            <w:r>
              <w:rPr>
                <w:kern w:val="2"/>
                <w:sz w:val="22"/>
                <w:szCs w:val="22"/>
              </w:rPr>
              <w:t xml:space="preserve">ne daugiau </w:t>
            </w:r>
            <w:r w:rsidRPr="00F07189">
              <w:rPr>
                <w:b/>
                <w:bCs/>
                <w:kern w:val="2"/>
                <w:sz w:val="22"/>
                <w:szCs w:val="22"/>
              </w:rPr>
              <w:t>3 kartus</w:t>
            </w:r>
            <w:r>
              <w:rPr>
                <w:kern w:val="2"/>
                <w:sz w:val="22"/>
                <w:szCs w:val="22"/>
              </w:rPr>
              <w:t xml:space="preserve"> per savaite pagal iš anksto pateiktą užsakymą pardavėjui telefonu arba el. paštu dieną prieš pristatymą</w:t>
            </w:r>
            <w:r w:rsidR="00645DA4">
              <w:rPr>
                <w:kern w:val="2"/>
                <w:sz w:val="22"/>
                <w:szCs w:val="22"/>
              </w:rPr>
              <w:t xml:space="preserve">, užsakymas turi būti pristatytas sekančią dieną </w:t>
            </w:r>
            <w:r>
              <w:rPr>
                <w:kern w:val="2"/>
                <w:sz w:val="22"/>
                <w:szCs w:val="22"/>
              </w:rPr>
              <w:t>iki 1</w:t>
            </w:r>
            <w:r>
              <w:rPr>
                <w:kern w:val="2"/>
                <w:sz w:val="22"/>
                <w:szCs w:val="22"/>
              </w:rPr>
              <w:t>1</w:t>
            </w:r>
            <w:r>
              <w:rPr>
                <w:kern w:val="2"/>
                <w:sz w:val="22"/>
                <w:szCs w:val="22"/>
              </w:rPr>
              <w:t xml:space="preserve"> valandos.</w:t>
            </w:r>
          </w:p>
          <w:p w14:paraId="140317D1" w14:textId="77777777" w:rsidR="00C77C77" w:rsidRDefault="00C77C77" w:rsidP="00C77C77">
            <w:pPr>
              <w:jc w:val="both"/>
              <w:rPr>
                <w:kern w:val="2"/>
                <w:sz w:val="22"/>
                <w:szCs w:val="22"/>
              </w:rPr>
            </w:pPr>
            <w:r>
              <w:rPr>
                <w:kern w:val="2"/>
                <w:sz w:val="22"/>
                <w:szCs w:val="22"/>
              </w:rPr>
              <w:t>Šiais adresais</w:t>
            </w:r>
            <w:r w:rsidRPr="000D629B">
              <w:rPr>
                <w:kern w:val="2"/>
                <w:sz w:val="22"/>
                <w:szCs w:val="22"/>
              </w:rPr>
              <w:t xml:space="preserve">: </w:t>
            </w:r>
          </w:p>
          <w:p w14:paraId="55B5687E" w14:textId="77777777" w:rsidR="00C77C77" w:rsidRPr="00051B35" w:rsidRDefault="00C77C77" w:rsidP="00C77C77">
            <w:pPr>
              <w:jc w:val="both"/>
              <w:rPr>
                <w:kern w:val="2"/>
                <w:sz w:val="22"/>
                <w:szCs w:val="22"/>
              </w:rPr>
            </w:pPr>
            <w:r>
              <w:rPr>
                <w:kern w:val="2"/>
                <w:sz w:val="22"/>
                <w:szCs w:val="22"/>
              </w:rPr>
              <w:t xml:space="preserve">1. </w:t>
            </w:r>
            <w:r w:rsidRPr="00051B35">
              <w:rPr>
                <w:kern w:val="2"/>
                <w:sz w:val="22"/>
                <w:szCs w:val="22"/>
              </w:rPr>
              <w:t>Liepojos g. 41, Klaip</w:t>
            </w:r>
            <w:r w:rsidRPr="00051B35">
              <w:rPr>
                <w:rFonts w:hint="eastAsia"/>
                <w:kern w:val="2"/>
                <w:sz w:val="22"/>
                <w:szCs w:val="22"/>
              </w:rPr>
              <w:t>ė</w:t>
            </w:r>
            <w:r w:rsidRPr="00051B35">
              <w:rPr>
                <w:kern w:val="2"/>
                <w:sz w:val="22"/>
                <w:szCs w:val="22"/>
              </w:rPr>
              <w:t>da, 92288</w:t>
            </w:r>
          </w:p>
          <w:p w14:paraId="7EF6F4EF" w14:textId="6AD715AF" w:rsidR="00C77C77" w:rsidRPr="00051B35" w:rsidRDefault="00C77C77" w:rsidP="00C77C77">
            <w:pPr>
              <w:jc w:val="both"/>
              <w:rPr>
                <w:kern w:val="2"/>
                <w:sz w:val="22"/>
                <w:szCs w:val="22"/>
              </w:rPr>
            </w:pPr>
            <w:r w:rsidRPr="00051B35">
              <w:rPr>
                <w:kern w:val="2"/>
                <w:sz w:val="22"/>
                <w:szCs w:val="22"/>
              </w:rPr>
              <w:t>2. Liepojos g. 45, Klaip</w:t>
            </w:r>
            <w:r w:rsidRPr="00051B35">
              <w:rPr>
                <w:rFonts w:hint="eastAsia"/>
                <w:kern w:val="2"/>
                <w:sz w:val="22"/>
                <w:szCs w:val="22"/>
              </w:rPr>
              <w:t>ė</w:t>
            </w:r>
            <w:r w:rsidRPr="00051B35">
              <w:rPr>
                <w:kern w:val="2"/>
                <w:sz w:val="22"/>
                <w:szCs w:val="22"/>
              </w:rPr>
              <w:t>da, 92288</w:t>
            </w:r>
          </w:p>
          <w:p w14:paraId="454F5B32" w14:textId="77777777" w:rsidR="00C77C77" w:rsidRDefault="00C77C77" w:rsidP="005F3E80">
            <w:pPr>
              <w:jc w:val="both"/>
              <w:rPr>
                <w:kern w:val="2"/>
                <w:sz w:val="22"/>
                <w:szCs w:val="22"/>
              </w:rPr>
            </w:pPr>
          </w:p>
          <w:p w14:paraId="4BB66F8E" w14:textId="13096DA6" w:rsidR="00C33767" w:rsidRPr="00C33767" w:rsidRDefault="00C33767" w:rsidP="00C77C77">
            <w:pPr>
              <w:jc w:val="both"/>
              <w:rPr>
                <w:b/>
                <w:bCs/>
                <w:kern w:val="2"/>
                <w:sz w:val="22"/>
                <w:szCs w:val="22"/>
              </w:rPr>
            </w:pPr>
            <w:r w:rsidRPr="00C33767">
              <w:rPr>
                <w:b/>
                <w:bCs/>
                <w:kern w:val="2"/>
                <w:sz w:val="22"/>
                <w:szCs w:val="22"/>
              </w:rPr>
              <w:t>2-8 pirkimo dalims.</w:t>
            </w:r>
          </w:p>
          <w:p w14:paraId="24716958" w14:textId="0460E272" w:rsidR="00143125" w:rsidRDefault="00C77C77" w:rsidP="00143125">
            <w:pPr>
              <w:jc w:val="both"/>
              <w:rPr>
                <w:kern w:val="2"/>
                <w:sz w:val="22"/>
                <w:szCs w:val="22"/>
              </w:rPr>
            </w:pPr>
            <w:r w:rsidRPr="000D629B">
              <w:rPr>
                <w:kern w:val="2"/>
                <w:sz w:val="22"/>
                <w:szCs w:val="22"/>
              </w:rPr>
              <w:t xml:space="preserve">Tiekėjas įsipareigoja pristatyti Prekes </w:t>
            </w:r>
            <w:r w:rsidR="0039517A" w:rsidRPr="00F07189">
              <w:rPr>
                <w:b/>
                <w:bCs/>
                <w:kern w:val="2"/>
                <w:sz w:val="22"/>
                <w:szCs w:val="22"/>
              </w:rPr>
              <w:t>2</w:t>
            </w:r>
            <w:r w:rsidRPr="00F07189">
              <w:rPr>
                <w:b/>
                <w:bCs/>
                <w:kern w:val="2"/>
                <w:sz w:val="22"/>
                <w:szCs w:val="22"/>
              </w:rPr>
              <w:t xml:space="preserve"> kartus</w:t>
            </w:r>
            <w:r>
              <w:rPr>
                <w:kern w:val="2"/>
                <w:sz w:val="22"/>
                <w:szCs w:val="22"/>
              </w:rPr>
              <w:t xml:space="preserve"> per savaite pagal </w:t>
            </w:r>
            <w:r w:rsidR="00143125">
              <w:rPr>
                <w:kern w:val="2"/>
                <w:sz w:val="22"/>
                <w:szCs w:val="22"/>
              </w:rPr>
              <w:t>iš anksto pateiktą užsakymą pardavėjui telefonu arba el. paštu dieną prieš pristatymą, užsakymas turi būti pristatytas sekančią dieną iki 11 valandos.</w:t>
            </w:r>
          </w:p>
          <w:p w14:paraId="0F0D71A4" w14:textId="2DE31389" w:rsidR="00C77C77" w:rsidRDefault="00C77C77" w:rsidP="00C77C77">
            <w:pPr>
              <w:jc w:val="both"/>
              <w:rPr>
                <w:kern w:val="2"/>
                <w:sz w:val="22"/>
                <w:szCs w:val="22"/>
              </w:rPr>
            </w:pPr>
            <w:r>
              <w:rPr>
                <w:kern w:val="2"/>
                <w:sz w:val="22"/>
                <w:szCs w:val="22"/>
              </w:rPr>
              <w:t>Šiais adresais</w:t>
            </w:r>
            <w:r w:rsidRPr="000D629B">
              <w:rPr>
                <w:kern w:val="2"/>
                <w:sz w:val="22"/>
                <w:szCs w:val="22"/>
              </w:rPr>
              <w:t xml:space="preserve">: </w:t>
            </w:r>
          </w:p>
          <w:p w14:paraId="11CD5ABA" w14:textId="77777777" w:rsidR="00C77C77" w:rsidRPr="00051B35" w:rsidRDefault="00C77C77" w:rsidP="00C77C77">
            <w:pPr>
              <w:jc w:val="both"/>
              <w:rPr>
                <w:kern w:val="2"/>
                <w:sz w:val="22"/>
                <w:szCs w:val="22"/>
              </w:rPr>
            </w:pPr>
            <w:r>
              <w:rPr>
                <w:kern w:val="2"/>
                <w:sz w:val="22"/>
                <w:szCs w:val="22"/>
              </w:rPr>
              <w:t xml:space="preserve">1. </w:t>
            </w:r>
            <w:r w:rsidRPr="00051B35">
              <w:rPr>
                <w:kern w:val="2"/>
                <w:sz w:val="22"/>
                <w:szCs w:val="22"/>
              </w:rPr>
              <w:t>Liepojos g. 41, Klaip</w:t>
            </w:r>
            <w:r w:rsidRPr="00051B35">
              <w:rPr>
                <w:rFonts w:hint="eastAsia"/>
                <w:kern w:val="2"/>
                <w:sz w:val="22"/>
                <w:szCs w:val="22"/>
              </w:rPr>
              <w:t>ė</w:t>
            </w:r>
            <w:r w:rsidRPr="00051B35">
              <w:rPr>
                <w:kern w:val="2"/>
                <w:sz w:val="22"/>
                <w:szCs w:val="22"/>
              </w:rPr>
              <w:t>da, 92288</w:t>
            </w:r>
          </w:p>
          <w:p w14:paraId="3A06B223" w14:textId="1052E0DF" w:rsidR="00C77C77" w:rsidRPr="00051B35" w:rsidRDefault="00C77C77" w:rsidP="00C77C77">
            <w:pPr>
              <w:jc w:val="both"/>
              <w:rPr>
                <w:kern w:val="2"/>
                <w:sz w:val="22"/>
                <w:szCs w:val="22"/>
              </w:rPr>
            </w:pPr>
            <w:r w:rsidRPr="00051B35">
              <w:rPr>
                <w:kern w:val="2"/>
                <w:sz w:val="22"/>
                <w:szCs w:val="22"/>
              </w:rPr>
              <w:t>2. Liepojos g. 45, Klaip</w:t>
            </w:r>
            <w:r w:rsidRPr="00051B35">
              <w:rPr>
                <w:rFonts w:hint="eastAsia"/>
                <w:kern w:val="2"/>
                <w:sz w:val="22"/>
                <w:szCs w:val="22"/>
              </w:rPr>
              <w:t>ė</w:t>
            </w:r>
            <w:r w:rsidRPr="00051B35">
              <w:rPr>
                <w:kern w:val="2"/>
                <w:sz w:val="22"/>
                <w:szCs w:val="22"/>
              </w:rPr>
              <w:t>da, 92288</w:t>
            </w:r>
          </w:p>
          <w:p w14:paraId="2E346D69" w14:textId="06BB3FE9" w:rsidR="005F3E80" w:rsidRPr="005F7DDB" w:rsidRDefault="005F3E80" w:rsidP="00051B35">
            <w:pPr>
              <w:jc w:val="both"/>
              <w:rPr>
                <w:kern w:val="2"/>
                <w:sz w:val="22"/>
                <w:szCs w:val="22"/>
              </w:rPr>
            </w:pP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45C606C4" w:rsidR="00825A64" w:rsidRPr="00874B3C" w:rsidRDefault="00280600" w:rsidP="00785907">
            <w:pPr>
              <w:jc w:val="both"/>
              <w:rPr>
                <w:kern w:val="2"/>
                <w:sz w:val="22"/>
                <w:szCs w:val="22"/>
              </w:rPr>
            </w:pPr>
            <w:r>
              <w:rPr>
                <w:kern w:val="2"/>
                <w:sz w:val="22"/>
                <w:szCs w:val="22"/>
              </w:rPr>
              <w:t>Netaikoma.</w:t>
            </w:r>
            <w:r w:rsidR="00785907">
              <w:rPr>
                <w:kern w:val="2"/>
                <w:sz w:val="22"/>
                <w:szCs w:val="22"/>
              </w:rPr>
              <w:t xml:space="preserve">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59638DF9" w:rsidR="005F3E80" w:rsidRPr="00874B3C" w:rsidRDefault="005F3E80" w:rsidP="005F3E8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 xml:space="preserve">Sutarties kainos / įkainių peržiūra dėl kitų </w:t>
            </w:r>
            <w:r w:rsidRPr="00874B3C">
              <w:rPr>
                <w:b/>
                <w:bCs/>
                <w:kern w:val="2"/>
                <w:sz w:val="22"/>
                <w:szCs w:val="22"/>
              </w:rPr>
              <w:lastRenderedPageBreak/>
              <w:t>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lastRenderedPageBreak/>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D58A1" w:rsidRPr="00874B3C" w14:paraId="078508B8" w14:textId="77777777" w:rsidTr="000E12A3">
        <w:trPr>
          <w:trHeight w:val="300"/>
        </w:trPr>
        <w:tc>
          <w:tcPr>
            <w:tcW w:w="2704" w:type="dxa"/>
            <w:gridSpan w:val="2"/>
          </w:tcPr>
          <w:p w14:paraId="0258A447" w14:textId="77A9F81E" w:rsidR="009D58A1" w:rsidRPr="001160AB" w:rsidRDefault="009D58A1" w:rsidP="009D58A1">
            <w:pPr>
              <w:jc w:val="both"/>
              <w:rPr>
                <w:b/>
                <w:bCs/>
                <w:kern w:val="2"/>
                <w:sz w:val="22"/>
                <w:szCs w:val="22"/>
              </w:rPr>
            </w:pPr>
            <w:r w:rsidRPr="00874B3C">
              <w:rPr>
                <w:b/>
                <w:bCs/>
                <w:kern w:val="2"/>
                <w:sz w:val="22"/>
                <w:szCs w:val="22"/>
              </w:rPr>
              <w:lastRenderedPageBreak/>
              <w:t>5.3.3. Sutarties kainos / įkainių peržiūra dėl kainų lygio pokyčio</w:t>
            </w:r>
          </w:p>
        </w:tc>
        <w:tc>
          <w:tcPr>
            <w:tcW w:w="6831" w:type="dxa"/>
          </w:tcPr>
          <w:p w14:paraId="7EA0D33F" w14:textId="77777777" w:rsidR="00D17A6E" w:rsidRPr="00874B3C" w:rsidRDefault="00D17A6E" w:rsidP="00D17A6E">
            <w:pPr>
              <w:jc w:val="both"/>
              <w:rPr>
                <w:kern w:val="2"/>
                <w:sz w:val="22"/>
                <w:szCs w:val="22"/>
              </w:rPr>
            </w:pPr>
            <w:r w:rsidRPr="00874B3C">
              <w:rPr>
                <w:kern w:val="2"/>
                <w:sz w:val="22"/>
                <w:szCs w:val="22"/>
              </w:rPr>
              <w:t>Netaikoma</w:t>
            </w:r>
          </w:p>
          <w:p w14:paraId="0EA53932" w14:textId="77777777" w:rsidR="00D17A6E" w:rsidRDefault="00D17A6E" w:rsidP="009D58A1">
            <w:pPr>
              <w:jc w:val="both"/>
              <w:rPr>
                <w:kern w:val="2"/>
                <w:sz w:val="22"/>
                <w:szCs w:val="22"/>
              </w:rPr>
            </w:pPr>
          </w:p>
          <w:p w14:paraId="4886D700" w14:textId="0DF909B5" w:rsidR="009D58A1" w:rsidRPr="000D629B" w:rsidRDefault="009D58A1" w:rsidP="00C9674B">
            <w:pPr>
              <w:jc w:val="both"/>
              <w:rPr>
                <w:kern w:val="2"/>
                <w:sz w:val="22"/>
                <w:szCs w:val="22"/>
              </w:rPr>
            </w:pPr>
          </w:p>
          <w:p w14:paraId="5C641BA2" w14:textId="34E45AAF" w:rsidR="009D58A1" w:rsidRPr="00874B3C" w:rsidRDefault="009D58A1" w:rsidP="009D58A1">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9D58A1" w:rsidRPr="00874B3C" w14:paraId="4BF20F61" w14:textId="77777777" w:rsidTr="000E12A3">
        <w:trPr>
          <w:trHeight w:val="300"/>
        </w:trPr>
        <w:tc>
          <w:tcPr>
            <w:tcW w:w="2704" w:type="dxa"/>
            <w:gridSpan w:val="2"/>
          </w:tcPr>
          <w:p w14:paraId="74A9D436" w14:textId="77777777" w:rsidR="009D58A1" w:rsidRPr="00874B3C" w:rsidRDefault="009D58A1" w:rsidP="009D58A1">
            <w:pPr>
              <w:jc w:val="both"/>
              <w:rPr>
                <w:b/>
                <w:bCs/>
                <w:kern w:val="2"/>
                <w:sz w:val="22"/>
                <w:szCs w:val="22"/>
              </w:rPr>
            </w:pPr>
            <w:r w:rsidRPr="00874B3C">
              <w:rPr>
                <w:b/>
                <w:bCs/>
                <w:kern w:val="2"/>
                <w:sz w:val="22"/>
                <w:szCs w:val="22"/>
              </w:rPr>
              <w:t>5.5. Atsiskaitymo su Tiekėju terminas ir tvarka</w:t>
            </w:r>
          </w:p>
        </w:tc>
        <w:tc>
          <w:tcPr>
            <w:tcW w:w="6831" w:type="dxa"/>
          </w:tcPr>
          <w:p w14:paraId="373A2033" w14:textId="3AA13DF2" w:rsidR="002826E2" w:rsidRPr="00101C21" w:rsidRDefault="009D58A1" w:rsidP="00874B01">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w:t>
            </w:r>
            <w:r w:rsidR="00E722A4" w:rsidRPr="002826E2">
              <w:rPr>
                <w:kern w:val="2"/>
                <w:sz w:val="22"/>
                <w:szCs w:val="22"/>
              </w:rPr>
              <w:t xml:space="preserve"> </w:t>
            </w:r>
            <w:r w:rsidR="00FE28A1" w:rsidRPr="002826E2">
              <w:rPr>
                <w:sz w:val="22"/>
                <w:szCs w:val="22"/>
              </w:rPr>
              <w:t>E</w:t>
            </w:r>
            <w:r w:rsidRPr="002826E2">
              <w:rPr>
                <w:sz w:val="22"/>
                <w:szCs w:val="22"/>
              </w:rPr>
              <w:t>lektroninės sąskaitos faktūros pateikiamos, priimamos ir apdorojamos naudojantis „S</w:t>
            </w:r>
            <w:r w:rsidRPr="002826E2">
              <w:rPr>
                <w:spacing w:val="-2"/>
                <w:sz w:val="22"/>
                <w:szCs w:val="22"/>
              </w:rPr>
              <w:t>ąskaitų administravimo bendrosios informacinę sistemą“ (toliau – SABIS).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414F5" w:rsidRPr="00874B3C" w14:paraId="2695598A" w14:textId="77777777" w:rsidTr="000E12A3">
        <w:trPr>
          <w:trHeight w:val="300"/>
        </w:trPr>
        <w:tc>
          <w:tcPr>
            <w:tcW w:w="2704" w:type="dxa"/>
            <w:gridSpan w:val="2"/>
          </w:tcPr>
          <w:p w14:paraId="54A657B1" w14:textId="77777777" w:rsidR="003414F5" w:rsidRPr="00874B3C" w:rsidRDefault="003414F5" w:rsidP="003414F5">
            <w:pPr>
              <w:jc w:val="both"/>
              <w:rPr>
                <w:b/>
                <w:bCs/>
                <w:kern w:val="2"/>
                <w:sz w:val="22"/>
                <w:szCs w:val="22"/>
              </w:rPr>
            </w:pPr>
            <w:r w:rsidRPr="00874B3C">
              <w:rPr>
                <w:b/>
                <w:bCs/>
                <w:kern w:val="2"/>
                <w:sz w:val="22"/>
                <w:szCs w:val="22"/>
              </w:rPr>
              <w:t>6.1. Garantinis terminas</w:t>
            </w:r>
          </w:p>
        </w:tc>
        <w:tc>
          <w:tcPr>
            <w:tcW w:w="6831" w:type="dxa"/>
          </w:tcPr>
          <w:p w14:paraId="7434BF21" w14:textId="02169481" w:rsidR="003414F5" w:rsidRPr="00874B3C" w:rsidRDefault="00E31316" w:rsidP="003414F5">
            <w:pPr>
              <w:jc w:val="both"/>
              <w:rPr>
                <w:kern w:val="2"/>
                <w:sz w:val="22"/>
                <w:szCs w:val="22"/>
              </w:rPr>
            </w:pPr>
            <w:r>
              <w:rPr>
                <w:sz w:val="22"/>
                <w:szCs w:val="22"/>
              </w:rPr>
              <w:t>Netaikoma</w:t>
            </w:r>
          </w:p>
        </w:tc>
      </w:tr>
      <w:tr w:rsidR="009D58A1" w:rsidRPr="00874B3C" w14:paraId="43478B43" w14:textId="77777777" w:rsidTr="000E12A3">
        <w:trPr>
          <w:trHeight w:val="300"/>
        </w:trPr>
        <w:tc>
          <w:tcPr>
            <w:tcW w:w="2704" w:type="dxa"/>
            <w:gridSpan w:val="2"/>
          </w:tcPr>
          <w:p w14:paraId="4A98C30C" w14:textId="77777777" w:rsidR="009D58A1" w:rsidRPr="00874B3C" w:rsidRDefault="009D58A1" w:rsidP="009D58A1">
            <w:pPr>
              <w:jc w:val="both"/>
              <w:rPr>
                <w:b/>
                <w:bCs/>
                <w:kern w:val="2"/>
                <w:sz w:val="22"/>
                <w:szCs w:val="22"/>
              </w:rPr>
            </w:pPr>
            <w:r w:rsidRPr="00874B3C">
              <w:rPr>
                <w:b/>
                <w:bCs/>
                <w:kern w:val="2"/>
                <w:sz w:val="22"/>
                <w:szCs w:val="22"/>
              </w:rPr>
              <w:t>6.2. Garantinė priežiūra</w:t>
            </w:r>
          </w:p>
        </w:tc>
        <w:tc>
          <w:tcPr>
            <w:tcW w:w="6831" w:type="dxa"/>
          </w:tcPr>
          <w:p w14:paraId="7FFA6026" w14:textId="402DF844" w:rsidR="009D58A1" w:rsidRPr="00B7507A" w:rsidRDefault="00490778" w:rsidP="00B7507A">
            <w:pPr>
              <w:jc w:val="both"/>
              <w:rPr>
                <w:kern w:val="2"/>
                <w:sz w:val="22"/>
                <w:szCs w:val="22"/>
              </w:rPr>
            </w:pPr>
            <w:r>
              <w:rPr>
                <w:kern w:val="2"/>
                <w:sz w:val="22"/>
                <w:szCs w:val="22"/>
              </w:rPr>
              <w:t>Netaikoma.</w:t>
            </w:r>
            <w:r w:rsidR="00E037CF">
              <w:rPr>
                <w:kern w:val="2"/>
                <w:sz w:val="22"/>
                <w:szCs w:val="22"/>
              </w:rPr>
              <w:t xml:space="preserve"> </w:t>
            </w:r>
            <w:r w:rsidR="00B7507A" w:rsidRPr="00B7507A">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w:t>
            </w:r>
            <w:r w:rsidRPr="00874B3C">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9D58A1" w:rsidRPr="00874B3C" w14:paraId="23298CD4" w14:textId="77777777" w:rsidTr="000E12A3">
        <w:trPr>
          <w:trHeight w:val="300"/>
        </w:trPr>
        <w:tc>
          <w:tcPr>
            <w:tcW w:w="2704" w:type="dxa"/>
            <w:gridSpan w:val="2"/>
          </w:tcPr>
          <w:p w14:paraId="50C3AB26" w14:textId="77777777" w:rsidR="009D58A1" w:rsidRPr="00874B3C" w:rsidRDefault="009D58A1" w:rsidP="009D58A1">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9D58A1" w:rsidRPr="000560DD" w:rsidRDefault="009D58A1" w:rsidP="009D58A1">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429B8432" w:rsidR="009D58A1" w:rsidRPr="000560DD" w:rsidRDefault="000560DD" w:rsidP="009D58A1">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263A17">
              <w:rPr>
                <w:color w:val="000000"/>
                <w:kern w:val="2"/>
                <w:sz w:val="22"/>
                <w:szCs w:val="22"/>
              </w:rPr>
              <w:t>1</w:t>
            </w:r>
            <w:r w:rsidR="001D41FB">
              <w:rPr>
                <w:color w:val="000000"/>
                <w:kern w:val="2"/>
                <w:sz w:val="22"/>
                <w:szCs w:val="22"/>
              </w:rPr>
              <w:t>2</w:t>
            </w:r>
            <w:r w:rsidR="00263A17">
              <w:rPr>
                <w:color w:val="000000"/>
                <w:kern w:val="2"/>
                <w:sz w:val="22"/>
                <w:szCs w:val="22"/>
              </w:rPr>
              <w:t xml:space="preserve"> (dvylika)</w:t>
            </w:r>
            <w:r w:rsidRPr="000560DD">
              <w:rPr>
                <w:color w:val="000000"/>
                <w:kern w:val="2"/>
                <w:sz w:val="22"/>
                <w:szCs w:val="22"/>
              </w:rPr>
              <w:t xml:space="preserve"> mėnesi</w:t>
            </w:r>
            <w:r w:rsidR="00263A17">
              <w:rPr>
                <w:color w:val="000000"/>
                <w:kern w:val="2"/>
                <w:sz w:val="22"/>
                <w:szCs w:val="22"/>
              </w:rPr>
              <w:t>ų</w:t>
            </w:r>
            <w:r w:rsidR="00E31316">
              <w:rPr>
                <w:color w:val="000000"/>
                <w:kern w:val="2"/>
                <w:sz w:val="22"/>
                <w:szCs w:val="22"/>
              </w:rPr>
              <w:t>.</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w:t>
            </w:r>
            <w:r w:rsidRPr="00874B3C">
              <w:rPr>
                <w:color w:val="000000"/>
                <w:kern w:val="2"/>
                <w:sz w:val="22"/>
                <w:szCs w:val="22"/>
                <w:shd w:val="clear" w:color="auto" w:fill="FFFFFF"/>
              </w:rPr>
              <w:lastRenderedPageBreak/>
              <w:t xml:space="preserve">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3E581481" w14:textId="4B291017" w:rsidR="00211DAA" w:rsidRPr="00F37BFC" w:rsidRDefault="00211DAA" w:rsidP="00673BA8">
            <w:pPr>
              <w:jc w:val="center"/>
              <w:rPr>
                <w:b/>
                <w:bCs/>
                <w:kern w:val="2"/>
                <w:sz w:val="22"/>
                <w:szCs w:val="22"/>
              </w:rPr>
            </w:pPr>
            <w:r w:rsidRPr="00F37BFC">
              <w:rPr>
                <w:b/>
                <w:bCs/>
                <w:kern w:val="2"/>
                <w:sz w:val="22"/>
                <w:szCs w:val="22"/>
              </w:rPr>
              <w:t xml:space="preserve">13. BENDRŲJŲ SĄLYGŲ PAKEITIMAI IR PAPILDYMAI </w:t>
            </w:r>
          </w:p>
        </w:tc>
      </w:tr>
      <w:tr w:rsidR="00211DAA" w:rsidRPr="000D629B" w14:paraId="51229D37" w14:textId="77777777" w:rsidTr="00C9674B">
        <w:trPr>
          <w:trHeight w:val="300"/>
        </w:trPr>
        <w:tc>
          <w:tcPr>
            <w:tcW w:w="2532" w:type="dxa"/>
          </w:tcPr>
          <w:p w14:paraId="2458A0E4" w14:textId="293F8F0A" w:rsidR="00211DAA" w:rsidRPr="000D629B" w:rsidRDefault="002826E2" w:rsidP="00211DAA">
            <w:pPr>
              <w:rPr>
                <w:b/>
                <w:bCs/>
                <w:kern w:val="2"/>
                <w:sz w:val="22"/>
                <w:szCs w:val="22"/>
              </w:rPr>
            </w:pPr>
            <w:r>
              <w:rPr>
                <w:b/>
                <w:bCs/>
                <w:kern w:val="2"/>
                <w:sz w:val="22"/>
                <w:szCs w:val="22"/>
              </w:rPr>
              <w:t>13.1.</w:t>
            </w:r>
          </w:p>
        </w:tc>
        <w:tc>
          <w:tcPr>
            <w:tcW w:w="7003" w:type="dxa"/>
            <w:gridSpan w:val="2"/>
          </w:tcPr>
          <w:p w14:paraId="2B95BF59" w14:textId="77777777" w:rsidR="002826E2" w:rsidRDefault="002826E2" w:rsidP="002826E2">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2826E2" w:rsidRDefault="002826E2" w:rsidP="002826E2">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xml:space="preserve">), Tiekėjas gali pateikti per </w:t>
            </w:r>
            <w:r>
              <w:rPr>
                <w:bCs/>
                <w:sz w:val="22"/>
                <w:szCs w:val="22"/>
              </w:rPr>
              <w:lastRenderedPageBreak/>
              <w:t>informacinę sistemą „SABIS“ arba per kitą savo pasirinktą informacinę sistemą;</w:t>
            </w:r>
          </w:p>
          <w:p w14:paraId="1E13533F" w14:textId="77777777" w:rsidR="002826E2" w:rsidRDefault="002826E2" w:rsidP="002826E2">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211DAA" w:rsidRPr="00F37BFC" w:rsidRDefault="002826E2" w:rsidP="002826E2">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2826E2" w:rsidRPr="000D629B" w14:paraId="7C3A7949" w14:textId="77777777" w:rsidTr="00C9674B">
        <w:trPr>
          <w:trHeight w:val="300"/>
        </w:trPr>
        <w:tc>
          <w:tcPr>
            <w:tcW w:w="2532" w:type="dxa"/>
          </w:tcPr>
          <w:p w14:paraId="186201C5" w14:textId="0BB8CCAD" w:rsidR="002826E2" w:rsidRDefault="002826E2" w:rsidP="002826E2">
            <w:pPr>
              <w:rPr>
                <w:b/>
                <w:bCs/>
                <w:kern w:val="2"/>
                <w:sz w:val="22"/>
                <w:szCs w:val="22"/>
              </w:rPr>
            </w:pPr>
            <w:r>
              <w:rPr>
                <w:b/>
                <w:bCs/>
                <w:kern w:val="2"/>
                <w:sz w:val="22"/>
                <w:szCs w:val="22"/>
              </w:rPr>
              <w:lastRenderedPageBreak/>
              <w:t>13.2. Ginčų sprendimo vieta</w:t>
            </w:r>
          </w:p>
        </w:tc>
        <w:tc>
          <w:tcPr>
            <w:tcW w:w="7003" w:type="dxa"/>
            <w:gridSpan w:val="2"/>
          </w:tcPr>
          <w:p w14:paraId="7A1BD20F"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p>
        </w:tc>
      </w:tr>
      <w:tr w:rsidR="002826E2" w:rsidRPr="000D629B" w14:paraId="777893EA" w14:textId="77777777" w:rsidTr="000D5954">
        <w:trPr>
          <w:trHeight w:val="300"/>
        </w:trPr>
        <w:tc>
          <w:tcPr>
            <w:tcW w:w="9535" w:type="dxa"/>
            <w:gridSpan w:val="3"/>
          </w:tcPr>
          <w:p w14:paraId="37F61B0D" w14:textId="77777777" w:rsidR="002826E2" w:rsidRPr="000D629B" w:rsidRDefault="002826E2" w:rsidP="002826E2">
            <w:pPr>
              <w:jc w:val="center"/>
              <w:rPr>
                <w:b/>
                <w:bCs/>
                <w:kern w:val="2"/>
                <w:sz w:val="22"/>
                <w:szCs w:val="22"/>
              </w:rPr>
            </w:pPr>
            <w:r>
              <w:rPr>
                <w:b/>
                <w:bCs/>
                <w:kern w:val="2"/>
                <w:szCs w:val="24"/>
              </w:rPr>
              <w:t>14. SUTARTIES PRIEDAI</w:t>
            </w:r>
          </w:p>
        </w:tc>
      </w:tr>
      <w:tr w:rsidR="002826E2" w:rsidRPr="000D629B" w14:paraId="0C58D0BC" w14:textId="77777777" w:rsidTr="000D5954">
        <w:trPr>
          <w:trHeight w:val="300"/>
        </w:trPr>
        <w:tc>
          <w:tcPr>
            <w:tcW w:w="2532" w:type="dxa"/>
          </w:tcPr>
          <w:p w14:paraId="67CF822C"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826E2" w:rsidRPr="000D629B" w:rsidRDefault="002826E2" w:rsidP="002826E2">
            <w:pPr>
              <w:jc w:val="center"/>
              <w:rPr>
                <w:b/>
                <w:bCs/>
                <w:kern w:val="2"/>
                <w:sz w:val="22"/>
                <w:szCs w:val="22"/>
              </w:rPr>
            </w:pPr>
            <w:r w:rsidRPr="000D629B">
              <w:rPr>
                <w:b/>
                <w:bCs/>
                <w:kern w:val="2"/>
                <w:sz w:val="22"/>
                <w:szCs w:val="22"/>
              </w:rPr>
              <w:t>Techninė specifikacija</w:t>
            </w:r>
          </w:p>
        </w:tc>
      </w:tr>
      <w:tr w:rsidR="002826E2" w:rsidRPr="000D629B" w14:paraId="5C8AA98D" w14:textId="77777777" w:rsidTr="000D5954">
        <w:trPr>
          <w:trHeight w:val="300"/>
        </w:trPr>
        <w:tc>
          <w:tcPr>
            <w:tcW w:w="2532" w:type="dxa"/>
          </w:tcPr>
          <w:p w14:paraId="464C6F9F"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826E2" w:rsidRPr="000D629B" w:rsidRDefault="002826E2" w:rsidP="002826E2">
            <w:pPr>
              <w:jc w:val="center"/>
              <w:rPr>
                <w:b/>
                <w:bCs/>
                <w:kern w:val="2"/>
                <w:sz w:val="22"/>
                <w:szCs w:val="22"/>
              </w:rPr>
            </w:pPr>
            <w:r w:rsidRPr="000D629B">
              <w:rPr>
                <w:b/>
                <w:bCs/>
                <w:kern w:val="2"/>
                <w:sz w:val="22"/>
                <w:szCs w:val="22"/>
              </w:rPr>
              <w:t>Pasiūlymas</w:t>
            </w:r>
          </w:p>
        </w:tc>
      </w:tr>
      <w:tr w:rsidR="002826E2" w:rsidRPr="000D629B" w14:paraId="3042BB63" w14:textId="77777777" w:rsidTr="000D5954">
        <w:trPr>
          <w:trHeight w:val="300"/>
        </w:trPr>
        <w:tc>
          <w:tcPr>
            <w:tcW w:w="2532" w:type="dxa"/>
          </w:tcPr>
          <w:p w14:paraId="4E977A23"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826E2" w:rsidRPr="00B03DB5" w:rsidRDefault="002826E2" w:rsidP="002826E2">
            <w:pPr>
              <w:rPr>
                <w:kern w:val="2"/>
                <w:sz w:val="22"/>
                <w:szCs w:val="22"/>
              </w:rPr>
            </w:pPr>
            <w:r w:rsidRPr="00B03DB5">
              <w:rPr>
                <w:color w:val="007BB8"/>
                <w:kern w:val="2"/>
                <w:sz w:val="22"/>
                <w:szCs w:val="22"/>
              </w:rPr>
              <w:t>Sutarties vykdymui pasitelkiami subtiekėjai ir (ar) specialistai (jei taikoma)</w:t>
            </w:r>
          </w:p>
        </w:tc>
      </w:tr>
      <w:tr w:rsidR="002826E2" w:rsidRPr="000D629B" w14:paraId="3E34F02C" w14:textId="77777777" w:rsidTr="000D5954">
        <w:tc>
          <w:tcPr>
            <w:tcW w:w="9535" w:type="dxa"/>
            <w:gridSpan w:val="3"/>
          </w:tcPr>
          <w:p w14:paraId="0B1BA27B" w14:textId="2008B8BB"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826E2" w:rsidRPr="000D629B" w14:paraId="244F0FF6" w14:textId="77777777" w:rsidTr="00C9674B">
        <w:tc>
          <w:tcPr>
            <w:tcW w:w="2532" w:type="dxa"/>
          </w:tcPr>
          <w:p w14:paraId="0FEE9743" w14:textId="77777777" w:rsidR="002826E2" w:rsidRPr="000D629B" w:rsidRDefault="002826E2" w:rsidP="002826E2">
            <w:pPr>
              <w:jc w:val="center"/>
              <w:rPr>
                <w:b/>
                <w:bCs/>
                <w:kern w:val="2"/>
                <w:sz w:val="22"/>
                <w:szCs w:val="22"/>
              </w:rPr>
            </w:pPr>
            <w:r w:rsidRPr="000D629B">
              <w:rPr>
                <w:b/>
                <w:bCs/>
                <w:kern w:val="2"/>
                <w:sz w:val="22"/>
                <w:szCs w:val="22"/>
              </w:rPr>
              <w:t>PIRKĖJAS</w:t>
            </w:r>
          </w:p>
        </w:tc>
        <w:tc>
          <w:tcPr>
            <w:tcW w:w="7003" w:type="dxa"/>
            <w:gridSpan w:val="2"/>
          </w:tcPr>
          <w:p w14:paraId="4F2D9F8F" w14:textId="77777777" w:rsidR="002826E2" w:rsidRPr="000D629B" w:rsidRDefault="002826E2" w:rsidP="002826E2">
            <w:pPr>
              <w:jc w:val="center"/>
              <w:rPr>
                <w:b/>
                <w:bCs/>
                <w:kern w:val="2"/>
                <w:sz w:val="22"/>
                <w:szCs w:val="22"/>
              </w:rPr>
            </w:pPr>
            <w:r w:rsidRPr="000D629B">
              <w:rPr>
                <w:b/>
                <w:bCs/>
                <w:kern w:val="2"/>
                <w:sz w:val="22"/>
                <w:szCs w:val="22"/>
              </w:rPr>
              <w:t>TIEKĖJAS</w:t>
            </w:r>
          </w:p>
        </w:tc>
      </w:tr>
      <w:tr w:rsidR="002826E2" w:rsidRPr="000D629B" w14:paraId="0C35DF8A" w14:textId="77777777" w:rsidTr="00C9674B">
        <w:tc>
          <w:tcPr>
            <w:tcW w:w="2532" w:type="dxa"/>
          </w:tcPr>
          <w:p w14:paraId="381FAF66" w14:textId="77777777" w:rsidR="002826E2" w:rsidRDefault="002826E2" w:rsidP="002826E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2826E2" w:rsidRPr="000D629B" w:rsidRDefault="002826E2" w:rsidP="002826E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7003" w:type="dxa"/>
            <w:gridSpan w:val="2"/>
          </w:tcPr>
          <w:p w14:paraId="6A8BB1EE" w14:textId="77777777" w:rsidR="002826E2" w:rsidRPr="000D629B" w:rsidRDefault="002826E2" w:rsidP="002826E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826E2" w:rsidRPr="000D629B" w14:paraId="3C1EED84" w14:textId="77777777" w:rsidTr="00C9674B">
        <w:tc>
          <w:tcPr>
            <w:tcW w:w="2532" w:type="dxa"/>
          </w:tcPr>
          <w:p w14:paraId="09CD7014" w14:textId="77777777" w:rsidR="002826E2" w:rsidRPr="000D629B" w:rsidRDefault="002826E2" w:rsidP="002826E2">
            <w:pPr>
              <w:jc w:val="center"/>
              <w:rPr>
                <w:b/>
                <w:bCs/>
                <w:kern w:val="2"/>
                <w:sz w:val="22"/>
                <w:szCs w:val="22"/>
              </w:rPr>
            </w:pPr>
          </w:p>
          <w:p w14:paraId="2951528F" w14:textId="77777777" w:rsidR="002826E2" w:rsidRPr="000D629B" w:rsidRDefault="002826E2" w:rsidP="002826E2">
            <w:pPr>
              <w:jc w:val="center"/>
              <w:rPr>
                <w:b/>
                <w:bCs/>
                <w:kern w:val="2"/>
                <w:sz w:val="22"/>
                <w:szCs w:val="22"/>
              </w:rPr>
            </w:pPr>
            <w:r w:rsidRPr="000D629B">
              <w:rPr>
                <w:kern w:val="2"/>
                <w:sz w:val="22"/>
                <w:szCs w:val="22"/>
              </w:rPr>
              <w:t>(parašas)</w:t>
            </w:r>
          </w:p>
        </w:tc>
        <w:tc>
          <w:tcPr>
            <w:tcW w:w="7003" w:type="dxa"/>
            <w:gridSpan w:val="2"/>
          </w:tcPr>
          <w:p w14:paraId="2FD900A2" w14:textId="77777777" w:rsidR="002826E2" w:rsidRPr="000D629B" w:rsidRDefault="002826E2" w:rsidP="002826E2">
            <w:pPr>
              <w:jc w:val="center"/>
              <w:rPr>
                <w:b/>
                <w:bCs/>
                <w:color w:val="4472C4"/>
                <w:kern w:val="2"/>
                <w:sz w:val="22"/>
                <w:szCs w:val="22"/>
              </w:rPr>
            </w:pPr>
          </w:p>
          <w:p w14:paraId="32FA01AC" w14:textId="77777777" w:rsidR="002826E2" w:rsidRPr="00FB42C6" w:rsidRDefault="002826E2" w:rsidP="002826E2">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5001F9E7" w14:textId="77777777" w:rsidR="00A83436" w:rsidRPr="00A83436" w:rsidRDefault="00A83436" w:rsidP="00A83436">
      <w:pPr>
        <w:rPr>
          <w:rFonts w:ascii="Arial" w:hAnsi="Arial" w:cs="Arial"/>
          <w:sz w:val="18"/>
          <w:szCs w:val="18"/>
        </w:rPr>
      </w:pPr>
    </w:p>
    <w:p w14:paraId="178A1C96" w14:textId="77777777" w:rsidR="00A83436" w:rsidRPr="00A83436" w:rsidRDefault="00A83436" w:rsidP="00A83436">
      <w:pPr>
        <w:rPr>
          <w:rFonts w:ascii="Arial" w:hAnsi="Arial" w:cs="Arial"/>
          <w:sz w:val="18"/>
          <w:szCs w:val="18"/>
        </w:rPr>
      </w:pPr>
    </w:p>
    <w:p w14:paraId="08587306" w14:textId="77777777" w:rsidR="00A83436" w:rsidRPr="00A83436" w:rsidRDefault="00A83436" w:rsidP="00A83436">
      <w:pPr>
        <w:rPr>
          <w:rFonts w:ascii="Arial" w:hAnsi="Arial" w:cs="Arial"/>
          <w:sz w:val="18"/>
          <w:szCs w:val="18"/>
        </w:rPr>
      </w:pPr>
    </w:p>
    <w:p w14:paraId="1CC3CC15" w14:textId="77777777" w:rsidR="00A83436" w:rsidRPr="00A83436" w:rsidRDefault="00A83436" w:rsidP="00A83436">
      <w:pPr>
        <w:rPr>
          <w:rFonts w:ascii="Arial" w:hAnsi="Arial" w:cs="Arial"/>
          <w:sz w:val="18"/>
          <w:szCs w:val="18"/>
        </w:rPr>
      </w:pPr>
    </w:p>
    <w:p w14:paraId="245C7C15" w14:textId="77777777" w:rsidR="00A83436" w:rsidRPr="00A83436" w:rsidRDefault="00A83436" w:rsidP="00A83436">
      <w:pPr>
        <w:rPr>
          <w:rFonts w:ascii="Arial" w:hAnsi="Arial" w:cs="Arial"/>
          <w:sz w:val="18"/>
          <w:szCs w:val="18"/>
        </w:rPr>
      </w:pPr>
    </w:p>
    <w:p w14:paraId="24937311" w14:textId="77777777" w:rsidR="00A83436" w:rsidRPr="00A83436" w:rsidRDefault="00A83436" w:rsidP="00A83436">
      <w:pPr>
        <w:rPr>
          <w:rFonts w:ascii="Arial" w:hAnsi="Arial" w:cs="Arial"/>
          <w:sz w:val="18"/>
          <w:szCs w:val="18"/>
        </w:rPr>
      </w:pPr>
    </w:p>
    <w:p w14:paraId="14F2381E" w14:textId="77777777" w:rsidR="00A83436" w:rsidRPr="00A83436" w:rsidRDefault="00A83436" w:rsidP="00A83436">
      <w:pPr>
        <w:rPr>
          <w:rFonts w:ascii="Arial" w:hAnsi="Arial" w:cs="Arial"/>
          <w:sz w:val="18"/>
          <w:szCs w:val="18"/>
        </w:rPr>
      </w:pPr>
    </w:p>
    <w:p w14:paraId="0C494B2B" w14:textId="77777777" w:rsidR="00A83436" w:rsidRPr="00A83436" w:rsidRDefault="00A83436" w:rsidP="00A83436">
      <w:pPr>
        <w:rPr>
          <w:rFonts w:ascii="Arial" w:hAnsi="Arial" w:cs="Arial"/>
          <w:sz w:val="18"/>
          <w:szCs w:val="18"/>
        </w:rPr>
      </w:pPr>
    </w:p>
    <w:p w14:paraId="02818153" w14:textId="77777777" w:rsidR="00A83436" w:rsidRPr="00A83436" w:rsidRDefault="00A83436" w:rsidP="00A83436">
      <w:pPr>
        <w:rPr>
          <w:rFonts w:ascii="Arial" w:hAnsi="Arial" w:cs="Arial"/>
          <w:sz w:val="18"/>
          <w:szCs w:val="18"/>
        </w:rPr>
      </w:pPr>
    </w:p>
    <w:p w14:paraId="7ED48FA5" w14:textId="77777777" w:rsidR="00A83436" w:rsidRDefault="00A83436" w:rsidP="00A83436">
      <w:pPr>
        <w:rPr>
          <w:rFonts w:ascii="Arial" w:hAnsi="Arial" w:cs="Arial"/>
          <w:sz w:val="18"/>
          <w:szCs w:val="18"/>
        </w:rPr>
      </w:pPr>
    </w:p>
    <w:p w14:paraId="455010D0" w14:textId="77777777" w:rsidR="00A83436" w:rsidRPr="00A83436" w:rsidRDefault="00A83436" w:rsidP="00A83436">
      <w:pPr>
        <w:rPr>
          <w:rFonts w:ascii="Arial" w:hAnsi="Arial" w:cs="Arial"/>
          <w:sz w:val="18"/>
          <w:szCs w:val="18"/>
        </w:rPr>
      </w:pPr>
    </w:p>
    <w:p w14:paraId="78205DA2" w14:textId="77777777" w:rsidR="00A83436" w:rsidRPr="00A83436" w:rsidRDefault="00A83436" w:rsidP="00A83436">
      <w:pPr>
        <w:rPr>
          <w:rFonts w:ascii="Arial" w:hAnsi="Arial" w:cs="Arial"/>
          <w:sz w:val="18"/>
          <w:szCs w:val="18"/>
        </w:rPr>
      </w:pPr>
    </w:p>
    <w:p w14:paraId="1875236D" w14:textId="77777777" w:rsidR="00A83436" w:rsidRDefault="00A83436" w:rsidP="00A83436">
      <w:pPr>
        <w:rPr>
          <w:rFonts w:ascii="Arial" w:hAnsi="Arial" w:cs="Arial"/>
          <w:sz w:val="18"/>
          <w:szCs w:val="18"/>
        </w:r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51B35"/>
    <w:rsid w:val="00053F1C"/>
    <w:rsid w:val="000560DD"/>
    <w:rsid w:val="00062AFE"/>
    <w:rsid w:val="000656C6"/>
    <w:rsid w:val="000765C5"/>
    <w:rsid w:val="00090C5C"/>
    <w:rsid w:val="00091C9A"/>
    <w:rsid w:val="00091DC6"/>
    <w:rsid w:val="000B3611"/>
    <w:rsid w:val="000C6411"/>
    <w:rsid w:val="000D4187"/>
    <w:rsid w:val="000E102F"/>
    <w:rsid w:val="00101C21"/>
    <w:rsid w:val="001160AB"/>
    <w:rsid w:val="0011627A"/>
    <w:rsid w:val="00121A49"/>
    <w:rsid w:val="00123288"/>
    <w:rsid w:val="0013308D"/>
    <w:rsid w:val="00143125"/>
    <w:rsid w:val="0014726A"/>
    <w:rsid w:val="0017205F"/>
    <w:rsid w:val="001736EF"/>
    <w:rsid w:val="00181C79"/>
    <w:rsid w:val="00185238"/>
    <w:rsid w:val="00193B56"/>
    <w:rsid w:val="001A6768"/>
    <w:rsid w:val="001B5701"/>
    <w:rsid w:val="001B6752"/>
    <w:rsid w:val="001C023A"/>
    <w:rsid w:val="001D41FB"/>
    <w:rsid w:val="001E481F"/>
    <w:rsid w:val="001F0AD0"/>
    <w:rsid w:val="001F570E"/>
    <w:rsid w:val="00205A3D"/>
    <w:rsid w:val="00210CF2"/>
    <w:rsid w:val="00211DAA"/>
    <w:rsid w:val="0021673E"/>
    <w:rsid w:val="002230BD"/>
    <w:rsid w:val="002255F6"/>
    <w:rsid w:val="00247270"/>
    <w:rsid w:val="0025186A"/>
    <w:rsid w:val="00263A17"/>
    <w:rsid w:val="00264A68"/>
    <w:rsid w:val="00280600"/>
    <w:rsid w:val="00282049"/>
    <w:rsid w:val="002826E2"/>
    <w:rsid w:val="00293138"/>
    <w:rsid w:val="002A07AB"/>
    <w:rsid w:val="002C34FC"/>
    <w:rsid w:val="002E354D"/>
    <w:rsid w:val="002F0BF9"/>
    <w:rsid w:val="002F7A93"/>
    <w:rsid w:val="00302C15"/>
    <w:rsid w:val="003069A9"/>
    <w:rsid w:val="00312B96"/>
    <w:rsid w:val="00313815"/>
    <w:rsid w:val="00313E09"/>
    <w:rsid w:val="00321148"/>
    <w:rsid w:val="00327AD1"/>
    <w:rsid w:val="003303AF"/>
    <w:rsid w:val="003414F5"/>
    <w:rsid w:val="00345E1F"/>
    <w:rsid w:val="00350CAF"/>
    <w:rsid w:val="00353908"/>
    <w:rsid w:val="00363F80"/>
    <w:rsid w:val="00370518"/>
    <w:rsid w:val="0037584F"/>
    <w:rsid w:val="003926C4"/>
    <w:rsid w:val="00392B6A"/>
    <w:rsid w:val="0039517A"/>
    <w:rsid w:val="00396984"/>
    <w:rsid w:val="003A1AEE"/>
    <w:rsid w:val="003B3D9E"/>
    <w:rsid w:val="003C3CF8"/>
    <w:rsid w:val="003C7727"/>
    <w:rsid w:val="003D0A45"/>
    <w:rsid w:val="003D57A1"/>
    <w:rsid w:val="003E127D"/>
    <w:rsid w:val="003F6933"/>
    <w:rsid w:val="0040239B"/>
    <w:rsid w:val="00405C53"/>
    <w:rsid w:val="00410A5E"/>
    <w:rsid w:val="0042142A"/>
    <w:rsid w:val="00425692"/>
    <w:rsid w:val="00432475"/>
    <w:rsid w:val="00456738"/>
    <w:rsid w:val="00460DAD"/>
    <w:rsid w:val="00465B79"/>
    <w:rsid w:val="00470A63"/>
    <w:rsid w:val="00483AC1"/>
    <w:rsid w:val="00490778"/>
    <w:rsid w:val="00496748"/>
    <w:rsid w:val="004A6CAA"/>
    <w:rsid w:val="004B13E9"/>
    <w:rsid w:val="004C5CCC"/>
    <w:rsid w:val="004C752B"/>
    <w:rsid w:val="004E2F9D"/>
    <w:rsid w:val="005005C4"/>
    <w:rsid w:val="00505317"/>
    <w:rsid w:val="00520B9F"/>
    <w:rsid w:val="005279F0"/>
    <w:rsid w:val="00527E62"/>
    <w:rsid w:val="005361D1"/>
    <w:rsid w:val="00536C4D"/>
    <w:rsid w:val="00541A46"/>
    <w:rsid w:val="00551572"/>
    <w:rsid w:val="005525CC"/>
    <w:rsid w:val="00555405"/>
    <w:rsid w:val="00572282"/>
    <w:rsid w:val="00573C6C"/>
    <w:rsid w:val="005750B0"/>
    <w:rsid w:val="00576B45"/>
    <w:rsid w:val="005965B7"/>
    <w:rsid w:val="005B72A3"/>
    <w:rsid w:val="005C7BA6"/>
    <w:rsid w:val="005E24EF"/>
    <w:rsid w:val="005E4E49"/>
    <w:rsid w:val="005E568C"/>
    <w:rsid w:val="005F3E80"/>
    <w:rsid w:val="005F606C"/>
    <w:rsid w:val="005F7DDB"/>
    <w:rsid w:val="00600E30"/>
    <w:rsid w:val="006079A2"/>
    <w:rsid w:val="00644FDC"/>
    <w:rsid w:val="00645C86"/>
    <w:rsid w:val="00645DA4"/>
    <w:rsid w:val="00646078"/>
    <w:rsid w:val="006707D7"/>
    <w:rsid w:val="00673BA8"/>
    <w:rsid w:val="006971AB"/>
    <w:rsid w:val="006A60C5"/>
    <w:rsid w:val="006B3D65"/>
    <w:rsid w:val="006F07B4"/>
    <w:rsid w:val="006F4C55"/>
    <w:rsid w:val="006F7E87"/>
    <w:rsid w:val="0070050B"/>
    <w:rsid w:val="00706B28"/>
    <w:rsid w:val="00714D48"/>
    <w:rsid w:val="00723109"/>
    <w:rsid w:val="00751609"/>
    <w:rsid w:val="0077739D"/>
    <w:rsid w:val="00785907"/>
    <w:rsid w:val="007A2CC3"/>
    <w:rsid w:val="007B0354"/>
    <w:rsid w:val="007C0C59"/>
    <w:rsid w:val="007D0DCF"/>
    <w:rsid w:val="007E32FE"/>
    <w:rsid w:val="007F52E2"/>
    <w:rsid w:val="00800FF0"/>
    <w:rsid w:val="00814F9F"/>
    <w:rsid w:val="00817A40"/>
    <w:rsid w:val="00825A64"/>
    <w:rsid w:val="00825D41"/>
    <w:rsid w:val="008656F7"/>
    <w:rsid w:val="00870C68"/>
    <w:rsid w:val="00874B01"/>
    <w:rsid w:val="00874B3C"/>
    <w:rsid w:val="00882ECA"/>
    <w:rsid w:val="008B6D1A"/>
    <w:rsid w:val="008D14B4"/>
    <w:rsid w:val="008E2D02"/>
    <w:rsid w:val="008F1294"/>
    <w:rsid w:val="009129FC"/>
    <w:rsid w:val="00916C58"/>
    <w:rsid w:val="00923608"/>
    <w:rsid w:val="00925E90"/>
    <w:rsid w:val="00932CB8"/>
    <w:rsid w:val="00933E9B"/>
    <w:rsid w:val="00936DEB"/>
    <w:rsid w:val="00985B22"/>
    <w:rsid w:val="009B01AD"/>
    <w:rsid w:val="009C3B1A"/>
    <w:rsid w:val="009D58A1"/>
    <w:rsid w:val="009D58F7"/>
    <w:rsid w:val="009E1DA6"/>
    <w:rsid w:val="00A3442B"/>
    <w:rsid w:val="00A43E87"/>
    <w:rsid w:val="00A455A9"/>
    <w:rsid w:val="00A66954"/>
    <w:rsid w:val="00A715C1"/>
    <w:rsid w:val="00A83436"/>
    <w:rsid w:val="00A86586"/>
    <w:rsid w:val="00A927E9"/>
    <w:rsid w:val="00A9349B"/>
    <w:rsid w:val="00A9381B"/>
    <w:rsid w:val="00AB4447"/>
    <w:rsid w:val="00AC465B"/>
    <w:rsid w:val="00AC606D"/>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B3923"/>
    <w:rsid w:val="00BC7422"/>
    <w:rsid w:val="00BD1E93"/>
    <w:rsid w:val="00BE472B"/>
    <w:rsid w:val="00BE77F6"/>
    <w:rsid w:val="00C315A8"/>
    <w:rsid w:val="00C33767"/>
    <w:rsid w:val="00C35E57"/>
    <w:rsid w:val="00C72257"/>
    <w:rsid w:val="00C7285A"/>
    <w:rsid w:val="00C77C77"/>
    <w:rsid w:val="00C83F9F"/>
    <w:rsid w:val="00C87FD8"/>
    <w:rsid w:val="00C91330"/>
    <w:rsid w:val="00C9674B"/>
    <w:rsid w:val="00CB1832"/>
    <w:rsid w:val="00CC5BE5"/>
    <w:rsid w:val="00D020E7"/>
    <w:rsid w:val="00D124CF"/>
    <w:rsid w:val="00D149E0"/>
    <w:rsid w:val="00D17A6E"/>
    <w:rsid w:val="00D322E1"/>
    <w:rsid w:val="00D40EFC"/>
    <w:rsid w:val="00D57809"/>
    <w:rsid w:val="00D938BD"/>
    <w:rsid w:val="00D94304"/>
    <w:rsid w:val="00DB0918"/>
    <w:rsid w:val="00DC0504"/>
    <w:rsid w:val="00DC0C79"/>
    <w:rsid w:val="00DC5A34"/>
    <w:rsid w:val="00DD0A44"/>
    <w:rsid w:val="00DD4C56"/>
    <w:rsid w:val="00DE174F"/>
    <w:rsid w:val="00DE3803"/>
    <w:rsid w:val="00E037CF"/>
    <w:rsid w:val="00E04D88"/>
    <w:rsid w:val="00E14587"/>
    <w:rsid w:val="00E15B71"/>
    <w:rsid w:val="00E31316"/>
    <w:rsid w:val="00E3178E"/>
    <w:rsid w:val="00E6257E"/>
    <w:rsid w:val="00E666CD"/>
    <w:rsid w:val="00E722A4"/>
    <w:rsid w:val="00E75B65"/>
    <w:rsid w:val="00E775FB"/>
    <w:rsid w:val="00E87A03"/>
    <w:rsid w:val="00E92770"/>
    <w:rsid w:val="00EA073E"/>
    <w:rsid w:val="00EA76D1"/>
    <w:rsid w:val="00ED08B3"/>
    <w:rsid w:val="00EE5349"/>
    <w:rsid w:val="00EF44C6"/>
    <w:rsid w:val="00EF4EB3"/>
    <w:rsid w:val="00F07189"/>
    <w:rsid w:val="00F11522"/>
    <w:rsid w:val="00F123C6"/>
    <w:rsid w:val="00F14CD2"/>
    <w:rsid w:val="00F21D57"/>
    <w:rsid w:val="00F23018"/>
    <w:rsid w:val="00F23716"/>
    <w:rsid w:val="00F37BFC"/>
    <w:rsid w:val="00F44CBF"/>
    <w:rsid w:val="00F552B0"/>
    <w:rsid w:val="00F579D6"/>
    <w:rsid w:val="00F655CE"/>
    <w:rsid w:val="00F67085"/>
    <w:rsid w:val="00F7068C"/>
    <w:rsid w:val="00F7706D"/>
    <w:rsid w:val="00F77D83"/>
    <w:rsid w:val="00FA091B"/>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23</Pages>
  <Words>62269</Words>
  <Characters>35494</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144</cp:revision>
  <dcterms:created xsi:type="dcterms:W3CDTF">2024-08-29T06:28:00Z</dcterms:created>
  <dcterms:modified xsi:type="dcterms:W3CDTF">2025-04-03T12:04:00Z</dcterms:modified>
</cp:coreProperties>
</file>