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cs="Arial"/>
          <w:b/>
          <w:caps/>
          <w:sz w:val="24"/>
          <w:szCs w:val="24"/>
        </w:rPr>
      </w:pPr>
      <w:r>
        <w:rPr>
          <w:rFonts w:cs="Arial" w:ascii="Arial" w:hAnsi="Arial"/>
          <w:b/>
          <w:caps/>
          <w:sz w:val="24"/>
          <w:szCs w:val="24"/>
        </w:rPr>
        <w:t xml:space="preserve">Prienų rajono savivaldybės administracija  </w:t>
      </w:r>
    </w:p>
    <w:p>
      <w:pPr>
        <w:pStyle w:val="Normal"/>
        <w:spacing w:lineRule="auto" w:line="240" w:before="0" w:after="0"/>
        <w:jc w:val="center"/>
        <w:rPr>
          <w:rFonts w:ascii="Arial" w:hAnsi="Arial" w:cs="Arial"/>
          <w:sz w:val="24"/>
          <w:szCs w:val="24"/>
        </w:rPr>
      </w:pPr>
      <w:r>
        <w:rPr>
          <w:rFonts w:cs="Arial" w:ascii="Arial" w:hAnsi="Arial"/>
          <w:sz w:val="24"/>
          <w:szCs w:val="24"/>
        </w:rPr>
        <w:t>Duomenys kaupiami ir saugomi juridinių asmenų registre, kodas 288742590,</w:t>
      </w:r>
    </w:p>
    <w:p>
      <w:pPr>
        <w:pStyle w:val="Normal"/>
        <w:spacing w:lineRule="auto" w:line="240" w:before="0" w:after="0"/>
        <w:contextualSpacing/>
        <w:jc w:val="center"/>
        <w:rPr>
          <w:rFonts w:ascii="Arial" w:hAnsi="Arial" w:cs="Arial"/>
          <w:sz w:val="24"/>
          <w:szCs w:val="24"/>
        </w:rPr>
      </w:pPr>
      <w:r>
        <w:rPr>
          <w:rFonts w:cs="Arial" w:ascii="Arial" w:hAnsi="Arial"/>
          <w:sz w:val="24"/>
          <w:szCs w:val="24"/>
        </w:rPr>
        <w:t xml:space="preserve">Laisvės a. 12, LT-59126 Prienai, tel. +370 319 61 105, </w:t>
      </w:r>
    </w:p>
    <w:p>
      <w:pPr>
        <w:pStyle w:val="Normal"/>
        <w:spacing w:lineRule="auto" w:line="240" w:before="0" w:after="0"/>
        <w:contextualSpacing/>
        <w:jc w:val="center"/>
        <w:rPr>
          <w:rFonts w:ascii="Arial" w:hAnsi="Arial" w:cs="Arial"/>
          <w:sz w:val="24"/>
          <w:szCs w:val="24"/>
        </w:rPr>
      </w:pPr>
      <w:r>
        <w:rPr>
          <w:rFonts w:cs="Arial" w:ascii="Arial" w:hAnsi="Arial"/>
          <w:sz w:val="24"/>
          <w:szCs w:val="24"/>
        </w:rPr>
        <w:t>el. p. administracija@prienai.lt</w:t>
      </w:r>
    </w:p>
    <w:p>
      <w:pPr>
        <w:pStyle w:val="Normal"/>
        <w:spacing w:lineRule="auto" w:line="240" w:before="0" w:after="0"/>
        <w:contextualSpacing/>
        <w:jc w:val="center"/>
        <w:rPr>
          <w:rFonts w:ascii="Arial" w:hAnsi="Arial" w:cs="Arial"/>
          <w:b/>
          <w:bCs/>
          <w:sz w:val="24"/>
          <w:szCs w:val="24"/>
        </w:rPr>
      </w:pPr>
      <w:r>
        <w:rPr>
          <w:rFonts w:cs="Arial" w:ascii="Arial" w:hAnsi="Arial"/>
          <w:b/>
          <w:bCs/>
          <w:sz w:val="24"/>
          <w:szCs w:val="24"/>
        </w:rPr>
      </w:r>
    </w:p>
    <w:p>
      <w:pPr>
        <w:pStyle w:val="Normal"/>
        <w:spacing w:lineRule="auto" w:line="240" w:before="0" w:after="0"/>
        <w:contextualSpacing/>
        <w:jc w:val="center"/>
        <w:rPr>
          <w:rFonts w:ascii="Arial" w:hAnsi="Arial" w:cs="Arial"/>
          <w:bCs/>
          <w:sz w:val="24"/>
          <w:szCs w:val="24"/>
        </w:rPr>
      </w:pPr>
      <w:r>
        <w:rPr>
          <w:rFonts w:cs="Arial" w:ascii="Arial" w:hAnsi="Arial"/>
          <w:bCs/>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spacing w:lineRule="auto" w:line="240" w:before="0" w:after="0"/>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PATVIRTINTA </w:t>
      </w:r>
    </w:p>
    <w:p>
      <w:pPr>
        <w:pStyle w:val="Normal"/>
        <w:spacing w:lineRule="auto" w:line="240" w:before="0" w:after="0"/>
        <w:ind w:left="5245"/>
        <w:contextualSpacing/>
        <w:rPr>
          <w:rFonts w:ascii="Arial" w:hAnsi="Arial" w:cs="Arial"/>
          <w:sz w:val="24"/>
          <w:szCs w:val="24"/>
        </w:rPr>
      </w:pPr>
      <w:r>
        <w:rPr>
          <w:rFonts w:cs="Arial" w:ascii="Arial" w:hAnsi="Arial"/>
          <w:sz w:val="24"/>
          <w:szCs w:val="24"/>
        </w:rPr>
        <w:t>Prienų rajono savivaldybės viešojo pirkimo komisijos 2025-04-0</w:t>
      </w:r>
      <w:r>
        <w:rPr>
          <w:rFonts w:cs="Arial" w:ascii="Arial" w:hAnsi="Arial"/>
          <w:sz w:val="24"/>
          <w:szCs w:val="24"/>
        </w:rPr>
        <w:t>3</w:t>
      </w:r>
      <w:r>
        <w:rPr>
          <w:rFonts w:cs="Arial" w:ascii="Arial" w:hAnsi="Arial"/>
          <w:sz w:val="24"/>
          <w:szCs w:val="24"/>
        </w:rPr>
        <w:t xml:space="preserve"> protokolu</w:t>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PAKEITIMAI PATVIRTINTI: </w:t>
      </w:r>
    </w:p>
    <w:p>
      <w:pPr>
        <w:pStyle w:val="Normal"/>
        <w:spacing w:lineRule="auto" w:line="240" w:before="0" w:after="0"/>
        <w:ind w:left="5245"/>
        <w:contextualSpacing/>
        <w:rPr>
          <w:rFonts w:ascii="Arial" w:hAnsi="Arial" w:cs="Arial"/>
          <w:i/>
          <w:i/>
          <w:sz w:val="24"/>
          <w:szCs w:val="24"/>
        </w:rPr>
      </w:pPr>
      <w:r>
        <w:rPr>
          <w:rFonts w:cs="Arial" w:ascii="Arial" w:hAnsi="Arial"/>
          <w:b/>
          <w:bCs/>
          <w:i/>
          <w:sz w:val="24"/>
          <w:szCs w:val="24"/>
          <w:shd w:fill="FFFFFF" w:val="clear"/>
        </w:rPr>
        <w:t>NETAIKOMA</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TARPTAUTINIO VIEŠOJO PIRKIMO „VEIVERIŲ TOMO ŽILINSKO GIMNAZIJOS KAPITALINIO REMONTO</w:t>
      </w:r>
      <w:r>
        <w:rPr>
          <w:rFonts w:eastAsia="Calibri" w:cs="Arial" w:ascii="Arial" w:hAnsi="Arial"/>
          <w:b/>
          <w:bCs/>
          <w:color w:themeColor="text1" w:val="000000"/>
          <w:sz w:val="24"/>
          <w:szCs w:val="24"/>
          <w:shd w:fill="FFFFFF" w:val="clear"/>
        </w:rPr>
        <w:t xml:space="preserve"> </w:t>
      </w:r>
      <w:r>
        <w:rPr>
          <w:rFonts w:cs="Arial" w:ascii="Arial" w:hAnsi="Arial"/>
          <w:b/>
          <w:bCs/>
          <w:sz w:val="28"/>
          <w:szCs w:val="28"/>
          <w:shd w:fill="FFFFFF" w:val="clear"/>
        </w:rPr>
        <w:t>TECHNINIO DARBO</w:t>
      </w:r>
      <w:bookmarkStart w:id="0" w:name="_Hlk171330851"/>
      <w:r>
        <w:rPr>
          <w:rFonts w:cs="Arial" w:ascii="Arial" w:hAnsi="Arial"/>
          <w:b/>
          <w:color w:val="000000"/>
          <w:sz w:val="28"/>
          <w:szCs w:val="28"/>
        </w:rPr>
        <w:t xml:space="preserve"> PROJEKTO PARENGIMO PASLAUGOS</w:t>
      </w:r>
      <w:r>
        <w:rPr>
          <w:rFonts w:cs="Arial" w:ascii="Arial" w:hAnsi="Arial"/>
          <w:b/>
          <w:bCs/>
          <w:sz w:val="28"/>
          <w:szCs w:val="28"/>
          <w:shd w:fill="FFFFFF" w:val="clear"/>
        </w:rPr>
        <w:t>“</w:t>
      </w:r>
      <w:bookmarkEnd w:id="0"/>
      <w:r>
        <w:rPr>
          <w:rFonts w:cs="Arial" w:ascii="Arial" w:hAnsi="Arial"/>
          <w:b/>
          <w:bCs/>
          <w:sz w:val="28"/>
          <w:szCs w:val="28"/>
          <w:shd w:fill="FFFFFF" w:val="clear"/>
        </w:rPr>
        <w:t xml:space="preserve"> </w:t>
      </w:r>
      <w:r>
        <w:rPr>
          <w:rFonts w:cs="Arial" w:ascii="Arial" w:hAnsi="Arial"/>
          <w:b/>
          <w:bCs/>
          <w:caps/>
          <w:sz w:val="28"/>
          <w:szCs w:val="28"/>
          <w:shd w:fill="FFFFFF" w:val="clear"/>
        </w:rPr>
        <w:t xml:space="preserve">ATVIRO KONKURSO </w:t>
      </w:r>
    </w:p>
    <w:p>
      <w:pPr>
        <w:pStyle w:val="Normal"/>
        <w:spacing w:lineRule="auto" w:line="240" w:before="0" w:after="0"/>
        <w:jc w:val="center"/>
        <w:rPr>
          <w:rFonts w:ascii="Arial" w:hAnsi="Arial" w:cs="Arial"/>
          <w:b/>
          <w:bCs/>
          <w:caps/>
          <w:sz w:val="28"/>
          <w:szCs w:val="28"/>
          <w:shd w:fill="FFFFFF" w:val="clear"/>
        </w:rPr>
      </w:pPr>
      <w:r>
        <w:rPr>
          <w:rFonts w:cs="Arial" w:ascii="Arial" w:hAnsi="Arial"/>
          <w:b/>
          <w:bCs/>
          <w:caps/>
          <w:sz w:val="28"/>
          <w:szCs w:val="28"/>
          <w:shd w:fill="FFFFFF" w:val="clear"/>
        </w:rPr>
        <w:t>SPECIALIOSIOS SĄLYGOS</w:t>
      </w:r>
    </w:p>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Versija Nr</w:t>
      </w:r>
      <w:r>
        <w:rPr>
          <w:rFonts w:cs="Arial" w:ascii="Arial" w:hAnsi="Arial"/>
          <w:b/>
          <w:bCs/>
          <w:caps/>
          <w:sz w:val="28"/>
          <w:szCs w:val="28"/>
          <w:shd w:fill="FFFFFF" w:val="clear"/>
        </w:rPr>
        <w:t>. 1</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sdt>
      <w:sdtPr>
        <w:docPartObj>
          <w:docPartGallery w:val="Table of Contents"/>
          <w:docPartUnique w:val="true"/>
        </w:docPartObj>
      </w:sdtPr>
      <w:sdtContent>
        <w:p>
          <w:pPr>
            <w:pStyle w:val="TOCHeading"/>
            <w:spacing w:before="0" w:after="120"/>
            <w:ind w:hanging="432" w:left="432"/>
            <w:contextualSpacing/>
            <w:rPr>
              <w:rFonts w:ascii="Arial" w:hAnsi="Arial" w:cs="Arial"/>
              <w:b/>
              <w:color w:val="auto"/>
              <w:sz w:val="28"/>
              <w:szCs w:val="28"/>
            </w:rPr>
          </w:pPr>
          <w:r>
            <w:rPr>
              <w:rFonts w:cs="Arial" w:ascii="Arial" w:hAnsi="Arial"/>
              <w:b/>
              <w:color w:val="auto"/>
              <w:sz w:val="28"/>
              <w:szCs w:val="28"/>
            </w:rPr>
            <w:t>TURINYS</w:t>
          </w:r>
        </w:p>
        <w:p>
          <w:pPr>
            <w:pStyle w:val="TOC1"/>
            <w:rPr>
              <w:rFonts w:ascii="Arial" w:hAnsi="Arial" w:cs="Arial"/>
              <w:sz w:val="24"/>
              <w:szCs w:val="24"/>
              <w:lang w:eastAsia="en-US"/>
            </w:rPr>
          </w:pPr>
          <w:r>
            <w:fldChar w:fldCharType="begin"/>
          </w:r>
          <w:r>
            <w:rPr>
              <w:webHidden/>
              <w:rStyle w:val="Rodyklssaitas"/>
              <w:sz w:val="24"/>
              <w:szCs w:val="24"/>
              <w:bCs/>
              <w:vanish w:val="false"/>
              <w:rFonts w:cs="Arial" w:ascii="Arial" w:hAnsi="Arial"/>
            </w:rPr>
            <w:instrText xml:space="preserve"> TOC \z \o "1-3" \u \h</w:instrText>
          </w:r>
          <w:r>
            <w:rPr>
              <w:webHidden/>
              <w:rStyle w:val="Rodyklssaitas"/>
              <w:sz w:val="24"/>
              <w:szCs w:val="24"/>
              <w:bCs/>
              <w:vanish w:val="false"/>
              <w:rFonts w:cs="Arial" w:ascii="Arial" w:hAnsi="Arial"/>
            </w:rPr>
            <w:fldChar w:fldCharType="separate"/>
          </w:r>
          <w:hyperlink w:anchor="_Toc187926809">
            <w:r>
              <w:rPr>
                <w:webHidden/>
                <w:rStyle w:val="Rodyklssaitas"/>
                <w:rFonts w:cs="Arial" w:ascii="Arial" w:hAnsi="Arial"/>
                <w:bCs/>
                <w:vanish w:val="false"/>
                <w:sz w:val="24"/>
                <w:szCs w:val="24"/>
              </w:rPr>
              <w:t>1.</w:t>
            </w:r>
            <w:r>
              <w:rPr>
                <w:rStyle w:val="Rodyklssaitas"/>
                <w:rFonts w:cs="Arial" w:ascii="Arial" w:hAnsi="Arial"/>
                <w:sz w:val="24"/>
                <w:szCs w:val="24"/>
                <w:lang w:eastAsia="en-US"/>
              </w:rPr>
              <w:t xml:space="preserve"> </w:t>
            </w:r>
            <w:r>
              <w:rPr>
                <w:rStyle w:val="Rodyklssaitas"/>
                <w:rFonts w:cs="Arial" w:ascii="Arial" w:hAnsi="Arial"/>
                <w:bCs/>
                <w:sz w:val="24"/>
                <w:szCs w:val="24"/>
              </w:rPr>
              <w:t>BENDRA INFORMACIJA</w:t>
            </w:r>
            <w:r>
              <w:rPr>
                <w:webHidden/>
              </w:rPr>
              <w:fldChar w:fldCharType="begin"/>
            </w:r>
            <w:r>
              <w:rPr>
                <w:webHidden/>
              </w:rPr>
              <w:instrText xml:space="preserve">PAGEREF _Toc187926809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0">
            <w:r>
              <w:rPr>
                <w:webHidden/>
                <w:rStyle w:val="Rodyklssaitas"/>
                <w:rFonts w:cs="Arial" w:ascii="Arial" w:hAnsi="Arial"/>
                <w:bCs/>
                <w:vanish w:val="false"/>
                <w:sz w:val="24"/>
                <w:szCs w:val="24"/>
              </w:rPr>
              <w:t>2. PIRKIMO OBJEKTAS</w:t>
            </w:r>
            <w:r>
              <w:rPr>
                <w:webHidden/>
              </w:rPr>
              <w:fldChar w:fldCharType="begin"/>
            </w:r>
            <w:r>
              <w:rPr>
                <w:webHidden/>
              </w:rPr>
              <w:instrText xml:space="preserve">PAGEREF _Toc187926810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1">
            <w:r>
              <w:rPr>
                <w:webHidden/>
                <w:rStyle w:val="Rodyklssaitas"/>
                <w:rFonts w:cs="Arial" w:ascii="Arial" w:hAnsi="Arial"/>
                <w:bCs/>
                <w:vanish w:val="false"/>
                <w:sz w:val="24"/>
                <w:szCs w:val="24"/>
              </w:rPr>
              <w:t>3. SUSITIKIMAI SU TIEKĖJAIS</w:t>
            </w:r>
            <w:r>
              <w:rPr>
                <w:webHidden/>
              </w:rPr>
              <w:fldChar w:fldCharType="begin"/>
            </w:r>
            <w:r>
              <w:rPr>
                <w:webHidden/>
              </w:rPr>
              <w:instrText xml:space="preserve">PAGEREF _Toc187926811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2">
            <w:r>
              <w:rPr>
                <w:webHidden/>
                <w:rStyle w:val="Rodyklssaitas"/>
                <w:rFonts w:cs="Arial" w:ascii="Arial" w:hAnsi="Arial"/>
                <w:bCs/>
                <w:vanish w:val="false"/>
                <w:sz w:val="24"/>
                <w:szCs w:val="24"/>
              </w:rPr>
              <w:t>4. TIEKĖJŲ PAŠALINIMO PAGRINDAI IR KVALIFIKACIJOS REIKALAVIMAI</w:t>
            </w:r>
            <w:r>
              <w:rPr>
                <w:webHidden/>
              </w:rPr>
              <w:fldChar w:fldCharType="begin"/>
            </w:r>
            <w:r>
              <w:rPr>
                <w:webHidden/>
              </w:rPr>
              <w:instrText xml:space="preserve">PAGEREF _Toc187926812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3">
            <w:r>
              <w:rPr>
                <w:webHidden/>
                <w:rStyle w:val="Rodyklssaitas"/>
                <w:rFonts w:cs="Arial" w:ascii="Arial" w:hAnsi="Arial"/>
                <w:bCs/>
                <w:vanish w:val="false"/>
                <w:sz w:val="24"/>
                <w:szCs w:val="24"/>
              </w:rPr>
              <w:t>5. REIKALAVIMAI, SUSIJĘ SU NACIONALINIU SAUGUMU</w:t>
            </w:r>
            <w:r>
              <w:rPr>
                <w:webHidden/>
              </w:rPr>
              <w:fldChar w:fldCharType="begin"/>
            </w:r>
            <w:r>
              <w:rPr>
                <w:webHidden/>
              </w:rPr>
              <w:instrText xml:space="preserve">PAGEREF _Toc187926813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4">
            <w:r>
              <w:rPr>
                <w:webHidden/>
                <w:rStyle w:val="Rodyklssaitas"/>
                <w:rFonts w:cs="Arial" w:ascii="Arial" w:hAnsi="Arial"/>
                <w:bCs/>
                <w:vanish w:val="false"/>
                <w:sz w:val="24"/>
                <w:szCs w:val="24"/>
              </w:rPr>
              <w:t>6. SPECIALIEJI REIKALAVIMAI PASIŪLYMŲ RENGIMUI IR PATEIKIMUI</w:t>
            </w:r>
            <w:r>
              <w:rPr>
                <w:webHidden/>
              </w:rPr>
              <w:fldChar w:fldCharType="begin"/>
            </w:r>
            <w:r>
              <w:rPr>
                <w:webHidden/>
              </w:rPr>
              <w:instrText xml:space="preserve">PAGEREF _Toc187926814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5">
            <w:r>
              <w:rPr>
                <w:webHidden/>
                <w:rStyle w:val="Rodyklssaitas"/>
                <w:rFonts w:cs="Arial" w:ascii="Arial" w:hAnsi="Arial"/>
                <w:bCs/>
                <w:vanish w:val="false"/>
                <w:sz w:val="24"/>
                <w:szCs w:val="24"/>
              </w:rPr>
              <w:t>7. PASIŪLYMO GALIOJIMO UŽTIKRINIMAS</w:t>
            </w:r>
            <w:r>
              <w:rPr>
                <w:webHidden/>
              </w:rPr>
              <w:fldChar w:fldCharType="begin"/>
            </w:r>
            <w:r>
              <w:rPr>
                <w:webHidden/>
              </w:rPr>
              <w:instrText xml:space="preserve">PAGEREF _Toc187926815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6">
            <w:r>
              <w:rPr>
                <w:webHidden/>
                <w:rStyle w:val="Rodyklssaitas"/>
                <w:rFonts w:cs="Arial" w:ascii="Arial" w:hAnsi="Arial"/>
                <w:bCs/>
                <w:vanish w:val="false"/>
                <w:sz w:val="24"/>
                <w:szCs w:val="24"/>
              </w:rPr>
              <w:t>8. ELEKTRONINIS AUKCIONAS</w:t>
            </w:r>
            <w:r>
              <w:rPr>
                <w:webHidden/>
              </w:rPr>
              <w:fldChar w:fldCharType="begin"/>
            </w:r>
            <w:r>
              <w:rPr>
                <w:webHidden/>
              </w:rPr>
              <w:instrText xml:space="preserve">PAGEREF _Toc187926816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7">
            <w:r>
              <w:rPr>
                <w:webHidden/>
                <w:rStyle w:val="Rodyklssaitas"/>
                <w:rFonts w:cs="Arial" w:ascii="Arial" w:hAnsi="Arial"/>
                <w:bCs/>
                <w:vanish w:val="false"/>
                <w:sz w:val="24"/>
                <w:szCs w:val="24"/>
              </w:rPr>
              <w:t>9. PASIŪLYMŲ VERTINIMAS IR PASIŪLYMŲ ATMETIMO PRIEŽASTYS</w:t>
            </w:r>
            <w:r>
              <w:rPr>
                <w:webHidden/>
              </w:rPr>
              <w:fldChar w:fldCharType="begin"/>
            </w:r>
            <w:r>
              <w:rPr>
                <w:webHidden/>
              </w:rPr>
              <w:instrText xml:space="preserve">PAGEREF _Toc187926817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8">
            <w:r>
              <w:rPr>
                <w:webHidden/>
                <w:rStyle w:val="Rodyklssaitas"/>
                <w:rFonts w:cs="Arial" w:ascii="Arial" w:hAnsi="Arial"/>
                <w:bCs/>
                <w:vanish w:val="false"/>
                <w:sz w:val="24"/>
                <w:szCs w:val="24"/>
              </w:rPr>
              <w:t>10. SUTARTIES SUDARYMAS</w:t>
            </w:r>
            <w:r>
              <w:rPr>
                <w:webHidden/>
              </w:rPr>
              <w:fldChar w:fldCharType="begin"/>
            </w:r>
            <w:r>
              <w:rPr>
                <w:webHidden/>
              </w:rPr>
              <w:instrText xml:space="preserve">PAGEREF _Toc187926818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9">
            <w:r>
              <w:rPr>
                <w:webHidden/>
                <w:rStyle w:val="Rodyklssaitas"/>
                <w:rFonts w:cs="Arial" w:ascii="Arial" w:hAnsi="Arial"/>
                <w:bCs/>
                <w:vanish w:val="false"/>
                <w:sz w:val="24"/>
                <w:szCs w:val="24"/>
              </w:rPr>
              <w:t>11. ASMENS DUOMENŲ TVARKYMAS</w:t>
            </w:r>
            <w:r>
              <w:rPr>
                <w:webHidden/>
              </w:rPr>
              <w:fldChar w:fldCharType="begin"/>
            </w:r>
            <w:r>
              <w:rPr>
                <w:webHidden/>
              </w:rPr>
              <w:instrText xml:space="preserve">PAGEREF _Toc187926819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r>
            <w:rPr>
              <w:rFonts w:cs="Arial" w:ascii="Arial" w:hAnsi="Arial"/>
              <w:sz w:val="24"/>
              <w:szCs w:val="24"/>
              <w:lang w:eastAsia="en-US"/>
            </w:rPr>
            <w:t>Pirkimo sąlygų 1 priedas „Terminai“</w:t>
            <w:tab/>
            <w:t>9</w:t>
          </w:r>
          <w:r>
            <w:rPr>
              <w:sz w:val="24"/>
              <w:szCs w:val="24"/>
              <w:rFonts w:cs="Arial" w:ascii="Arial" w:hAnsi="Arial"/>
              <w:lang w:eastAsia="en-US"/>
            </w:rPr>
            <w:fldChar w:fldCharType="end"/>
          </w:r>
        </w:p>
      </w:sdtContent>
    </w:sdt>
    <w:p>
      <w:pPr>
        <w:pStyle w:val="TOC1"/>
        <w:rPr>
          <w:rFonts w:ascii="Arial" w:hAnsi="Arial" w:cs="Arial"/>
          <w:sz w:val="24"/>
          <w:szCs w:val="24"/>
          <w:lang w:eastAsia="en-US"/>
        </w:rPr>
      </w:pPr>
      <w:r>
        <w:rPr>
          <w:rFonts w:cs="Arial" w:ascii="Arial" w:hAnsi="Arial"/>
          <w:sz w:val="24"/>
          <w:szCs w:val="24"/>
          <w:lang w:eastAsia="en-US"/>
        </w:rPr>
        <w:t>Pirkimo sąlygų 2 priedas „Techninė specifikacija“</w:t>
        <w:tab/>
        <w:t>12</w:t>
      </w:r>
    </w:p>
    <w:p>
      <w:pPr>
        <w:pStyle w:val="TOC1"/>
        <w:rPr>
          <w:rFonts w:ascii="Arial" w:hAnsi="Arial" w:cs="Arial"/>
          <w:sz w:val="24"/>
          <w:szCs w:val="24"/>
          <w:lang w:eastAsia="en-US"/>
        </w:rPr>
      </w:pPr>
      <w:r>
        <w:rPr>
          <w:rFonts w:cs="Arial" w:ascii="Arial" w:hAnsi="Arial"/>
          <w:sz w:val="24"/>
          <w:szCs w:val="24"/>
          <w:lang w:eastAsia="en-US"/>
        </w:rPr>
        <w:t>Pirkimo sąlygų 3 priedas „Tiekėjų pašalinimo pagrindai“</w:t>
        <w:tab/>
        <w:t>33</w:t>
      </w:r>
    </w:p>
    <w:p>
      <w:pPr>
        <w:pStyle w:val="TOC1"/>
        <w:rPr>
          <w:rFonts w:ascii="Arial" w:hAnsi="Arial" w:cs="Arial"/>
          <w:sz w:val="24"/>
          <w:szCs w:val="24"/>
          <w:lang w:eastAsia="en-US"/>
        </w:rPr>
      </w:pPr>
      <w:r>
        <w:rPr>
          <w:rFonts w:cs="Arial" w:ascii="Arial" w:hAnsi="Arial"/>
          <w:sz w:val="24"/>
          <w:szCs w:val="24"/>
          <w:lang w:eastAsia="en-US"/>
        </w:rPr>
        <w:t>Pirkimo sąlygų 4 priedas „ Tiekėjų kvalifikacijos reikalavimai ir reikalaujami kokybės bei aplinkos apsaugos vadybos sistemų standartai“</w:t>
        <w:tab/>
        <w:t>47</w:t>
      </w:r>
    </w:p>
    <w:p>
      <w:pPr>
        <w:pStyle w:val="TOC1"/>
        <w:rPr>
          <w:rFonts w:ascii="Arial" w:hAnsi="Arial" w:cs="Arial"/>
          <w:sz w:val="24"/>
          <w:szCs w:val="24"/>
          <w:lang w:eastAsia="en-US"/>
        </w:rPr>
      </w:pPr>
      <w:r>
        <w:rPr>
          <w:rFonts w:cs="Arial" w:ascii="Arial" w:hAnsi="Arial"/>
          <w:sz w:val="24"/>
          <w:szCs w:val="24"/>
          <w:lang w:eastAsia="en-US"/>
        </w:rPr>
        <w:t>Pirkimo sąlygų 5 priedas „Europos bendrasis viešųjų pirkimų dokumentas“</w:t>
        <w:tab/>
        <w:t>52</w:t>
      </w:r>
    </w:p>
    <w:p>
      <w:pPr>
        <w:pStyle w:val="TOC1"/>
        <w:rPr>
          <w:rFonts w:ascii="Arial" w:hAnsi="Arial" w:cs="Arial"/>
          <w:sz w:val="24"/>
          <w:szCs w:val="24"/>
          <w:lang w:eastAsia="en-US"/>
        </w:rPr>
      </w:pPr>
      <w:r>
        <w:rPr>
          <w:rFonts w:cs="Arial" w:ascii="Arial" w:hAnsi="Arial"/>
          <w:sz w:val="24"/>
          <w:szCs w:val="24"/>
          <w:lang w:eastAsia="en-US"/>
        </w:rPr>
        <w:t>Pirkimo sąlygų 6 priedas „Pasiūlymo forma“</w:t>
        <w:tab/>
        <w:t>53</w:t>
      </w:r>
    </w:p>
    <w:p>
      <w:pPr>
        <w:pStyle w:val="TOC1"/>
        <w:rPr>
          <w:rFonts w:ascii="Arial" w:hAnsi="Arial" w:cs="Arial"/>
          <w:sz w:val="24"/>
          <w:szCs w:val="24"/>
          <w:lang w:eastAsia="en-US"/>
        </w:rPr>
      </w:pPr>
      <w:r>
        <w:rPr>
          <w:rFonts w:cs="Arial" w:ascii="Arial" w:hAnsi="Arial"/>
          <w:sz w:val="24"/>
          <w:szCs w:val="24"/>
          <w:lang w:eastAsia="en-US"/>
        </w:rPr>
        <w:t>Pirkimo sąlygų 7 priedas „Pasiūlymų vertinimo kriterijai ir sąlygos“</w:t>
        <w:tab/>
        <w:t>57</w:t>
      </w:r>
    </w:p>
    <w:p>
      <w:pPr>
        <w:pStyle w:val="TOC1"/>
        <w:rPr>
          <w:rFonts w:ascii="Arial" w:hAnsi="Arial" w:cs="Arial"/>
          <w:sz w:val="24"/>
          <w:szCs w:val="24"/>
          <w:lang w:eastAsia="en-US"/>
        </w:rPr>
      </w:pPr>
      <w:r>
        <w:rPr>
          <w:rFonts w:cs="Arial" w:ascii="Arial" w:hAnsi="Arial"/>
          <w:sz w:val="24"/>
          <w:szCs w:val="24"/>
          <w:lang w:eastAsia="en-US"/>
        </w:rPr>
        <w:t>Pirkimo sąlygų 8 priedas „Tiekėjo deklaracija“</w:t>
        <w:tab/>
        <w:t>58</w:t>
      </w:r>
    </w:p>
    <w:p>
      <w:pPr>
        <w:pStyle w:val="TOC1"/>
        <w:rPr>
          <w:rFonts w:ascii="Arial" w:hAnsi="Arial" w:cs="Arial"/>
          <w:sz w:val="24"/>
          <w:szCs w:val="24"/>
          <w:lang w:eastAsia="en-US"/>
        </w:rPr>
      </w:pPr>
      <w:r>
        <w:rPr>
          <w:rFonts w:cs="Arial" w:ascii="Arial" w:hAnsi="Arial"/>
          <w:sz w:val="24"/>
          <w:szCs w:val="24"/>
          <w:lang w:eastAsia="en-US"/>
        </w:rPr>
        <w:t>Pirkimo sąlygų 9 priedas „Sutarties projektas“</w:t>
        <w:tab/>
        <w:t>59</w:t>
      </w:r>
    </w:p>
    <w:p>
      <w:pPr>
        <w:pStyle w:val="TOC1"/>
        <w:rPr>
          <w:rFonts w:ascii="Arial" w:hAnsi="Arial" w:cs="Arial"/>
          <w:sz w:val="24"/>
          <w:szCs w:val="24"/>
          <w:lang w:eastAsia="en-US"/>
        </w:rPr>
      </w:pPr>
      <w:r>
        <w:rPr>
          <w:rFonts w:cs="Arial" w:ascii="Arial" w:hAnsi="Arial"/>
          <w:sz w:val="24"/>
          <w:szCs w:val="24"/>
          <w:lang w:eastAsia="en-US"/>
        </w:rPr>
        <w:t>Pirkimo sąlygų 10 priedas „Siūlomų specialistų sąrašas“</w:t>
        <w:tab/>
        <w:t>61</w:t>
      </w:r>
    </w:p>
    <w:p>
      <w:pPr>
        <w:pStyle w:val="TOC2"/>
        <w:tabs>
          <w:tab w:val="clear" w:pos="142"/>
          <w:tab w:val="right" w:pos="9962" w:leader="dot"/>
        </w:tabs>
        <w:spacing w:lineRule="auto" w:line="240"/>
        <w:ind w:left="0"/>
        <w:rPr>
          <w:rFonts w:ascii="Arial" w:hAnsi="Arial" w:cs="Arial"/>
          <w:sz w:val="24"/>
          <w:szCs w:val="24"/>
          <w:lang w:eastAsia="en-US"/>
        </w:rPr>
      </w:pPr>
      <w:r>
        <w:rPr>
          <w:rFonts w:cs="Arial" w:ascii="Arial" w:hAnsi="Arial"/>
          <w:sz w:val="24"/>
          <w:szCs w:val="24"/>
          <w:lang w:eastAsia="en-US"/>
        </w:rPr>
        <w:t>Pirkimo sąlygų 11 priedas „Objektų, kuriuose siūlomas specialistas vykdė statinio projekto vadovo funkcijas ir kuriems buvo išduotas statybos leidimas, sąrašas“</w:t>
        <w:tab/>
        <w:t>62</w:t>
      </w:r>
    </w:p>
    <w:p>
      <w:pPr>
        <w:pStyle w:val="Normal"/>
        <w:spacing w:lineRule="auto" w:line="240" w:before="0" w:after="120"/>
        <w:contextualSpacing/>
        <w:rPr>
          <w:rFonts w:ascii="Arial" w:hAnsi="Arial" w:cs="Arial"/>
          <w:sz w:val="24"/>
          <w:szCs w:val="24"/>
        </w:rPr>
      </w:pPr>
      <w:r>
        <w:rPr>
          <w:rFonts w:cs="Arial" w:ascii="Arial" w:hAnsi="Arial"/>
          <w:sz w:val="24"/>
          <w:szCs w:val="24"/>
        </w:rPr>
      </w:r>
      <w:r>
        <w:br w:type="page"/>
      </w:r>
    </w:p>
    <w:p>
      <w:pPr>
        <w:pStyle w:val="Heading1"/>
        <w:numPr>
          <w:ilvl w:val="0"/>
          <w:numId w:val="1"/>
        </w:numPr>
        <w:tabs>
          <w:tab w:val="clear" w:pos="1296"/>
          <w:tab w:val="left" w:pos="360" w:leader="none"/>
        </w:tabs>
        <w:spacing w:before="0" w:after="120"/>
        <w:ind w:hanging="0" w:left="0"/>
        <w:contextualSpacing/>
        <w:rPr>
          <w:rFonts w:ascii="Arial" w:hAnsi="Arial" w:cs="Arial"/>
          <w:b/>
          <w:bCs/>
          <w:sz w:val="24"/>
          <w:szCs w:val="24"/>
        </w:rPr>
      </w:pPr>
      <w:bookmarkStart w:id="1" w:name="_Toc147739116"/>
      <w:bookmarkStart w:id="2" w:name="_Toc187926809"/>
      <w:bookmarkStart w:id="3" w:name="_Toc335201954"/>
      <w:bookmarkEnd w:id="3"/>
      <w:r>
        <w:rPr>
          <w:rFonts w:cs="Arial" w:ascii="Arial" w:hAnsi="Arial"/>
          <w:b/>
          <w:bCs/>
          <w:sz w:val="24"/>
          <w:szCs w:val="24"/>
        </w:rPr>
        <w:t>BENDRA INFORMACIJA</w:t>
      </w:r>
      <w:bookmarkEnd w:id="2"/>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b/>
          <w:bCs/>
          <w:sz w:val="24"/>
          <w:szCs w:val="24"/>
        </w:rPr>
      </w:pPr>
      <w:r>
        <w:rPr>
          <w:rFonts w:cs="Arial" w:ascii="Arial" w:hAnsi="Arial"/>
          <w:b/>
          <w:bCs/>
          <w:sz w:val="24"/>
          <w:szCs w:val="24"/>
        </w:rPr>
        <w:t xml:space="preserve">Perkančioji organizacija: </w:t>
      </w:r>
      <w:r>
        <w:rPr>
          <w:rFonts w:cs="Arial" w:ascii="Arial" w:hAnsi="Arial"/>
          <w:bCs/>
          <w:sz w:val="24"/>
          <w:szCs w:val="24"/>
        </w:rPr>
        <w:t>Prienų</w:t>
      </w:r>
      <w:r>
        <w:rPr>
          <w:rFonts w:cs="Arial" w:ascii="Arial" w:hAnsi="Arial"/>
          <w:sz w:val="24"/>
          <w:szCs w:val="24"/>
        </w:rPr>
        <w:t xml:space="preserve"> rajono savivaldybės administracija, juridinio asmens kodas 288742590, adresas: Laisvės a. 12, Prienai. Perkančioji organizacija nėra PVM mokėtoja. </w:t>
      </w:r>
      <w:r>
        <w:rPr>
          <w:rFonts w:eastAsia="Calibri" w:cs="Arial" w:ascii="Arial" w:hAnsi="Arial"/>
          <w:sz w:val="24"/>
          <w:szCs w:val="24"/>
        </w:rPr>
        <w:t xml:space="preserve">Sutartį pasirašys </w:t>
      </w:r>
      <w:r>
        <w:rPr>
          <w:rFonts w:cs="Arial" w:ascii="Arial" w:hAnsi="Arial"/>
          <w:sz w:val="24"/>
          <w:szCs w:val="24"/>
        </w:rPr>
        <w:t>Perkančioji organizacija</w:t>
      </w:r>
      <w:r>
        <w:rPr>
          <w:rFonts w:eastAsia="Calibri" w:cs="Arial" w:ascii="Arial" w:hAnsi="Arial"/>
          <w:sz w:val="24"/>
          <w:szCs w:val="24"/>
        </w:rPr>
        <w:t>.</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color w:themeColor="text1" w:val="000000"/>
          <w:sz w:val="24"/>
          <w:szCs w:val="24"/>
        </w:rPr>
        <w:t xml:space="preserve">Pirkimas neatliekamas naudojantis centralizuotų pirkimų katalogu, nes CPO kataloge nėra galimybės įsigyti projektavimo paslaugų. </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eastAsia="Times New Roman" w:cs="Arial" w:ascii="Arial" w:hAnsi="Arial"/>
          <w:sz w:val="24"/>
          <w:szCs w:val="24"/>
        </w:rPr>
        <w:t>Perkančioji organizacija nerezervuoja teisės dalyvauti pirkime.</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Stebėtojai dalyvauti Komisijos posėdžiuose nėra kviečiami.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color w:val="000000"/>
          <w:sz w:val="24"/>
          <w:szCs w:val="24"/>
        </w:rPr>
        <w:t xml:space="preserve">Atliekamas žaliasis pirkimas. </w:t>
      </w:r>
      <w:r>
        <w:rPr>
          <w:rFonts w:cs="Arial" w:ascii="Arial" w:hAnsi="Arial"/>
          <w:sz w:val="24"/>
          <w:szCs w:val="24"/>
        </w:rPr>
        <w:t>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4.1 punktu. Projektavimo paslaugoms turi būti taikomi Aprašo 2 priedo XII skyriaus „Pastatų projektavimo paslaugos ir statybos darbai“ 15.1 papunktyje nustatyti reikalavimai: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Aplinkos apsaugos kriterijai nustatyti sutarties vykdymo sąlygose (9 priedas „Sutarties  projektas“).</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Išankstinis skelbimas apie pirkimą nebuvo paskelbtas</w:t>
      </w:r>
      <w:r>
        <w:rPr>
          <w:rFonts w:cs="Arial" w:ascii="Arial" w:hAnsi="Arial"/>
          <w:sz w:val="24"/>
          <w:szCs w:val="24"/>
          <w:lang w:eastAsia="en-US"/>
        </w:rPr>
        <w:t>.</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lang w:eastAsia="en-US"/>
        </w:rPr>
        <w:t xml:space="preserve">Pirkime </w:t>
      </w:r>
      <w:r>
        <w:rPr>
          <w:rFonts w:cs="Arial" w:ascii="Arial" w:hAnsi="Arial"/>
          <w:sz w:val="24"/>
          <w:szCs w:val="24"/>
        </w:rPr>
        <w:t>perkančioji organizacija</w:t>
      </w:r>
      <w:r>
        <w:rPr>
          <w:rFonts w:cs="Arial" w:ascii="Arial" w:hAnsi="Arial"/>
          <w:sz w:val="24"/>
          <w:szCs w:val="24"/>
          <w:lang w:eastAsia="en-US"/>
        </w:rPr>
        <w:t xml:space="preserve"> nenumato skelbti pranešimo dėl savanoriško </w:t>
      </w:r>
      <w:r>
        <w:rPr>
          <w:rFonts w:cs="Arial" w:ascii="Arial" w:hAnsi="Arial"/>
          <w:i/>
          <w:iCs/>
          <w:sz w:val="24"/>
          <w:szCs w:val="24"/>
          <w:lang w:eastAsia="en-US"/>
        </w:rPr>
        <w:t>ex ante</w:t>
      </w:r>
      <w:r>
        <w:rPr>
          <w:rFonts w:cs="Arial" w:ascii="Arial" w:hAnsi="Arial"/>
          <w:sz w:val="24"/>
          <w:szCs w:val="24"/>
          <w:lang w:eastAsia="en-US"/>
        </w:rPr>
        <w:t xml:space="preserve"> skaidrumo.</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Pirkime neleidžiama pateikti alternatyvių pasiūlymų.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Bendrosios pirkimo sąlygos yra neatskiriama šių pirkimo sąlygų dalis.</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Tiesioginį ryšį su tiekėjais įgalioti palaikyti perkančiosios organizacijos atstovai: viešųjų pirkimų klausimais – Linutė Mikušauskienė, Prienų rajono savivaldybės administracijos Statybos ir ekonominės plėtros skyriaus vyriausioji specialistė, tel. +370 319 61121, el. p. linute.mikusauskiene@prienai.lt</w:t>
      </w:r>
    </w:p>
    <w:p>
      <w:pPr>
        <w:pStyle w:val="Heading1"/>
        <w:tabs>
          <w:tab w:val="clear" w:pos="1296"/>
          <w:tab w:val="left" w:pos="360" w:leader="none"/>
        </w:tabs>
        <w:spacing w:before="360" w:after="120"/>
        <w:contextualSpacing/>
        <w:rPr>
          <w:rFonts w:ascii="Arial" w:hAnsi="Arial" w:cs="Arial"/>
          <w:b/>
          <w:bCs/>
          <w:sz w:val="24"/>
          <w:szCs w:val="24"/>
        </w:rPr>
      </w:pPr>
      <w:bookmarkStart w:id="4" w:name="_Ref39426338"/>
      <w:bookmarkStart w:id="5" w:name="_Ref39426332"/>
      <w:bookmarkStart w:id="6" w:name="_Toc187926810"/>
      <w:bookmarkStart w:id="7" w:name="_Toc335201954_Copy_1"/>
      <w:bookmarkEnd w:id="7"/>
      <w:r>
        <w:rPr>
          <w:rFonts w:cs="Arial" w:ascii="Arial" w:hAnsi="Arial"/>
          <w:b/>
          <w:bCs/>
          <w:sz w:val="24"/>
          <w:szCs w:val="24"/>
        </w:rPr>
        <w:t>2.  PIRKIMO OBJEKTAS</w:t>
      </w:r>
      <w:bookmarkEnd w:id="4"/>
      <w:bookmarkEnd w:id="5"/>
      <w:bookmarkEnd w:id="6"/>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2.1. Perkančioji organizacija numato įsigyti mokslo paskirties pastatų (1C2p2, 2C2p ir 4C1p) Veiverių Tomo Žilinsko gimnazijos Kauno g. 29 Veiveriuose, Prienų r. sav. kapitalinio remonto techninio darbo projekto parengimo paslaugas. Reikalavimai pirkimo objektui nustatyti specialiųjų pirkimo sąlygų 2 priede „Techninė specifikacija“ .</w:t>
      </w:r>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 xml:space="preserve">2.2. </w:t>
      </w:r>
      <w:r>
        <w:rPr>
          <w:rFonts w:cs="Arial" w:ascii="Arial" w:hAnsi="Arial"/>
          <w:sz w:val="24"/>
          <w:szCs w:val="24"/>
        </w:rPr>
        <w:t xml:space="preserve">Pirkimo objektas į dalis neskaidomas, nes yra nedalus. </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2.3. Jeigu apibūdinant pirkimo objektą techninėje specifikacijoje, Techniniame projekte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2.4. Jeigu apibūdinant pirkimo objektą techninėje specifikacijoje, Techniniame projekte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pPr>
        <w:pStyle w:val="Heading1"/>
        <w:spacing w:before="360" w:after="120"/>
        <w:contextualSpacing/>
        <w:rPr>
          <w:rFonts w:ascii="Arial" w:hAnsi="Arial" w:cs="Arial"/>
          <w:b/>
          <w:bCs/>
          <w:sz w:val="24"/>
          <w:szCs w:val="24"/>
        </w:rPr>
      </w:pPr>
      <w:bookmarkStart w:id="8" w:name="_Toc187926811"/>
      <w:bookmarkStart w:id="9" w:name="_Hlk178767231"/>
      <w:bookmarkEnd w:id="9"/>
      <w:r>
        <w:rPr>
          <w:rFonts w:cs="Arial" w:ascii="Arial" w:hAnsi="Arial"/>
          <w:b/>
          <w:bCs/>
          <w:sz w:val="24"/>
          <w:szCs w:val="24"/>
        </w:rPr>
        <w:t xml:space="preserve">3. </w:t>
      </w:r>
      <w:bookmarkStart w:id="10" w:name="_Ref39740354"/>
      <w:bookmarkStart w:id="11" w:name="_Ref39427927"/>
      <w:bookmarkStart w:id="12" w:name="_Ref39427921"/>
      <w:r>
        <w:rPr>
          <w:rFonts w:cs="Arial" w:ascii="Arial" w:hAnsi="Arial"/>
          <w:b/>
          <w:bCs/>
          <w:sz w:val="24"/>
          <w:szCs w:val="24"/>
        </w:rPr>
        <w:t>SUSITIKIMAI SU TIEKĖJAIS</w:t>
      </w:r>
      <w:bookmarkEnd w:id="8"/>
      <w:bookmarkEnd w:id="10"/>
      <w:bookmarkEnd w:id="11"/>
      <w:bookmarkEnd w:id="12"/>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susitikimo su tiekėjais dėl pirkimo sąlygų paaiškinimo.</w:t>
      </w:r>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objekto apžiūros.</w:t>
      </w:r>
    </w:p>
    <w:p>
      <w:pPr>
        <w:pStyle w:val="Heading1"/>
        <w:spacing w:before="360" w:after="120"/>
        <w:contextualSpacing/>
        <w:rPr>
          <w:rFonts w:ascii="Arial" w:hAnsi="Arial" w:cs="Arial"/>
          <w:b/>
          <w:bCs/>
          <w:sz w:val="24"/>
          <w:szCs w:val="24"/>
        </w:rPr>
      </w:pPr>
      <w:bookmarkStart w:id="13" w:name="_Toc187926812"/>
      <w:bookmarkStart w:id="14" w:name="_Ref39474188"/>
      <w:bookmarkStart w:id="15" w:name="_Ref39473761"/>
      <w:bookmarkStart w:id="16" w:name="_Ref39473754"/>
      <w:r>
        <w:rPr>
          <w:rFonts w:cs="Arial" w:ascii="Arial" w:hAnsi="Arial"/>
          <w:b/>
          <w:bCs/>
          <w:sz w:val="24"/>
          <w:szCs w:val="24"/>
        </w:rPr>
        <w:t>4. TIEKĖJŲ PAŠALINIMO PAGRINDAI</w:t>
      </w:r>
      <w:bookmarkEnd w:id="14"/>
      <w:bookmarkEnd w:id="15"/>
      <w:bookmarkEnd w:id="16"/>
      <w:r>
        <w:rPr>
          <w:rFonts w:cs="Arial" w:ascii="Arial" w:hAnsi="Arial"/>
          <w:b/>
          <w:bCs/>
          <w:sz w:val="24"/>
          <w:szCs w:val="24"/>
        </w:rPr>
        <w:t xml:space="preserve"> IR KVALIFIKACIJOS REIKALAVIMAI</w:t>
      </w:r>
      <w:bookmarkEnd w:id="13"/>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Reikalavimai dėl tiekėjo ir ūkio subjektų, kurių pajėgumais tiekėjas remiasi, pašalinimo pagrindų nebuvimo bei jų nebuvimą patvirtinantys dokumentai nurodyti specialiųjų pirkimo sąlygų 3 priede „Tiekėjų pašalinimo pagrindai“.</w:t>
      </w:r>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 xml:space="preserve"> </w:t>
      </w:r>
      <w:r>
        <w:rPr>
          <w:rFonts w:cs="Arial" w:ascii="Arial" w:hAnsi="Arial"/>
          <w:sz w:val="24"/>
          <w:szCs w:val="24"/>
        </w:rPr>
        <w:t>Tiekėjams nustatomi kvalifikacijos reikalavimai ir reikalavimai dėl aplinkos apsaugos vadybos sistemos standartų laikymosi ir jų atitiktį patvirtinantys dokumentai nurodyti specialiųjų pirkimo sąlygų 4 priede „Tiekėjų kvalifikacijos reikalavimai ir reikalaujami aplinkos apsaugos vadybos sistemų standartai“.</w:t>
      </w:r>
    </w:p>
    <w:p>
      <w:pPr>
        <w:pStyle w:val="Heading1"/>
        <w:tabs>
          <w:tab w:val="clear" w:pos="1296"/>
          <w:tab w:val="left" w:pos="567" w:leader="none"/>
        </w:tabs>
        <w:spacing w:before="360" w:after="0"/>
        <w:contextualSpacing/>
        <w:jc w:val="both"/>
        <w:rPr>
          <w:rFonts w:ascii="Arial" w:hAnsi="Arial" w:cs="Arial"/>
          <w:b/>
          <w:bCs/>
          <w:sz w:val="24"/>
          <w:szCs w:val="24"/>
        </w:rPr>
      </w:pPr>
      <w:bookmarkStart w:id="17" w:name="_Toc187926813"/>
      <w:r>
        <w:rPr>
          <w:rFonts w:cs="Arial" w:ascii="Arial" w:hAnsi="Arial"/>
          <w:b/>
          <w:bCs/>
          <w:sz w:val="24"/>
          <w:szCs w:val="24"/>
        </w:rPr>
        <w:t>5. REIKALAVIMAI, SUSIJĘ SU NACIONALINIU SAUGUMU</w:t>
      </w:r>
      <w:bookmarkEnd w:id="17"/>
      <w:r>
        <w:rPr>
          <w:rFonts w:cs="Arial" w:ascii="Arial" w:hAnsi="Arial"/>
          <w:b/>
          <w:bCs/>
          <w:sz w:val="24"/>
          <w:szCs w:val="24"/>
        </w:rPr>
        <w:t xml:space="preserve"> </w:t>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t xml:space="preserve">5.1. Pirkimui taikomos Reglamento ir 2014 m. liepos 31 d. Tarybos reglamento (ES) Nr. 833/2014 dėl ribojamųjų priemonių atsižvelgiant į Rusijos veiksmus, kuriais destabilizuojama padėtis Ukrainoje, su visais pakeitimais, nuostatos. </w:t>
      </w:r>
      <w:r>
        <w:rPr>
          <w:rFonts w:cs="Arial" w:ascii="Arial" w:hAnsi="Arial"/>
          <w:b/>
          <w:bCs/>
          <w:color w:themeColor="text1" w:val="000000"/>
          <w:sz w:val="24"/>
          <w:szCs w:val="24"/>
        </w:rPr>
        <w:t>Kartu su pasiūlymu tiekėjas turi pateikti</w:t>
      </w:r>
      <w:r>
        <w:rPr>
          <w:rFonts w:cs="Arial" w:ascii="Arial" w:hAnsi="Arial"/>
          <w:color w:themeColor="text1" w:val="000000"/>
          <w:sz w:val="24"/>
          <w:szCs w:val="24"/>
        </w:rPr>
        <w:t xml:space="preserve"> </w:t>
      </w:r>
      <w:r>
        <w:rPr>
          <w:rFonts w:cs="Arial" w:ascii="Arial" w:hAnsi="Arial"/>
          <w:b/>
          <w:bCs/>
          <w:color w:themeColor="text1" w:val="000000"/>
          <w:sz w:val="24"/>
          <w:szCs w:val="24"/>
        </w:rPr>
        <w:t>užpildytą deklaraciją</w:t>
      </w:r>
      <w:r>
        <w:rPr>
          <w:rFonts w:cs="Arial" w:ascii="Arial" w:hAnsi="Arial"/>
          <w:color w:themeColor="text1" w:val="000000"/>
          <w:sz w:val="24"/>
          <w:szCs w:val="24"/>
        </w:rPr>
        <w:t xml:space="preserve">, kuri pateikta </w:t>
      </w:r>
      <w:r>
        <w:rPr>
          <w:rFonts w:cs="Arial" w:ascii="Arial" w:hAnsi="Arial"/>
          <w:sz w:val="24"/>
          <w:szCs w:val="24"/>
        </w:rPr>
        <w:t xml:space="preserve">specialiųjų pirkimo sąlygų 8 priede „Tiekėjo deklaracija“ (taikoma ir juridiniams, ir fiziniams asmenims). </w:t>
      </w:r>
      <w:r>
        <w:rPr>
          <w:rFonts w:cs="Arial" w:ascii="Arial" w:hAnsi="Arial"/>
          <w:color w:themeColor="text1" w:val="000000"/>
          <w:sz w:val="24"/>
          <w:szCs w:val="24"/>
        </w:rPr>
        <w:t>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t xml:space="preserve">5.2. Perkančioji organizacija nustačiusi, kad tiekėjo pasitelktas subtiekėjas ar ūkio subjektas, kurio pajėgumais remiamasi, tenkina Reglamento 5 k straipsnyje ir 2014 m. liepos 31 d. Tarybos reglamente (ES) Nr. 833/2014 nustatytus ribojimus, reikalaus tiekėjo juos pakeisti kitais, pirkimo sąlygų reikalavimus atitinkančiais, subjektais. </w:t>
      </w:r>
    </w:p>
    <w:p>
      <w:pPr>
        <w:pStyle w:val="Heading1"/>
        <w:spacing w:before="360" w:after="120"/>
        <w:contextualSpacing/>
        <w:rPr>
          <w:rFonts w:ascii="Arial" w:hAnsi="Arial" w:cs="Arial"/>
          <w:b/>
          <w:bCs/>
          <w:sz w:val="24"/>
          <w:szCs w:val="24"/>
        </w:rPr>
      </w:pPr>
      <w:bookmarkStart w:id="18" w:name="_Ref39666796"/>
      <w:bookmarkStart w:id="19" w:name="_Ref39666794"/>
      <w:bookmarkStart w:id="20" w:name="_Toc187926814"/>
      <w:r>
        <w:rPr>
          <w:rFonts w:cs="Arial" w:ascii="Arial" w:hAnsi="Arial"/>
          <w:b/>
          <w:bCs/>
          <w:sz w:val="24"/>
          <w:szCs w:val="24"/>
        </w:rPr>
        <w:t>6. SPECIALIEJI REIKALAVIMAI PASIŪLYMŲ RENGIMUI IR PATEIKIMUI</w:t>
      </w:r>
      <w:bookmarkEnd w:id="18"/>
      <w:bookmarkEnd w:id="19"/>
      <w:bookmarkEnd w:id="20"/>
    </w:p>
    <w:p>
      <w:pPr>
        <w:pStyle w:val="ListParagraph"/>
        <w:numPr>
          <w:ilvl w:val="0"/>
          <w:numId w:val="6"/>
        </w:numPr>
        <w:tabs>
          <w:tab w:val="clear" w:pos="1296"/>
          <w:tab w:val="left" w:pos="1080" w:leader="none"/>
        </w:tabs>
        <w:spacing w:lineRule="auto" w:line="240" w:before="0" w:after="0"/>
        <w:ind w:firstLine="567" w:left="0"/>
        <w:contextualSpacing/>
        <w:jc w:val="both"/>
        <w:rPr>
          <w:rFonts w:ascii="Arial" w:hAnsi="Arial" w:cs="Arial"/>
          <w:b/>
          <w:bCs/>
          <w:i/>
          <w:i/>
          <w:iCs/>
          <w:sz w:val="24"/>
          <w:szCs w:val="24"/>
        </w:rPr>
      </w:pPr>
      <w:r>
        <w:rPr>
          <w:rFonts w:cs="Arial" w:ascii="Arial" w:hAnsi="Arial"/>
          <w:b/>
          <w:bCs/>
          <w:sz w:val="24"/>
          <w:szCs w:val="24"/>
        </w:rPr>
        <w:t>Tiekėjo pasiūlymą sudaro CVP IS pateikiamų ir žemiau nurodytų dokumentų visuma:</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 xml:space="preserve">tiekėjo pasirašytas pasiūlymas, parengtas pagal šių pirkimo sąlygų </w:t>
      </w:r>
      <w:r>
        <w:rPr>
          <w:rFonts w:cs="Arial" w:ascii="Arial" w:hAnsi="Arial"/>
          <w:sz w:val="24"/>
          <w:szCs w:val="24"/>
          <w:shd w:fill="FFFFFF" w:val="clear"/>
        </w:rPr>
        <w:t xml:space="preserve">6 </w:t>
      </w:r>
      <w:r>
        <w:rPr>
          <w:rFonts w:cs="Arial" w:ascii="Arial" w:hAnsi="Arial"/>
          <w:sz w:val="24"/>
          <w:szCs w:val="24"/>
        </w:rPr>
        <w:t>priede „Pasiūlymo forma“ pateiktą pasiūlymo formą;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užpildytas EBVPD (specialiųjų pirkimo sąlygų 5 priedas „EBVPD“ (XML formatu)). Pasirašydamas pasiūlymą, tiekėjas patvirtina ir EBVPD tikrumą;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jungtinės veiklos sutarties kopija (jeigu pirkime dalyvauja ūkio subjektų grupė jungtinės veiklos sutarties pagrindu);</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dokumentas, patvirtinantis, kad asmuo, kuris pasirašė pasiūlymą (jei jis ne tiekėjo vadovas), turėjo teisę jį pasirašyti;</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pasiūlymo galiojimą užtikrinantis dokumentas;</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subtiekėjus, subtiekėjo deklaracija ar kitas dokumentas, patvirtinantis jo sutikimą būti subtiekėju pirkime;</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užpildyta deklaracija pagal specialiųjų pirkimo sąlygų 8 priede pateiktą formą.</w:t>
      </w:r>
    </w:p>
    <w:p>
      <w:pPr>
        <w:pStyle w:val="ListParagraph"/>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pPr>
        <w:pStyle w:val="ListParagraph"/>
        <w:spacing w:lineRule="auto" w:line="240" w:before="0" w:after="0"/>
        <w:ind w:firstLine="540" w:left="0"/>
        <w:contextualSpacing/>
        <w:jc w:val="both"/>
        <w:rPr>
          <w:rFonts w:ascii="Arial" w:hAnsi="Arial" w:eastAsia="Calibri" w:cs="Arial"/>
          <w:bCs/>
          <w:iCs/>
          <w:sz w:val="24"/>
          <w:szCs w:val="24"/>
        </w:rPr>
      </w:pPr>
      <w:r>
        <w:rPr>
          <w:rFonts w:eastAsia="Calibri" w:cs="Arial" w:ascii="Arial" w:hAnsi="Arial"/>
          <w:bCs/>
          <w:iCs/>
          <w:sz w:val="24"/>
          <w:szCs w:val="24"/>
        </w:rPr>
        <w:t>6.2.1. pateikiami kvalifikuotu elektroniniu parašu pasirašyti elektroninėmis priemonėmis suformuoti dokumentai;</w:t>
      </w:r>
    </w:p>
    <w:p>
      <w:pPr>
        <w:pStyle w:val="ListParagraph"/>
        <w:spacing w:lineRule="auto" w:line="240" w:before="0" w:after="0"/>
        <w:ind w:firstLine="540" w:left="0"/>
        <w:contextualSpacing/>
        <w:jc w:val="both"/>
        <w:rPr>
          <w:rFonts w:ascii="Arial" w:hAnsi="Arial" w:eastAsia="Calibri" w:cs="Arial"/>
          <w:bCs/>
          <w:iCs/>
          <w:sz w:val="24"/>
          <w:szCs w:val="24"/>
        </w:rPr>
      </w:pPr>
      <w:r>
        <w:rPr>
          <w:rFonts w:eastAsia="Calibri" w:cs="Arial" w:ascii="Arial" w:hAnsi="Arial"/>
          <w:bCs/>
          <w:iCs/>
          <w:sz w:val="24"/>
          <w:szCs w:val="24"/>
        </w:rPr>
        <w:t>6.2.2. skaitmeninės dokumentų kopijos (</w:t>
      </w:r>
      <w:r>
        <w:rPr>
          <w:rFonts w:eastAsia="Calibri" w:cs="Arial" w:ascii="Arial" w:hAnsi="Arial"/>
          <w:iCs/>
          <w:sz w:val="24"/>
          <w:szCs w:val="24"/>
        </w:rPr>
        <w:t>fiziniu parašu tvirtinami dokumentai turi būti pateikiami pasirašyti ir nuskenuoti)</w:t>
      </w:r>
      <w:r>
        <w:rPr>
          <w:rFonts w:eastAsia="Calibri" w:cs="Arial" w:ascii="Arial" w:hAnsi="Arial"/>
          <w:bCs/>
          <w:iCs/>
          <w:sz w:val="24"/>
          <w:szCs w:val="24"/>
        </w:rPr>
        <w:t>.</w:t>
      </w:r>
    </w:p>
    <w:p>
      <w:pPr>
        <w:pStyle w:val="ListParagraph"/>
        <w:spacing w:lineRule="auto" w:line="240" w:before="0" w:after="0"/>
        <w:ind w:firstLine="540" w:left="0"/>
        <w:contextualSpacing/>
        <w:jc w:val="both"/>
        <w:rPr>
          <w:rFonts w:ascii="Arial" w:hAnsi="Arial" w:cs="Arial"/>
          <w:sz w:val="24"/>
          <w:szCs w:val="24"/>
        </w:rPr>
      </w:pPr>
      <w:r>
        <w:rPr>
          <w:rFonts w:eastAsia="Calibri" w:cs="Arial" w:ascii="Arial" w:hAnsi="Arial"/>
          <w:bCs/>
          <w:iCs/>
          <w:sz w:val="24"/>
          <w:szCs w:val="24"/>
        </w:rPr>
        <w:t xml:space="preserve">6.3. </w:t>
      </w:r>
      <w:r>
        <w:rPr>
          <w:rFonts w:cs="Arial" w:ascii="Arial" w:hAnsi="Arial"/>
          <w:sz w:val="24"/>
          <w:szCs w:val="24"/>
        </w:rPr>
        <w:t>Pasiūlymas turi būti parengtas lietuvių kalba</w:t>
      </w:r>
      <w:r>
        <w:rPr>
          <w:rFonts w:cs="Arial" w:ascii="Arial" w:hAnsi="Arial"/>
          <w:color w:val="7030A0"/>
          <w:sz w:val="24"/>
          <w:szCs w:val="24"/>
        </w:rPr>
        <w:t xml:space="preserve">. </w:t>
      </w:r>
      <w:r>
        <w:rPr>
          <w:rFonts w:eastAsia="Arial" w:cs="Arial" w:ascii="Arial" w:hAnsi="Arial"/>
          <w:sz w:val="24"/>
          <w:szCs w:val="24"/>
        </w:rPr>
        <w:t xml:space="preserve">Jei kurie nors su pasiūlymu teikiami dokumentai parengti ne ta kalba, kuria reikalaujama, turi būti pateiktas tikslus vertimas į reikalaujamą kalbą. </w:t>
      </w:r>
      <w:r>
        <w:rPr>
          <w:rFonts w:cs="Arial" w:ascii="Arial" w:hAnsi="Arial"/>
          <w:sz w:val="24"/>
          <w:szCs w:val="24"/>
        </w:rPr>
        <w:t xml:space="preserve">Perkančiajai organizacijai turint įtarimų dėl pasiūlyme pateikto dokumento vertimo kokybės ir (ar) jo atitikties dokumento originalo turiniui, perkančioji organizacija reikalauja pateikti vertėjo parašu ir vertimų biuro antspaudu (jei turi) patvirtintą šio dokumento vertimą. </w:t>
      </w:r>
    </w:p>
    <w:p>
      <w:pPr>
        <w:pStyle w:val="ListParagraph"/>
        <w:spacing w:lineRule="auto" w:line="240" w:before="0" w:after="0"/>
        <w:ind w:firstLine="540" w:left="0"/>
        <w:contextualSpacing/>
        <w:jc w:val="both"/>
        <w:rPr>
          <w:rFonts w:ascii="Arial" w:hAnsi="Arial" w:eastAsia="Arial" w:cs="Arial"/>
          <w:sz w:val="24"/>
          <w:szCs w:val="24"/>
        </w:rPr>
      </w:pPr>
      <w:r>
        <w:rPr>
          <w:rFonts w:cs="Arial" w:ascii="Arial" w:hAnsi="Arial"/>
          <w:sz w:val="24"/>
          <w:szCs w:val="24"/>
        </w:rPr>
        <w:t xml:space="preserve">6.4. </w:t>
      </w:r>
      <w:r>
        <w:rPr>
          <w:rFonts w:eastAsia="Arial" w:cs="Arial" w:ascii="Arial" w:hAnsi="Arial"/>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spacing w:lineRule="auto" w:line="240" w:before="0" w:after="0"/>
        <w:ind w:firstLine="540" w:left="0"/>
        <w:contextualSpacing/>
        <w:jc w:val="both"/>
        <w:rPr>
          <w:rFonts w:ascii="Arial" w:hAnsi="Arial" w:cs="Arial"/>
          <w:bCs/>
          <w:iCs/>
          <w:sz w:val="24"/>
          <w:szCs w:val="24"/>
          <w:u w:val="single"/>
        </w:rPr>
      </w:pPr>
      <w:r>
        <w:rPr>
          <w:rFonts w:eastAsia="Arial" w:cs="Arial" w:ascii="Arial" w:hAnsi="Arial"/>
          <w:sz w:val="24"/>
          <w:szCs w:val="24"/>
        </w:rPr>
        <w:t xml:space="preserve">6.5. Tiekėjų pasiūlymuose nurodytos kainos bus vertinamos </w:t>
      </w:r>
      <w:r>
        <w:rPr>
          <w:rFonts w:cs="Arial" w:ascii="Arial" w:hAnsi="Arial"/>
          <w:sz w:val="24"/>
          <w:szCs w:val="24"/>
        </w:rPr>
        <w:t xml:space="preserve">ir lyginamos su visais mokesčiais, įskaitant PVM. </w:t>
      </w:r>
    </w:p>
    <w:p>
      <w:pPr>
        <w:pStyle w:val="Heading1"/>
        <w:tabs>
          <w:tab w:val="clear" w:pos="1296"/>
          <w:tab w:val="left" w:pos="709" w:leader="none"/>
        </w:tabs>
        <w:rPr>
          <w:rFonts w:ascii="Arial" w:hAnsi="Arial" w:cs="Arial"/>
          <w:b/>
          <w:bCs/>
          <w:sz w:val="24"/>
          <w:szCs w:val="24"/>
        </w:rPr>
      </w:pPr>
      <w:bookmarkStart w:id="21" w:name="_Ref39430779"/>
      <w:bookmarkStart w:id="22" w:name="_Ref39430768"/>
      <w:bookmarkStart w:id="23" w:name="_Toc187926815"/>
      <w:bookmarkStart w:id="24" w:name="_Toc91497106"/>
      <w:bookmarkStart w:id="25" w:name="_Toc91497105"/>
      <w:bookmarkStart w:id="26" w:name="_Toc91497104"/>
      <w:bookmarkStart w:id="27" w:name="_Toc91497103"/>
      <w:bookmarkStart w:id="28" w:name="_Toc91497102"/>
      <w:bookmarkEnd w:id="24"/>
      <w:bookmarkEnd w:id="25"/>
      <w:bookmarkEnd w:id="26"/>
      <w:bookmarkEnd w:id="27"/>
      <w:bookmarkEnd w:id="28"/>
      <w:r>
        <w:rPr>
          <w:rFonts w:cs="Arial" w:ascii="Arial" w:hAnsi="Arial"/>
          <w:b/>
          <w:bCs/>
          <w:sz w:val="24"/>
          <w:szCs w:val="24"/>
        </w:rPr>
        <w:t>7. PASIŪLYMO GALIOJIMO UŽTIKRINIMAS</w:t>
      </w:r>
      <w:bookmarkEnd w:id="21"/>
      <w:bookmarkEnd w:id="22"/>
      <w:bookmarkEnd w:id="23"/>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7.1. Dalyvis kartu su pasiūlymu privalo pateikti Perkančiajai organizacijai pasiūlymo galiojimo užtikrinimą, kuris atitinka 7.4 punkte nurodytas sąlygas. Jungtinės veiklos sutarties pagrindu veikiančių ūkio subjektų pasiūlymo galiojimo užtikrinimas turi būti pateiktas visų jungtinės veiklos pagrindu veikiančių ūkio subjektų, kurie teikia pasiūlymą, vardu.</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7.2. Dalyvis privalo užtikrinti savo pasiūlymo galiojimą ne mažesne kaip 1500 Eur suma  vienu iš šių būdų:</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7.2.1. pateikiant banko ar kredito įstaigos išduotą besąlyginę pasiūlymo galiojimo užtikrinimo garantiją;</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7.2.2. pateikiant draudimo bendrovės besąlyginį ir neatšaukiamą laidavimo draudimą.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 xml:space="preserve">7.2.3. atliekant pavedimą į nurodytą Prienų rajono savivaldybės administracijos banko sąskaitą (AB bankas „Swedbank“, sąskaitos Nr. LT337300010076937146) ir kartu pateikiant pavedimo, patvirtinančio užtikrinimo apmokėjimą, kopiją. Pavedimas turi būti atliktas iki pasiūlymo pateikimo. </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7.3. Esminės užtikrinimo sąlygos yra – užtikrinimo suma, besąlygiškumas, neatšaukiamumas, perkančiosios organizacijos ir tiekėjo rekvizitai, galiojimo laikas, sutikimas sumokėti užtikrinimo sumą ne ginčo tvarka per 10 darbo dienų, užtikrinimas pasirašytas (paprastu ar kvalifikuotu elektroniniu parašu) ir patvirtintas.</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7.4. Pasiūlymo galiojimo užtikrinimas turi galioti ne trumpiau nei pats pasiūlymas. Iki pasibaigiant pasiūlymų galiojimo terminui Perkančioji organizacija gali prašyti Dalyvių pratęsti pasiūlymų galiojimo ir pasiūlymo galiojimo užtikrinimo galiojimo terminus konkrečiam dienų skaičiui.</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7.5. Dalyvis netenka pasiūlymo galiojimo užtikrinimo esant bent vienai šių sąlygų:</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7.5.1. Dalyvis atsisako savo pasiūlymo arba jo dalies (pasiūlyme nurodyto pirkimo objekto, jo kiekio (apimties), siūlomų kainų, tiekimo ar mokėjimo terminų, kitų pasiūlyme nurodytų sąlygų), nors pasiūlymo galiojimo terminas dar nebus pasibaigęs;</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7.5.2. Dalyvis, perkančiajai organizacijai paprašius, netikslina ar nepateikia trūkstamų duomenų ar dokumentų apie atitiktį pirkimo dokumentų reikalavimams;</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7.5.3. perkančiajai organizacijai paprašius pagrįsti neįprastai mažą kainą, dalyvis nepateikia jokio pagrindimo;</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7.5.4. laimėjęs viešąjį pirkimą dalyvis atsisako pasirašyti sutartį pagal pirkimo dokumentuose pateiktas sutarties sąlygas ir (ar) sutarties projektą nors pasiūlymo galiojimo terminas dar nebus pasibaigęs. Jei iki perkančiosios organizacijos nurodyto laiko dalyvis nepasirašo sutarties, laikoma, kad jis atsisakė sudaryti sutartį;</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7.5.5. laimėjęs pirkimą ir pasirašęs sutartį dalyvis per sutartyje nustatytą terminą nepateikia sutarties įvykdymo užtikrinimo  arba neįvykdo kitų pirkimo sutartyje nustatytų jos įsigaliojimo sąlygų.</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7.6.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7.7. Perkančioji organizacija gali prašyti dalyvius pratęsti pasiūlymo galiojimo užtikrinimo laiką iki konkrečiai nurodytos datos.</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7.8. Pasiūlymo galiojimo užtikrinimas dalyviui grąžinamas (arba atsisakoma teisių į jį) per specialiųjų pirkimo sąlygų 1 priede „Terminai“ nustatytą terminą įvykus bent vienai iš šių sąlygų:</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7.8.1. pasibaigia pasiūlymų užtikrinimo galiojimo laikas ir dalyvis jo nepratęsia ir (ar) nepateikia naujo pasiūlymo galiojimo užtikrinimą patvirtinančio dokumento (jeigu jo reikalaujama);</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7.8.2. įsigalioja pasirašyta sutartis;</w:t>
      </w:r>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7.8.3. nutraukiamos pirkimo procedūros.</w:t>
      </w:r>
    </w:p>
    <w:p>
      <w:pPr>
        <w:pStyle w:val="Heading1"/>
        <w:tabs>
          <w:tab w:val="clear" w:pos="1296"/>
          <w:tab w:val="left" w:pos="709" w:leader="none"/>
        </w:tabs>
        <w:rPr>
          <w:rFonts w:ascii="Arial" w:hAnsi="Arial" w:cs="Arial"/>
          <w:b/>
          <w:bCs/>
          <w:sz w:val="24"/>
          <w:szCs w:val="24"/>
        </w:rPr>
      </w:pPr>
      <w:bookmarkStart w:id="29" w:name="_Ref39658251"/>
      <w:bookmarkStart w:id="30" w:name="_Ref39658248"/>
      <w:bookmarkStart w:id="31" w:name="_Ref39658226"/>
      <w:bookmarkStart w:id="32" w:name="_Ref39658218"/>
      <w:bookmarkStart w:id="33" w:name="_Toc187926816"/>
      <w:r>
        <w:rPr>
          <w:rFonts w:cs="Arial" w:ascii="Arial" w:hAnsi="Arial"/>
          <w:b/>
          <w:bCs/>
          <w:sz w:val="24"/>
          <w:szCs w:val="24"/>
        </w:rPr>
        <w:t>8. ELEKTRONINIS AUKCIONAS</w:t>
      </w:r>
      <w:bookmarkEnd w:id="29"/>
      <w:bookmarkEnd w:id="30"/>
      <w:bookmarkEnd w:id="31"/>
      <w:bookmarkEnd w:id="32"/>
      <w:bookmarkEnd w:id="33"/>
    </w:p>
    <w:p>
      <w:pPr>
        <w:pStyle w:val="Normal"/>
        <w:spacing w:lineRule="auto" w:line="240" w:before="0" w:after="0"/>
        <w:ind w:firstLine="567"/>
        <w:rPr>
          <w:rFonts w:ascii="Arial" w:hAnsi="Arial" w:cs="Arial"/>
          <w:sz w:val="24"/>
          <w:szCs w:val="24"/>
        </w:rPr>
      </w:pPr>
      <w:r>
        <w:rPr>
          <w:rFonts w:cs="Arial" w:ascii="Arial" w:hAnsi="Arial"/>
          <w:sz w:val="24"/>
          <w:szCs w:val="24"/>
        </w:rPr>
        <w:t>8.1. Perkančioji organizacija pirkime netaikys elektroninio aukciono.</w:t>
      </w:r>
    </w:p>
    <w:p>
      <w:pPr>
        <w:pStyle w:val="Heading1"/>
        <w:tabs>
          <w:tab w:val="clear" w:pos="1296"/>
          <w:tab w:val="left" w:pos="709" w:leader="none"/>
        </w:tabs>
        <w:spacing w:before="360" w:after="120"/>
        <w:contextualSpacing/>
        <w:rPr>
          <w:rFonts w:ascii="Arial" w:hAnsi="Arial" w:cs="Arial"/>
          <w:b/>
          <w:bCs/>
          <w:sz w:val="24"/>
          <w:szCs w:val="24"/>
        </w:rPr>
      </w:pPr>
      <w:bookmarkStart w:id="34" w:name="_Toc187926817"/>
      <w:bookmarkStart w:id="35" w:name="_Ref39485258"/>
      <w:bookmarkStart w:id="36" w:name="_Ref39485250"/>
      <w:bookmarkStart w:id="37" w:name="_Ref39667308"/>
      <w:bookmarkStart w:id="38" w:name="_Ref39667303"/>
      <w:r>
        <w:rPr>
          <w:rFonts w:cs="Arial" w:ascii="Arial" w:hAnsi="Arial"/>
          <w:b/>
          <w:bCs/>
          <w:sz w:val="24"/>
          <w:szCs w:val="24"/>
        </w:rPr>
        <w:t>9. PASIŪLYMŲ VERTINIMAS</w:t>
      </w:r>
      <w:bookmarkEnd w:id="35"/>
      <w:bookmarkEnd w:id="36"/>
      <w:bookmarkEnd w:id="37"/>
      <w:bookmarkEnd w:id="38"/>
      <w:r>
        <w:rPr>
          <w:rFonts w:cs="Arial" w:ascii="Arial" w:hAnsi="Arial"/>
          <w:b/>
          <w:bCs/>
          <w:sz w:val="24"/>
          <w:szCs w:val="24"/>
        </w:rPr>
        <w:t xml:space="preserve"> IR PASIŪLYMŲ ATMETIMO PRIEŽASTYS</w:t>
      </w:r>
      <w:bookmarkEnd w:id="34"/>
    </w:p>
    <w:p>
      <w:pPr>
        <w:pStyle w:val="Normal"/>
        <w:spacing w:lineRule="auto" w:line="240" w:before="0" w:after="0"/>
        <w:ind w:firstLine="720"/>
        <w:jc w:val="both"/>
        <w:rPr>
          <w:rFonts w:ascii="Arial" w:hAnsi="Arial" w:cs="Arial"/>
          <w:sz w:val="24"/>
          <w:szCs w:val="24"/>
        </w:rPr>
      </w:pPr>
      <w:r>
        <w:rPr>
          <w:rFonts w:cs="Arial" w:ascii="Arial" w:hAnsi="Arial"/>
          <w:sz w:val="24"/>
          <w:szCs w:val="24"/>
        </w:rPr>
        <w:t>9.1.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7 priede „Pasiūlymų vertinimo kriterijai ir sąlygos“.</w:t>
      </w:r>
    </w:p>
    <w:p>
      <w:pPr>
        <w:pStyle w:val="Normal"/>
        <w:spacing w:lineRule="auto" w:line="240" w:before="0" w:after="0"/>
        <w:ind w:firstLine="720"/>
        <w:jc w:val="both"/>
        <w:rPr>
          <w:rFonts w:ascii="Arial" w:hAnsi="Arial" w:cs="Arial"/>
          <w:sz w:val="24"/>
          <w:szCs w:val="24"/>
        </w:rPr>
      </w:pPr>
      <w:r>
        <w:rPr>
          <w:rFonts w:cs="Arial" w:ascii="Arial" w:hAnsi="Arial"/>
          <w:sz w:val="24"/>
          <w:szCs w:val="24"/>
        </w:rPr>
        <w:t xml:space="preserve">9.2. Laimėjusiu pasiūlymu galės būti pripažintas tik 1 (vienas) ekonomiškai naudingiausias pasiūlymas, esantis pasiūlymų eilės pirmojoje vietoje. </w:t>
      </w:r>
    </w:p>
    <w:p>
      <w:pPr>
        <w:pStyle w:val="Normal"/>
        <w:spacing w:lineRule="auto" w:line="240" w:before="0" w:after="0"/>
        <w:ind w:firstLine="720"/>
        <w:jc w:val="both"/>
        <w:rPr>
          <w:rFonts w:ascii="Arial" w:hAnsi="Arial" w:cs="Arial"/>
          <w:sz w:val="24"/>
          <w:szCs w:val="24"/>
        </w:rPr>
      </w:pPr>
      <w:r>
        <w:rPr>
          <w:rFonts w:cs="Arial" w:ascii="Arial" w:hAnsi="Arial"/>
          <w:sz w:val="24"/>
          <w:szCs w:val="24"/>
        </w:rPr>
        <w:t>9.3. Perkančioji organizacija atmes tiekėjo pasiūlymą, jeigu kartu su pasiūlymu nebus pateikti šie pirkimo sąlygose reikalaujami pateikti dokumentai: 6.1.1 papunktyje nurodyti dokumentai.</w:t>
      </w:r>
    </w:p>
    <w:p>
      <w:pPr>
        <w:pStyle w:val="Heading1"/>
        <w:tabs>
          <w:tab w:val="clear" w:pos="1296"/>
          <w:tab w:val="left" w:pos="567" w:leader="none"/>
        </w:tabs>
        <w:spacing w:before="360" w:after="120"/>
        <w:contextualSpacing/>
        <w:rPr>
          <w:rFonts w:ascii="Arial" w:hAnsi="Arial" w:cs="Arial"/>
          <w:b/>
          <w:bCs/>
          <w:sz w:val="24"/>
          <w:szCs w:val="24"/>
        </w:rPr>
      </w:pPr>
      <w:bookmarkStart w:id="39" w:name="_Ref39426005"/>
      <w:bookmarkStart w:id="40" w:name="_Ref39425999"/>
      <w:bookmarkStart w:id="41" w:name="_Toc187926818"/>
      <w:r>
        <w:rPr>
          <w:rFonts w:cs="Arial" w:ascii="Arial" w:hAnsi="Arial"/>
          <w:b/>
          <w:bCs/>
          <w:sz w:val="24"/>
          <w:szCs w:val="24"/>
        </w:rPr>
        <w:t>10. SUTARTIES SUDARYMAS</w:t>
      </w:r>
      <w:bookmarkEnd w:id="39"/>
      <w:bookmarkEnd w:id="40"/>
      <w:bookmarkEnd w:id="41"/>
    </w:p>
    <w:p>
      <w:pPr>
        <w:pStyle w:val="ListParagraph"/>
        <w:numPr>
          <w:ilvl w:val="1"/>
          <w:numId w:val="5"/>
        </w:numPr>
        <w:shd w:val="clear" w:color="auto" w:fill="FFFFFF"/>
        <w:spacing w:lineRule="auto" w:line="240" w:before="0" w:after="0"/>
        <w:ind w:firstLine="567" w:left="0"/>
        <w:contextualSpacing/>
        <w:jc w:val="both"/>
        <w:rPr>
          <w:rFonts w:ascii="Arial" w:hAnsi="Arial" w:eastAsia="Calibri" w:cs="Arial"/>
          <w:sz w:val="24"/>
          <w:szCs w:val="24"/>
        </w:rPr>
      </w:pPr>
      <w:r>
        <w:rPr>
          <w:rFonts w:cs="Arial" w:ascii="Arial" w:hAnsi="Arial"/>
          <w:color w:themeColor="text1" w:val="000000"/>
          <w:sz w:val="24"/>
          <w:szCs w:val="24"/>
        </w:rPr>
        <w:t>Ši pirkimo procedūra atliekama siekiant sudaryti sutartį su tiekėju, kurio pasiūlymas, vadovaujantis pirkimo sąlygose</w:t>
      </w:r>
      <w:r>
        <w:rPr>
          <w:rFonts w:cs="Arial" w:ascii="Arial" w:hAnsi="Arial"/>
          <w:color w:val="0070C0"/>
          <w:sz w:val="24"/>
          <w:szCs w:val="24"/>
        </w:rPr>
        <w:t xml:space="preserve"> </w:t>
      </w:r>
      <w:r>
        <w:rPr>
          <w:rFonts w:cs="Arial" w:ascii="Arial" w:hAnsi="Arial"/>
          <w:color w:themeColor="text1" w:val="000000"/>
          <w:sz w:val="24"/>
          <w:szCs w:val="24"/>
        </w:rPr>
        <w:t xml:space="preserve">nustatyta tvarka, bus pripažintas laimėjęs. </w:t>
      </w:r>
      <w:r>
        <w:rPr>
          <w:rFonts w:cs="Arial" w:ascii="Arial" w:hAnsi="Arial"/>
          <w:sz w:val="24"/>
          <w:szCs w:val="24"/>
        </w:rPr>
        <w:t>Sutarties sąlygos pateikiamos specialiųjų pirkimo sąlygų 9 priede „Sutarties projektas“.</w:t>
      </w:r>
      <w:bookmarkEnd w:id="1"/>
    </w:p>
    <w:p>
      <w:pPr>
        <w:pStyle w:val="Heading1"/>
        <w:tabs>
          <w:tab w:val="clear" w:pos="1296"/>
          <w:tab w:val="left" w:pos="567" w:leader="none"/>
        </w:tabs>
        <w:spacing w:before="360" w:after="120"/>
        <w:contextualSpacing/>
        <w:rPr>
          <w:rFonts w:ascii="Arial" w:hAnsi="Arial" w:cs="Arial"/>
          <w:b/>
          <w:bCs/>
          <w:sz w:val="24"/>
          <w:szCs w:val="24"/>
        </w:rPr>
      </w:pPr>
      <w:bookmarkStart w:id="42" w:name="_Toc187926819"/>
      <w:r>
        <w:rPr>
          <w:rFonts w:cs="Arial" w:ascii="Arial" w:hAnsi="Arial"/>
          <w:b/>
          <w:bCs/>
          <w:sz w:val="24"/>
          <w:szCs w:val="24"/>
        </w:rPr>
        <w:t>11. ASMENS DUOMENŲ TVARKYMAS</w:t>
      </w:r>
      <w:bookmarkEnd w:id="42"/>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Nurodytais pagrindais bus tvarkomi tiesiogiai tiekėjų pateikti asmens duomenys.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t>__________</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t>Pirkimo sąlygų 1 priedas „Terminai“</w:t>
      </w:r>
    </w:p>
    <w:p>
      <w:pPr>
        <w:pStyle w:val="Normal"/>
        <w:shd w:val="clear" w:color="auto" w:fill="FFFFFF"/>
        <w:spacing w:lineRule="auto" w:line="240" w:before="0" w:after="0"/>
        <w:jc w:val="right"/>
        <w:rPr>
          <w:rFonts w:ascii="Arial" w:hAnsi="Arial" w:eastAsia="Calibri" w:cs="Arial"/>
          <w:color w:val="0070C0"/>
          <w:sz w:val="24"/>
          <w:szCs w:val="24"/>
        </w:rPr>
      </w:pPr>
      <w:r>
        <w:rPr>
          <w:rFonts w:eastAsia="Calibri" w:cs="Arial" w:ascii="Arial" w:hAnsi="Arial"/>
          <w:color w:val="0070C0"/>
          <w:sz w:val="24"/>
          <w:szCs w:val="24"/>
        </w:rPr>
      </w:r>
    </w:p>
    <w:tbl>
      <w:tblPr>
        <w:tblW w:w="9900"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27"/>
        <w:gridCol w:w="3514"/>
        <w:gridCol w:w="3060"/>
        <w:gridCol w:w="2698"/>
      </w:tblGrid>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Eil. Nr.</w:t>
            </w:r>
          </w:p>
        </w:tc>
        <w:tc>
          <w:tcPr>
            <w:tcW w:w="3514"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VEIKSMAS</w:t>
            </w:r>
          </w:p>
        </w:tc>
        <w:tc>
          <w:tcPr>
            <w:tcW w:w="3060"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DATA/DIENŲ SKAIČIUS/ LAIKAS</w:t>
            </w:r>
          </w:p>
          <w:p>
            <w:pPr>
              <w:pStyle w:val="Normal"/>
              <w:spacing w:lineRule="auto" w:line="240" w:before="0" w:after="0"/>
              <w:jc w:val="center"/>
              <w:rPr>
                <w:rFonts w:ascii="Arial" w:hAnsi="Arial" w:cs="Arial"/>
                <w:sz w:val="24"/>
                <w:szCs w:val="24"/>
              </w:rPr>
            </w:pPr>
            <w:r>
              <w:rPr>
                <w:rFonts w:cs="Arial" w:ascii="Arial" w:hAnsi="Arial"/>
                <w:sz w:val="24"/>
                <w:szCs w:val="24"/>
              </w:rPr>
              <w:t>(Lietuvos laiku)</w:t>
            </w:r>
          </w:p>
        </w:tc>
        <w:tc>
          <w:tcPr>
            <w:tcW w:w="2698"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PASTABOS</w:t>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1.</w:t>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cs="Arial" w:ascii="Arial" w:hAnsi="Arial"/>
                <w:bCs/>
                <w:sz w:val="24"/>
                <w:szCs w:val="24"/>
              </w:rPr>
              <w:t>Pasiūlymų pateikimo terminas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nurodytas skelbime</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sz w:val="24"/>
                <w:szCs w:val="24"/>
              </w:rPr>
              <w:t>Perkančioji organizacija turi teisę pratęsti pasiūlymų pateikimo terminą.</w:t>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2.</w:t>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eastAsia="Times New Roman" w:cs="Arial" w:ascii="Arial" w:hAnsi="Arial"/>
                <w:sz w:val="24"/>
                <w:szCs w:val="24"/>
              </w:rPr>
              <w:t>Pradinis susipažinimas su CVP IS priemonėmis gautais pasiūlymais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Pradedamas ne anksčiau nei </w:t>
            </w:r>
            <w:r>
              <w:rPr>
                <w:rFonts w:cs="Arial" w:ascii="Arial" w:hAnsi="Arial"/>
                <w:color w:themeColor="text1" w:val="000000"/>
                <w:sz w:val="24"/>
                <w:szCs w:val="24"/>
              </w:rPr>
              <w:t>po 30 minučių</w:t>
            </w:r>
            <w:r>
              <w:rPr>
                <w:rFonts w:cs="Arial" w:ascii="Arial" w:hAnsi="Arial"/>
                <w:sz w:val="24"/>
                <w:szCs w:val="24"/>
              </w:rPr>
              <w:t xml:space="preserve"> po pasiūlymų pateikimo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iCs/>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3.</w:t>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jc w:val="both"/>
              <w:rPr>
                <w:rFonts w:ascii="Arial" w:hAnsi="Arial" w:cs="Arial"/>
                <w:bCs/>
                <w:sz w:val="24"/>
                <w:szCs w:val="24"/>
              </w:rPr>
            </w:pPr>
            <w:r>
              <w:rPr>
                <w:rFonts w:cs="Arial" w:ascii="Arial" w:hAnsi="Arial"/>
                <w:sz w:val="24"/>
                <w:szCs w:val="24"/>
              </w:rPr>
              <w:t>Prašymą paaiškinti, patikslinti pirkimo sąlygas tiekėjas turi pateikti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10 (dešimt) dienų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color w:val="7030A0"/>
                <w:sz w:val="24"/>
                <w:szCs w:val="24"/>
              </w:rPr>
            </w:pPr>
            <w:r>
              <w:rPr>
                <w:rFonts w:cs="Arial" w:ascii="Arial" w:hAnsi="Arial"/>
                <w:iCs/>
                <w:color w:val="7030A0"/>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7"/>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pirkimo sąlygų paaiškinimą, patikslinimą pateikia visiems tiekėjams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(šešios) dienos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color w:val="FF0000"/>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rengs susitikimus su tiekėjais dėl pirkimo sąlygų paaiškinimo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Tiekėjai turi pateikti prekių pavyzdžius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color w:val="auto"/>
                <w:sz w:val="24"/>
                <w:szCs w:val="24"/>
                <w:lang w:val="lt-LT"/>
              </w:rPr>
            </w:pPr>
            <w:r>
              <w:rPr>
                <w:rFonts w:cs="Arial" w:ascii="Arial" w:hAnsi="Arial"/>
                <w:color w:val="auto"/>
                <w:sz w:val="24"/>
                <w:szCs w:val="24"/>
                <w:lang w:val="lt-LT"/>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Pasiūlymo galiojimo ir pasiūlymo galiojimo užtikrinimo (jei taikoma) terminas ne trumpesnis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90 (devyniasdešimt) dienų nuo pasiūlymų pateikimo galutinio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Perkančioji organizacija atsako tiekėjui, ar ji sutinka priimti tiekėjo siūlomą pasiūlymo galiojimo užtikrinimą patvirtinantį dokumentą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iCs/>
                <w:sz w:val="24"/>
                <w:szCs w:val="24"/>
                <w:lang w:val="lt-LT"/>
              </w:rPr>
            </w:pPr>
            <w:r>
              <w:rPr>
                <w:rFonts w:cs="Arial" w:ascii="Arial" w:hAnsi="Arial"/>
                <w:iCs/>
                <w:sz w:val="24"/>
                <w:szCs w:val="24"/>
                <w:lang w:val="lt-LT"/>
              </w:rPr>
              <w:t>3 (tris) darbo dienas nuo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color w:themeColor="text1" w:val="000000"/>
                <w:sz w:val="24"/>
                <w:szCs w:val="24"/>
              </w:rPr>
              <w:t>Pasiūlymo galiojimo užtikrinimas pirkimo dalyviui grąžinamas (arba atsisakoma teisių į jį)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color w:themeColor="text1" w:val="000000"/>
                <w:sz w:val="24"/>
                <w:szCs w:val="24"/>
              </w:rPr>
            </w:pPr>
            <w:r>
              <w:rPr>
                <w:rFonts w:cs="Arial" w:ascii="Arial" w:hAnsi="Arial"/>
                <w:iCs/>
                <w:sz w:val="24"/>
                <w:szCs w:val="24"/>
              </w:rPr>
              <w:t>5 (penkias) darbo dienas nuo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informuoja pirkimo dalyvius apie EBVPD vertinimo rezultatus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 xml:space="preserve">Perkančioji organizacija pirkimo dalyviams praneša apie priimtą sprendimą nustatyti laimėjusį pasiūlymą, </w:t>
            </w:r>
            <w:r>
              <w:rPr>
                <w:rFonts w:cs="Arial" w:ascii="Arial" w:hAnsi="Arial"/>
                <w:sz w:val="24"/>
                <w:szCs w:val="24"/>
              </w:rPr>
              <w:t>dėl kurio bus sudaroma</w:t>
            </w:r>
            <w:r>
              <w:rPr>
                <w:rFonts w:cs="Arial" w:ascii="Arial" w:hAnsi="Arial"/>
                <w:bCs/>
                <w:sz w:val="24"/>
                <w:szCs w:val="24"/>
              </w:rPr>
              <w:t xml:space="preserve"> sutartis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pirkimo dalyviui raštu paprašius, jam pateikia VPĮ 58 straipsnio 2 dalyje nustatytą informaciją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15 (penkiolika) dienų nuo pirkimo dalyvio raštu pateikto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Tajtip"/>
              <w:shd w:val="clear" w:color="auto" w:fill="FFFFFF"/>
              <w:spacing w:beforeAutospacing="0" w:before="0" w:afterAutospacing="0" w:after="0"/>
              <w:ind w:firstLine="313"/>
              <w:rPr>
                <w:rFonts w:ascii="Arial" w:hAnsi="Arial" w:cs="Arial"/>
              </w:rPr>
            </w:pPr>
            <w:r>
              <w:rPr>
                <w:rFonts w:cs="Arial" w:ascii="Arial" w:hAnsi="Arial"/>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color w:val="000000"/>
                <w:sz w:val="24"/>
                <w:szCs w:val="24"/>
                <w:shd w:fill="FFFFFF" w:val="clear"/>
              </w:rPr>
              <w:t xml:space="preserve">Tiekėjas turi teisę pateikti pretenziją perkančiajai organizacijai, pateikti prašymą ar pareikšti ieškinį teismui </w:t>
            </w:r>
            <w:r>
              <w:rPr>
                <w:rFonts w:cs="Arial" w:ascii="Arial" w:hAnsi="Arial"/>
                <w:bCs/>
                <w:sz w:val="24"/>
                <w:szCs w:val="24"/>
              </w:rPr>
              <w:t>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10 (dešimt) dienų nuo </w:t>
            </w:r>
            <w:r>
              <w:rPr>
                <w:rFonts w:eastAsia="Arial" w:cs="Arial" w:ascii="Arial" w:hAnsi="Arial"/>
                <w:sz w:val="24"/>
                <w:szCs w:val="24"/>
              </w:rPr>
              <w:t>perkančiosios organizacijos</w:t>
            </w:r>
            <w:r>
              <w:rPr>
                <w:rFonts w:cs="Arial" w:ascii="Arial" w:hAnsi="Arial"/>
                <w:sz w:val="24"/>
                <w:szCs w:val="24"/>
              </w:rPr>
              <w:t xml:space="preserve"> pranešimo raštu apie jos priimtą sprendimą išsiuntimo tiekėjams dienos arba nuo paskelbimo apie </w:t>
            </w:r>
            <w:r>
              <w:rPr>
                <w:rFonts w:eastAsia="Arial" w:cs="Arial" w:ascii="Arial" w:hAnsi="Arial"/>
                <w:sz w:val="24"/>
                <w:szCs w:val="24"/>
              </w:rPr>
              <w:t>perkančiosios organizacijos</w:t>
            </w:r>
            <w:r>
              <w:rPr>
                <w:rFonts w:cs="Arial" w:ascii="Arial" w:hAnsi="Arial"/>
                <w:sz w:val="24"/>
                <w:szCs w:val="24"/>
              </w:rPr>
              <w:t xml:space="preserve"> priimtus sprendimus dienos, jei VPĮ nenumato reikalavimo raštu informuoti tiekėjus apie </w:t>
            </w:r>
            <w:r>
              <w:rPr>
                <w:rFonts w:eastAsia="Arial" w:cs="Arial" w:ascii="Arial" w:hAnsi="Arial"/>
                <w:sz w:val="24"/>
                <w:szCs w:val="24"/>
              </w:rPr>
              <w:t xml:space="preserve"> perkančiosios organizacijos</w:t>
            </w:r>
            <w:r>
              <w:rPr>
                <w:rFonts w:cs="Arial" w:ascii="Arial" w:hAnsi="Arial"/>
                <w:sz w:val="24"/>
                <w:szCs w:val="24"/>
              </w:rPr>
              <w:t xml:space="preserve"> priimtus sprendimus;</w:t>
            </w:r>
          </w:p>
          <w:p>
            <w:pPr>
              <w:pStyle w:val="Normal"/>
              <w:spacing w:lineRule="auto" w:line="240" w:before="0" w:after="0"/>
              <w:jc w:val="both"/>
              <w:rPr>
                <w:rFonts w:ascii="Arial" w:hAnsi="Arial" w:cs="Arial"/>
                <w:sz w:val="24"/>
                <w:szCs w:val="24"/>
              </w:rPr>
            </w:pPr>
            <w:r>
              <w:rPr>
                <w:rFonts w:cs="Arial" w:ascii="Arial" w:hAnsi="Arial"/>
                <w:sz w:val="24"/>
                <w:szCs w:val="24"/>
              </w:rPr>
              <w:t>15 (penkiolika) dienų nuo pranešimo išsiuntimo tiekėjams dienos, jeigu šis pranešimas nebuvo siunčiamas elektroninėmis priemonėmis.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(šešias) darbo dienas nuo pretenzijos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Jeigu perkančioji organizacija per nustatytą terminą neišnagrinėja jai pateiktos pretenzijos, tiekėjas turi teisę pateikti prašymą ar pareikšti ieškinį teismui per</w:t>
            </w:r>
            <w:r>
              <w:rPr>
                <w:rFonts w:cs="Arial" w:ascii="Arial" w:hAnsi="Arial"/>
                <w:bCs/>
                <w:sz w:val="24"/>
                <w:szCs w:val="24"/>
              </w:rPr>
              <w:t xml:space="preserve"> (išskyrus </w:t>
            </w:r>
            <w:r>
              <w:rPr>
                <w:rFonts w:cs="Arial" w:ascii="Arial" w:hAnsi="Arial"/>
                <w:sz w:val="24"/>
                <w:szCs w:val="24"/>
              </w:rPr>
              <w:t>VPĮ 102 str. 3 d. ir 4 d. numatytus atvejus)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per 15 (penkiolika) dienų nuo dienos, kurią perkančioji organizacija turėjo raštu pranešti apie priimtą sprendimą pretenziją pateikusiam tiekėjui,   suinteresuotiems pirkimo dalyviams.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negali sudaryti sutarties anksčiau kaip po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bCs/>
                <w:sz w:val="24"/>
                <w:szCs w:val="24"/>
              </w:rPr>
              <w:t>10 (dešimt) dienų</w:t>
            </w:r>
            <w:r>
              <w:rPr>
                <w:rFonts w:cs="Arial" w:ascii="Arial" w:hAnsi="Arial"/>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 xml:space="preserve">Jeigu </w:t>
            </w:r>
            <w:r>
              <w:rPr>
                <w:rFonts w:cs="Arial" w:ascii="Arial" w:hAnsi="Arial"/>
                <w:iCs/>
                <w:sz w:val="24"/>
                <w:szCs w:val="24"/>
              </w:rPr>
              <w:t>suinteresuotas dalyvis paprašys perkančiosios organizacijos pateikti laimėjusį pasiūlymą</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bl>
    <w:p>
      <w:pPr>
        <w:pStyle w:val="Normal"/>
        <w:tabs>
          <w:tab w:val="clear" w:pos="1296"/>
          <w:tab w:val="left" w:pos="2977" w:leader="none"/>
        </w:tabs>
        <w:spacing w:lineRule="auto" w:line="240" w:before="0" w:after="120"/>
        <w:jc w:val="center"/>
        <w:rPr>
          <w:rFonts w:ascii="Arial" w:hAnsi="Arial" w:eastAsia="Calibri" w:cs="Arial"/>
          <w:sz w:val="24"/>
          <w:szCs w:val="24"/>
        </w:rPr>
      </w:pPr>
      <w:r>
        <w:rPr>
          <w:rFonts w:eastAsia="Calibri" w:cs="Arial" w:ascii="Arial" w:hAnsi="Arial"/>
          <w:sz w:val="24"/>
          <w:szCs w:val="24"/>
        </w:rPr>
      </w:r>
    </w:p>
    <w:p>
      <w:pPr>
        <w:pStyle w:val="Normal"/>
        <w:spacing w:lineRule="auto" w:line="240"/>
        <w:jc w:val="center"/>
        <w:rPr>
          <w:rFonts w:ascii="Arial" w:hAnsi="Arial" w:eastAsia="Calibri" w:cs="Arial"/>
          <w:sz w:val="24"/>
          <w:szCs w:val="24"/>
        </w:rPr>
      </w:pPr>
      <w:r>
        <w:rPr>
          <w:rFonts w:cs="Arial" w:ascii="Arial" w:hAnsi="Arial"/>
          <w:smallCaps/>
          <w:sz w:val="24"/>
          <w:szCs w:val="24"/>
        </w:rPr>
        <w:t>______________</w:t>
      </w:r>
      <w:bookmarkStart w:id="43" w:name="_Ref38899023"/>
      <w:bookmarkStart w:id="44" w:name="_Ref38885053"/>
      <w:bookmarkStart w:id="45" w:name="_Ref38541068"/>
      <w:bookmarkStart w:id="46" w:name="_Ref38539939"/>
    </w:p>
    <w:p>
      <w:pPr>
        <w:pStyle w:val="Normal"/>
        <w:spacing w:lineRule="auto" w:line="240"/>
        <w:rPr>
          <w:rFonts w:ascii="Arial" w:hAnsi="Arial" w:eastAsia="Calibri" w:cs="Arial"/>
          <w:sz w:val="24"/>
          <w:szCs w:val="24"/>
        </w:rPr>
      </w:pPr>
      <w:r>
        <w:rPr>
          <w:rFonts w:eastAsia="Calibri" w:cs="Arial" w:ascii="Arial" w:hAnsi="Arial"/>
          <w:sz w:val="24"/>
          <w:szCs w:val="24"/>
        </w:rPr>
      </w:r>
      <w:bookmarkStart w:id="47" w:name="_Hlk175219611"/>
      <w:bookmarkStart w:id="48" w:name="_Hlk175219611"/>
      <w:bookmarkEnd w:id="48"/>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ind w:left="7290"/>
        <w:rPr>
          <w:rFonts w:ascii="Arial" w:hAnsi="Arial" w:eastAsia="Calibri" w:cs="Arial"/>
          <w:sz w:val="24"/>
          <w:szCs w:val="24"/>
        </w:rPr>
      </w:pPr>
      <w:r>
        <w:rPr>
          <w:rFonts w:eastAsia="Calibri" w:cs="Arial" w:ascii="Arial" w:hAnsi="Arial"/>
          <w:sz w:val="24"/>
          <w:szCs w:val="24"/>
        </w:rPr>
      </w:r>
    </w:p>
    <w:p>
      <w:pPr>
        <w:pStyle w:val="Normal"/>
        <w:spacing w:lineRule="auto" w:line="240"/>
        <w:ind w:left="7290"/>
        <w:rPr>
          <w:rFonts w:ascii="Arial" w:hAnsi="Arial" w:eastAsia="Calibri" w:cs="Arial"/>
          <w:sz w:val="24"/>
          <w:szCs w:val="24"/>
        </w:rPr>
      </w:pPr>
      <w:bookmarkStart w:id="49" w:name="_Hlk173919358"/>
      <w:r>
        <w:rPr>
          <w:rFonts w:eastAsia="Calibri" w:cs="Arial" w:ascii="Arial" w:hAnsi="Arial"/>
          <w:sz w:val="24"/>
          <w:szCs w:val="24"/>
        </w:rPr>
        <w:t>Pirkimo sąlygų 2 priedas „Techninė specifikacija“</w:t>
      </w:r>
      <w:bookmarkEnd w:id="43"/>
      <w:bookmarkEnd w:id="44"/>
      <w:bookmarkEnd w:id="45"/>
      <w:bookmarkEnd w:id="46"/>
      <w:bookmarkEnd w:id="49"/>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sz w:val="24"/>
          <w:szCs w:val="24"/>
        </w:rPr>
      </w:pPr>
      <w:r>
        <w:rPr>
          <w:rFonts w:cs="Arial" w:ascii="Arial" w:hAnsi="Arial"/>
          <w:b/>
          <w:sz w:val="24"/>
          <w:szCs w:val="24"/>
        </w:rPr>
        <w:t xml:space="preserve">MOKSLO PASKIRTIES PASTATŲ (1C2P2, 2C2P IR 4C1P) VEIVERIŲ TOMO ŽILINSKO GIMNAZIJOS KAUNO G. 29 VEIVERIUOSE, PRIENŲ R. SAV. KAPITALINIO REMONTO TECHNINIO DARBO PROJEKTO PARENGIMO </w:t>
      </w:r>
    </w:p>
    <w:p>
      <w:pPr>
        <w:pStyle w:val="Normal"/>
        <w:spacing w:lineRule="auto" w:line="240" w:before="0" w:after="0"/>
        <w:jc w:val="center"/>
        <w:rPr>
          <w:rFonts w:ascii="Arial" w:hAnsi="Arial" w:cs="Arial"/>
          <w:b/>
          <w:sz w:val="24"/>
          <w:szCs w:val="24"/>
        </w:rPr>
      </w:pPr>
      <w:r>
        <w:rPr>
          <w:rFonts w:cs="Arial" w:ascii="Arial" w:hAnsi="Arial"/>
          <w:b/>
          <w:sz w:val="24"/>
          <w:szCs w:val="24"/>
        </w:rPr>
        <w:t xml:space="preserve">PROJEKTAVIMO UŽDUOTIS  </w:t>
      </w:r>
    </w:p>
    <w:p>
      <w:pPr>
        <w:pStyle w:val="Normal"/>
        <w:spacing w:lineRule="auto" w:line="240" w:before="0" w:after="0"/>
        <w:jc w:val="center"/>
        <w:rPr>
          <w:rFonts w:ascii="Arial" w:hAnsi="Arial" w:cs="Arial"/>
          <w:b/>
          <w:sz w:val="24"/>
          <w:szCs w:val="24"/>
        </w:rPr>
      </w:pPr>
      <w:r>
        <w:rPr>
          <w:rFonts w:cs="Arial" w:ascii="Arial" w:hAnsi="Arial"/>
          <w:b/>
          <w:sz w:val="24"/>
          <w:szCs w:val="24"/>
        </w:rPr>
      </w:r>
    </w:p>
    <w:p>
      <w:pPr>
        <w:pStyle w:val="Normal"/>
        <w:rPr/>
      </w:pPr>
      <w:r>
        <w:rPr/>
      </w:r>
    </w:p>
    <w:tbl>
      <w:tblPr>
        <w:tblW w:w="9892" w:type="dxa"/>
        <w:jc w:val="left"/>
        <w:tblInd w:w="0" w:type="dxa"/>
        <w:tblLayout w:type="fixed"/>
        <w:tblCellMar>
          <w:top w:w="0" w:type="dxa"/>
          <w:left w:w="115" w:type="dxa"/>
          <w:bottom w:w="0" w:type="dxa"/>
          <w:right w:w="115" w:type="dxa"/>
        </w:tblCellMar>
        <w:tblLook w:firstRow="1" w:noVBand="1" w:lastRow="0" w:firstColumn="1" w:lastColumn="0" w:noHBand="0" w:val="04a0"/>
      </w:tblPr>
      <w:tblGrid>
        <w:gridCol w:w="712"/>
        <w:gridCol w:w="3056"/>
        <w:gridCol w:w="6124"/>
      </w:tblGrid>
      <w:tr>
        <w:trPr>
          <w:tblHeader w:val="true"/>
        </w:trPr>
        <w:tc>
          <w:tcPr>
            <w:tcW w:w="712" w:type="dxa"/>
            <w:tcBorders>
              <w:top w:val="single" w:sz="6" w:space="0" w:color="000000"/>
              <w:left w:val="single" w:sz="6" w:space="0" w:color="000000"/>
              <w:bottom w:val="single" w:sz="6" w:space="0" w:color="000000"/>
              <w:right w:val="single" w:sz="6" w:space="0" w:color="000000"/>
            </w:tcBorders>
            <w:vAlign w:val="cente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b/>
                <w:bCs/>
                <w:color w:val="000000"/>
                <w:sz w:val="22"/>
                <w:szCs w:val="22"/>
                <w:lang w:eastAsia="en-US"/>
              </w:rPr>
              <w:t>Eil. Nr.</w:t>
            </w:r>
          </w:p>
        </w:tc>
        <w:tc>
          <w:tcPr>
            <w:tcW w:w="3056" w:type="dxa"/>
            <w:tcBorders>
              <w:top w:val="single" w:sz="6" w:space="0" w:color="000000"/>
              <w:left w:val="single" w:sz="6" w:space="0" w:color="000000"/>
              <w:bottom w:val="single" w:sz="6" w:space="0" w:color="000000"/>
              <w:right w:val="single" w:sz="6" w:space="0" w:color="000000"/>
            </w:tcBorders>
            <w:vAlign w:val="cente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b/>
                <w:bCs/>
                <w:color w:val="000000"/>
                <w:sz w:val="22"/>
                <w:szCs w:val="22"/>
                <w:lang w:eastAsia="en-US"/>
              </w:rPr>
              <w:t>Pavadinimas</w:t>
            </w:r>
          </w:p>
        </w:tc>
        <w:tc>
          <w:tcPr>
            <w:tcW w:w="6124" w:type="dxa"/>
            <w:tcBorders>
              <w:top w:val="single" w:sz="6" w:space="0" w:color="000000"/>
              <w:left w:val="single" w:sz="6" w:space="0" w:color="000000"/>
              <w:bottom w:val="single" w:sz="6" w:space="0" w:color="000000"/>
              <w:right w:val="single" w:sz="6" w:space="0" w:color="000000"/>
            </w:tcBorders>
            <w:vAlign w:val="cente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b/>
                <w:bCs/>
                <w:color w:val="000000"/>
                <w:sz w:val="22"/>
                <w:szCs w:val="22"/>
                <w:lang w:eastAsia="en-US"/>
              </w:rPr>
              <w:t>Reikalavimai</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c>
          <w:tcPr>
            <w:tcW w:w="9180" w:type="dxa"/>
            <w:gridSpan w:val="2"/>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b/>
                <w:bCs/>
                <w:color w:val="000000"/>
                <w:sz w:val="22"/>
                <w:szCs w:val="22"/>
                <w:lang w:eastAsia="en-US"/>
              </w:rPr>
              <w:t>I. Bendra informacija apie pirkimo objektą</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Projekto pavadinimas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Mokslo paskirties pastatų (1C2p2, 2C2p ir 4C1p) Veiverių Tomo Žilinsko gimnazijos Kauno g. 29 Veiveriuose, Prienų r. sav. kapitalinio remonto techninis darbo projektas</w:t>
            </w:r>
          </w:p>
        </w:tc>
      </w:tr>
      <w:tr>
        <w:trPr>
          <w:trHeight w:val="675"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Statinio paskirtis ir bendrieji (techniniai ir paskirties) rodikliai</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2.1. Statinių paskirtis – mokslo:</w:t>
            </w:r>
          </w:p>
          <w:p>
            <w:pPr>
              <w:pStyle w:val="Normal"/>
              <w:numPr>
                <w:ilvl w:val="0"/>
                <w:numId w:val="17"/>
              </w:numPr>
              <w:tabs>
                <w:tab w:val="clear" w:pos="1296"/>
                <w:tab w:val="left" w:pos="538" w:leader="none"/>
              </w:tabs>
              <w:suppressAutoHyphens w:val="false"/>
              <w:spacing w:lineRule="auto" w:line="240" w:before="0" w:after="0"/>
              <w:ind w:hanging="0" w:left="325" w:right="23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1C2p unikalus. Nr. 6994-0020-1017;</w:t>
            </w:r>
          </w:p>
          <w:p>
            <w:pPr>
              <w:pStyle w:val="Normal"/>
              <w:numPr>
                <w:ilvl w:val="0"/>
                <w:numId w:val="17"/>
              </w:numPr>
              <w:tabs>
                <w:tab w:val="clear" w:pos="1296"/>
                <w:tab w:val="left" w:pos="538" w:leader="none"/>
              </w:tabs>
              <w:suppressAutoHyphens w:val="false"/>
              <w:spacing w:lineRule="auto" w:line="240" w:before="0" w:after="0"/>
              <w:ind w:hanging="0" w:left="325" w:right="23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2C2p unikalus. Nr. 6994-0020-1028;</w:t>
            </w:r>
          </w:p>
          <w:p>
            <w:pPr>
              <w:pStyle w:val="Normal"/>
              <w:numPr>
                <w:ilvl w:val="0"/>
                <w:numId w:val="17"/>
              </w:numPr>
              <w:tabs>
                <w:tab w:val="clear" w:pos="1296"/>
                <w:tab w:val="left" w:pos="538" w:leader="none"/>
              </w:tabs>
              <w:suppressAutoHyphens w:val="false"/>
              <w:spacing w:lineRule="auto" w:line="240" w:before="0" w:after="0"/>
              <w:ind w:hanging="0" w:left="325" w:right="23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4C1p unikalus. Nr. 6994-0020-1040.</w:t>
            </w:r>
          </w:p>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2.2. Bendrieji pastato rodikliai:</w:t>
            </w:r>
          </w:p>
          <w:tbl>
            <w:tblPr>
              <w:tblW w:w="5901" w:type="dxa"/>
              <w:jc w:val="left"/>
              <w:tblInd w:w="0" w:type="dxa"/>
              <w:tblLayout w:type="fixed"/>
              <w:tblCellMar>
                <w:top w:w="58" w:type="dxa"/>
                <w:left w:w="58" w:type="dxa"/>
                <w:bottom w:w="58" w:type="dxa"/>
                <w:right w:w="0" w:type="dxa"/>
              </w:tblCellMar>
              <w:tblLook w:firstRow="1" w:noVBand="1" w:lastRow="0" w:firstColumn="1" w:lastColumn="0" w:noHBand="0" w:val="04a0"/>
            </w:tblPr>
            <w:tblGrid>
              <w:gridCol w:w="2392"/>
              <w:gridCol w:w="1169"/>
              <w:gridCol w:w="1169"/>
              <w:gridCol w:w="1170"/>
            </w:tblGrid>
            <w:tr>
              <w:trPr/>
              <w:tc>
                <w:tcPr>
                  <w:tcW w:w="2392" w:type="dxa"/>
                  <w:tcBorders>
                    <w:top w:val="single" w:sz="6" w:space="0" w:color="000000"/>
                    <w:left w:val="single" w:sz="6" w:space="0" w:color="000000"/>
                    <w:bottom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c>
                <w:tcPr>
                  <w:tcW w:w="1169" w:type="dxa"/>
                  <w:tcBorders>
                    <w:top w:val="single" w:sz="6" w:space="0" w:color="000000"/>
                    <w:left w:val="single" w:sz="6" w:space="0" w:color="000000"/>
                    <w:bottom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1C2p</w:t>
                  </w:r>
                </w:p>
              </w:tc>
              <w:tc>
                <w:tcPr>
                  <w:tcW w:w="1169" w:type="dxa"/>
                  <w:tcBorders>
                    <w:top w:val="single" w:sz="6" w:space="0" w:color="000000"/>
                    <w:left w:val="single" w:sz="6" w:space="0" w:color="000000"/>
                    <w:bottom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2C2p</w:t>
                  </w:r>
                </w:p>
              </w:tc>
              <w:tc>
                <w:tcPr>
                  <w:tcW w:w="1170" w:type="dxa"/>
                  <w:tcBorders>
                    <w:top w:val="single" w:sz="6" w:space="0" w:color="000000"/>
                    <w:left w:val="single" w:sz="6" w:space="0" w:color="000000"/>
                    <w:bottom w:val="single" w:sz="6" w:space="0" w:color="000000"/>
                    <w:right w:val="single" w:sz="6" w:space="0" w:color="000000"/>
                  </w:tcBorders>
                  <w:tcMar>
                    <w:right w:w="58" w:type="dxa"/>
                  </w:tcMar>
                </w:tcPr>
                <w:p>
                  <w:pPr>
                    <w:pStyle w:val="Normal"/>
                    <w:suppressAutoHyphens w:val="false"/>
                    <w:spacing w:lineRule="auto" w:line="240" w:before="0" w:after="0"/>
                    <w:ind w:hanging="907" w:left="965" w:right="58"/>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4C1p</w:t>
                  </w:r>
                </w:p>
              </w:tc>
            </w:tr>
            <w:tr>
              <w:trPr/>
              <w:tc>
                <w:tcPr>
                  <w:tcW w:w="2392"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Statybos metai</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1940</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1966</w:t>
                  </w:r>
                </w:p>
              </w:tc>
              <w:tc>
                <w:tcPr>
                  <w:tcW w:w="1170"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1980</w:t>
                  </w:r>
                </w:p>
              </w:tc>
            </w:tr>
            <w:tr>
              <w:trPr/>
              <w:tc>
                <w:tcPr>
                  <w:tcW w:w="2392"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Rekonstravimo metai</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2011</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2011</w:t>
                  </w:r>
                </w:p>
              </w:tc>
              <w:tc>
                <w:tcPr>
                  <w:tcW w:w="1170"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2011</w:t>
                  </w:r>
                </w:p>
              </w:tc>
            </w:tr>
            <w:tr>
              <w:trPr/>
              <w:tc>
                <w:tcPr>
                  <w:tcW w:w="2392"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Paprastojo remonto metai</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2017</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2017</w:t>
                  </w:r>
                </w:p>
              </w:tc>
              <w:tc>
                <w:tcPr>
                  <w:tcW w:w="1170"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2017</w:t>
                  </w:r>
                </w:p>
              </w:tc>
            </w:tr>
            <w:tr>
              <w:trPr/>
              <w:tc>
                <w:tcPr>
                  <w:tcW w:w="2392"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Bendrasis pastato plotas</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1050,5 m</w:t>
                  </w:r>
                  <w:r>
                    <w:rPr>
                      <w:rFonts w:eastAsia="Times New Roman" w:cs="Arial" w:ascii="Arial" w:hAnsi="Arial"/>
                      <w:color w:val="000000"/>
                      <w:sz w:val="22"/>
                      <w:szCs w:val="22"/>
                      <w:vertAlign w:val="superscript"/>
                      <w:lang w:eastAsia="en-US"/>
                    </w:rPr>
                    <w:t>2</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839,29 m</w:t>
                  </w:r>
                  <w:r>
                    <w:rPr>
                      <w:rFonts w:eastAsia="Times New Roman" w:cs="Arial" w:ascii="Arial" w:hAnsi="Arial"/>
                      <w:color w:val="000000"/>
                      <w:sz w:val="22"/>
                      <w:szCs w:val="22"/>
                      <w:vertAlign w:val="superscript"/>
                      <w:lang w:eastAsia="en-US"/>
                    </w:rPr>
                    <w:t>2</w:t>
                  </w:r>
                </w:p>
              </w:tc>
              <w:tc>
                <w:tcPr>
                  <w:tcW w:w="1170"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277,56 m</w:t>
                  </w:r>
                  <w:r>
                    <w:rPr>
                      <w:rFonts w:eastAsia="Times New Roman" w:cs="Arial" w:ascii="Arial" w:hAnsi="Arial"/>
                      <w:color w:val="000000"/>
                      <w:sz w:val="22"/>
                      <w:szCs w:val="22"/>
                      <w:vertAlign w:val="superscript"/>
                      <w:lang w:eastAsia="en-US"/>
                    </w:rPr>
                    <w:t>2</w:t>
                  </w:r>
                </w:p>
              </w:tc>
            </w:tr>
            <w:tr>
              <w:trPr/>
              <w:tc>
                <w:tcPr>
                  <w:tcW w:w="2392"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Tūris</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5276 m</w:t>
                  </w:r>
                  <w:r>
                    <w:rPr>
                      <w:rFonts w:eastAsia="Times New Roman" w:cs="Arial" w:ascii="Arial" w:hAnsi="Arial"/>
                      <w:color w:val="000000"/>
                      <w:sz w:val="22"/>
                      <w:szCs w:val="22"/>
                      <w:vertAlign w:val="superscript"/>
                      <w:lang w:eastAsia="en-US"/>
                    </w:rPr>
                    <w:t>3</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4287 m</w:t>
                  </w:r>
                  <w:r>
                    <w:rPr>
                      <w:rFonts w:eastAsia="Times New Roman" w:cs="Arial" w:ascii="Arial" w:hAnsi="Arial"/>
                      <w:color w:val="000000"/>
                      <w:sz w:val="22"/>
                      <w:szCs w:val="22"/>
                      <w:vertAlign w:val="superscript"/>
                      <w:lang w:eastAsia="en-US"/>
                    </w:rPr>
                    <w:t>3</w:t>
                  </w:r>
                </w:p>
              </w:tc>
              <w:tc>
                <w:tcPr>
                  <w:tcW w:w="1170"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2248 m</w:t>
                  </w:r>
                  <w:r>
                    <w:rPr>
                      <w:rFonts w:eastAsia="Times New Roman" w:cs="Arial" w:ascii="Arial" w:hAnsi="Arial"/>
                      <w:color w:val="000000"/>
                      <w:sz w:val="22"/>
                      <w:szCs w:val="22"/>
                      <w:vertAlign w:val="superscript"/>
                      <w:lang w:eastAsia="en-US"/>
                    </w:rPr>
                    <w:t>3</w:t>
                  </w:r>
                </w:p>
              </w:tc>
            </w:tr>
            <w:tr>
              <w:trPr/>
              <w:tc>
                <w:tcPr>
                  <w:tcW w:w="2392"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Aukštų skaičius</w:t>
                  </w:r>
                </w:p>
              </w:tc>
              <w:tc>
                <w:tcPr>
                  <w:tcW w:w="2338" w:type="dxa"/>
                  <w:gridSpan w:val="2"/>
                  <w:tcBorders>
                    <w:left w:val="single" w:sz="6" w:space="0" w:color="000000"/>
                    <w:bottom w:val="single" w:sz="6" w:space="0" w:color="000000"/>
                  </w:tcBorders>
                  <w:tcMar>
                    <w:top w:w="0" w:type="dxa"/>
                  </w:tcMar>
                </w:tcPr>
                <w:p>
                  <w:pPr>
                    <w:pStyle w:val="Normal"/>
                    <w:suppressAutoHyphens w:val="false"/>
                    <w:spacing w:lineRule="auto" w:line="240" w:before="0" w:after="0"/>
                    <w:jc w:val="center"/>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w:t>
                  </w:r>
                </w:p>
              </w:tc>
              <w:tc>
                <w:tcPr>
                  <w:tcW w:w="1170"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w:t>
                  </w:r>
                </w:p>
              </w:tc>
            </w:tr>
            <w:tr>
              <w:trPr/>
              <w:tc>
                <w:tcPr>
                  <w:tcW w:w="2392"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Rūsys</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133,15 m</w:t>
                  </w:r>
                  <w:r>
                    <w:rPr>
                      <w:rFonts w:eastAsia="Times New Roman" w:cs="Arial" w:ascii="Arial" w:hAnsi="Arial"/>
                      <w:color w:val="000000"/>
                      <w:sz w:val="22"/>
                      <w:szCs w:val="22"/>
                      <w:vertAlign w:val="superscript"/>
                      <w:lang w:eastAsia="en-US"/>
                    </w:rPr>
                    <w:t>2</w:t>
                  </w:r>
                </w:p>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514 m</w:t>
                  </w:r>
                  <w:r>
                    <w:rPr>
                      <w:rFonts w:eastAsia="Times New Roman" w:cs="Arial" w:ascii="Arial" w:hAnsi="Arial"/>
                      <w:color w:val="000000"/>
                      <w:sz w:val="22"/>
                      <w:szCs w:val="22"/>
                      <w:vertAlign w:val="superscript"/>
                      <w:lang w:eastAsia="en-US"/>
                    </w:rPr>
                    <w:t>3</w:t>
                  </w:r>
                </w:p>
              </w:tc>
              <w:tc>
                <w:tcPr>
                  <w:tcW w:w="1169"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nėra</w:t>
                  </w:r>
                </w:p>
              </w:tc>
              <w:tc>
                <w:tcPr>
                  <w:tcW w:w="1170"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250,82 m</w:t>
                  </w:r>
                  <w:r>
                    <w:rPr>
                      <w:rFonts w:eastAsia="Times New Roman" w:cs="Arial" w:ascii="Arial" w:hAnsi="Arial"/>
                      <w:color w:val="000000"/>
                      <w:sz w:val="22"/>
                      <w:szCs w:val="22"/>
                      <w:vertAlign w:val="superscript"/>
                      <w:lang w:eastAsia="en-US"/>
                    </w:rPr>
                    <w:t>2</w:t>
                  </w:r>
                </w:p>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803 m</w:t>
                  </w:r>
                  <w:r>
                    <w:rPr>
                      <w:rFonts w:eastAsia="Times New Roman" w:cs="Arial" w:ascii="Arial" w:hAnsi="Arial"/>
                      <w:color w:val="000000"/>
                      <w:sz w:val="22"/>
                      <w:szCs w:val="22"/>
                      <w:vertAlign w:val="superscript"/>
                      <w:lang w:eastAsia="en-US"/>
                    </w:rPr>
                    <w:t>3</w:t>
                  </w:r>
                </w:p>
              </w:tc>
            </w:tr>
          </w:tbl>
          <w:p>
            <w:pPr>
              <w:pStyle w:val="Normal"/>
              <w:suppressAutoHyphens w:val="false"/>
              <w:spacing w:lineRule="auto" w:line="240" w:before="0" w:after="0"/>
              <w:ind w:left="72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r>
      <w:tr>
        <w:trPr>
          <w:trHeight w:val="1080"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3.</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Žemės sklypas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ind w:right="115"/>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 xml:space="preserve">Kitos paskirties (naudojimo būdas – Visuomeninės paskirties teritorijos; 3.1063 ha ploto; žemės sklypo kadastro Nr. 6962/0004:296; unikalus Nr. </w:t>
              <w:br/>
              <w:t>4400-1967-5497).</w:t>
            </w:r>
          </w:p>
        </w:tc>
      </w:tr>
      <w:tr>
        <w:trPr>
          <w:trHeight w:val="360"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4.</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Statinio</w:t>
            </w:r>
            <w:r>
              <w:rPr>
                <w:rFonts w:eastAsia="Times New Roman" w:cs="Arial" w:ascii="Arial" w:hAnsi="Arial"/>
                <w:b/>
                <w:bCs/>
                <w:color w:val="000000"/>
                <w:sz w:val="22"/>
                <w:szCs w:val="22"/>
                <w:lang w:eastAsia="en-US"/>
              </w:rPr>
              <w:t xml:space="preserve"> </w:t>
            </w:r>
            <w:r>
              <w:rPr>
                <w:rFonts w:eastAsia="Times New Roman" w:cs="Arial" w:ascii="Arial" w:hAnsi="Arial"/>
                <w:color w:val="000000"/>
                <w:sz w:val="22"/>
                <w:szCs w:val="22"/>
                <w:lang w:eastAsia="en-US"/>
              </w:rPr>
              <w:t>statybos rūšis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Pagal STR 1.01.08:2002 „Statinio statybos rūšys“</w:t>
            </w:r>
          </w:p>
        </w:tc>
      </w:tr>
      <w:tr>
        <w:trPr>
          <w:trHeight w:val="135"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5.</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Statinio kategorija</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Neypatingasis statinys</w:t>
            </w:r>
          </w:p>
        </w:tc>
      </w:tr>
      <w:tr>
        <w:trPr>
          <w:trHeight w:val="540"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6.</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Esamos statinio konstrukcijos, jų funkcinė paskirtis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6.1. Esamos konstrukcijos:</w:t>
            </w:r>
          </w:p>
          <w:p>
            <w:pPr>
              <w:pStyle w:val="Normal"/>
              <w:numPr>
                <w:ilvl w:val="0"/>
                <w:numId w:val="18"/>
              </w:numPr>
              <w:tabs>
                <w:tab w:val="clear" w:pos="1296"/>
                <w:tab w:val="left" w:pos="560" w:leader="none"/>
              </w:tabs>
              <w:suppressAutoHyphens w:val="false"/>
              <w:spacing w:lineRule="auto" w:line="240" w:before="0" w:after="0"/>
              <w:ind w:hanging="0" w:left="32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Pamatai – gelžbetonis;</w:t>
            </w:r>
          </w:p>
          <w:p>
            <w:pPr>
              <w:pStyle w:val="Normal"/>
              <w:numPr>
                <w:ilvl w:val="0"/>
                <w:numId w:val="18"/>
              </w:numPr>
              <w:tabs>
                <w:tab w:val="clear" w:pos="1296"/>
                <w:tab w:val="left" w:pos="560" w:leader="none"/>
              </w:tabs>
              <w:suppressAutoHyphens w:val="false"/>
              <w:spacing w:lineRule="auto" w:line="240" w:before="0" w:after="0"/>
              <w:ind w:hanging="0" w:left="32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Sienos – plytų mūras (rūsiuose – gelžbetonio blokai);</w:t>
            </w:r>
          </w:p>
          <w:p>
            <w:pPr>
              <w:pStyle w:val="Normal"/>
              <w:numPr>
                <w:ilvl w:val="0"/>
                <w:numId w:val="18"/>
              </w:numPr>
              <w:tabs>
                <w:tab w:val="clear" w:pos="1296"/>
                <w:tab w:val="left" w:pos="560" w:leader="none"/>
              </w:tabs>
              <w:suppressAutoHyphens w:val="false"/>
              <w:spacing w:lineRule="auto" w:line="240" w:before="0" w:after="0"/>
              <w:ind w:hanging="0" w:left="32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Stogas – šlaitinis su asbestcemento danga (1C2p), sutapdintas su ruberoido danga (2C2p ir 4C1p);</w:t>
            </w:r>
          </w:p>
          <w:p>
            <w:pPr>
              <w:pStyle w:val="Normal"/>
              <w:numPr>
                <w:ilvl w:val="0"/>
                <w:numId w:val="18"/>
              </w:numPr>
              <w:tabs>
                <w:tab w:val="clear" w:pos="1296"/>
                <w:tab w:val="left" w:pos="560" w:leader="none"/>
              </w:tabs>
              <w:suppressAutoHyphens w:val="false"/>
              <w:spacing w:lineRule="auto" w:line="240" w:before="0" w:after="0"/>
              <w:ind w:hanging="0" w:left="32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Perdanga – g/b plokštės;</w:t>
            </w:r>
          </w:p>
          <w:p>
            <w:pPr>
              <w:pStyle w:val="Normal"/>
              <w:numPr>
                <w:ilvl w:val="0"/>
                <w:numId w:val="18"/>
              </w:numPr>
              <w:tabs>
                <w:tab w:val="clear" w:pos="1296"/>
                <w:tab w:val="left" w:pos="560" w:leader="none"/>
              </w:tabs>
              <w:suppressAutoHyphens w:val="false"/>
              <w:spacing w:lineRule="auto" w:line="240" w:before="0" w:after="0"/>
              <w:ind w:hanging="0" w:left="32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Pertvaros – tinkuotas plytų mūras;</w:t>
            </w:r>
          </w:p>
          <w:p>
            <w:pPr>
              <w:pStyle w:val="Normal"/>
              <w:numPr>
                <w:ilvl w:val="0"/>
                <w:numId w:val="18"/>
              </w:numPr>
              <w:tabs>
                <w:tab w:val="clear" w:pos="1296"/>
                <w:tab w:val="left" w:pos="560" w:leader="none"/>
              </w:tabs>
              <w:suppressAutoHyphens w:val="false"/>
              <w:spacing w:lineRule="auto" w:line="240" w:before="0" w:after="0"/>
              <w:ind w:hanging="0" w:left="32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Grindys – lentos, PVC ant monolitinių grindų (1C2p rūsyje monolitas);</w:t>
            </w:r>
          </w:p>
          <w:p>
            <w:pPr>
              <w:pStyle w:val="Normal"/>
              <w:numPr>
                <w:ilvl w:val="0"/>
                <w:numId w:val="18"/>
              </w:numPr>
              <w:tabs>
                <w:tab w:val="clear" w:pos="1296"/>
                <w:tab w:val="left" w:pos="560" w:leader="none"/>
              </w:tabs>
              <w:suppressAutoHyphens w:val="false"/>
              <w:spacing w:lineRule="auto" w:line="240" w:before="0" w:after="0"/>
              <w:ind w:hanging="0" w:left="32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Vidaus apdaila – dažai.</w:t>
            </w:r>
          </w:p>
          <w:tbl>
            <w:tblPr>
              <w:tblW w:w="5901" w:type="dxa"/>
              <w:jc w:val="left"/>
              <w:tblInd w:w="0" w:type="dxa"/>
              <w:tblLayout w:type="fixed"/>
              <w:tblCellMar>
                <w:top w:w="58" w:type="dxa"/>
                <w:left w:w="58" w:type="dxa"/>
                <w:bottom w:w="58" w:type="dxa"/>
                <w:right w:w="0" w:type="dxa"/>
              </w:tblCellMar>
              <w:tblLook w:firstRow="1" w:noVBand="1" w:lastRow="0" w:firstColumn="1" w:lastColumn="0" w:noHBand="0" w:val="04a0"/>
            </w:tblPr>
            <w:tblGrid>
              <w:gridCol w:w="843"/>
              <w:gridCol w:w="2177"/>
              <w:gridCol w:w="2881"/>
            </w:tblGrid>
            <w:tr>
              <w:trPr/>
              <w:tc>
                <w:tcPr>
                  <w:tcW w:w="843" w:type="dxa"/>
                  <w:tcBorders>
                    <w:top w:val="single" w:sz="6" w:space="0" w:color="000000"/>
                    <w:left w:val="single" w:sz="6" w:space="0" w:color="000000"/>
                    <w:bottom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Patalpa</w:t>
                  </w:r>
                </w:p>
              </w:tc>
              <w:tc>
                <w:tcPr>
                  <w:tcW w:w="2177" w:type="dxa"/>
                  <w:tcBorders>
                    <w:top w:val="single" w:sz="6" w:space="0" w:color="000000"/>
                    <w:left w:val="single" w:sz="6" w:space="0" w:color="000000"/>
                    <w:bottom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Grindys</w:t>
                  </w:r>
                </w:p>
              </w:tc>
              <w:tc>
                <w:tcPr>
                  <w:tcW w:w="2881" w:type="dxa"/>
                  <w:tcBorders>
                    <w:top w:val="single" w:sz="6" w:space="0" w:color="000000"/>
                    <w:left w:val="single" w:sz="6" w:space="0" w:color="000000"/>
                    <w:bottom w:val="single" w:sz="6" w:space="0" w:color="000000"/>
                    <w:right w:val="single" w:sz="6" w:space="0" w:color="000000"/>
                  </w:tcBorders>
                  <w:tcMar>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Lubos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Plytelės (naujos)</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Medinės lentelės (ant sienų taip pat)</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1-4</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1-7</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1-8</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1-13</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1-14</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1-15</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1-16</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1-19</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1-21</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2-1</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 (nauja)</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2-9</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medis</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2-10</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 (nauja)</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pakabinamos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31</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32</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54</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pakabinamos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55</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pakabinamos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102</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laminatas</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103</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medinės</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r>
              <w:trPr/>
              <w:tc>
                <w:tcPr>
                  <w:tcW w:w="843"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104</w:t>
                  </w:r>
                </w:p>
              </w:tc>
              <w:tc>
                <w:tcPr>
                  <w:tcW w:w="2177" w:type="dxa"/>
                  <w:tcBorders>
                    <w:left w:val="single" w:sz="6" w:space="0" w:color="000000"/>
                    <w:bottom w:val="single" w:sz="6" w:space="0" w:color="000000"/>
                  </w:tcBorders>
                  <w:tcMar>
                    <w:top w:w="0"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PVC</w:t>
                  </w:r>
                </w:p>
              </w:tc>
              <w:tc>
                <w:tcPr>
                  <w:tcW w:w="2881" w:type="dxa"/>
                  <w:tcBorders>
                    <w:left w:val="single" w:sz="6" w:space="0" w:color="000000"/>
                    <w:bottom w:val="single" w:sz="6" w:space="0" w:color="000000"/>
                    <w:right w:val="single" w:sz="6" w:space="0" w:color="000000"/>
                  </w:tcBorders>
                  <w:tcMar>
                    <w:top w:w="0" w:type="dxa"/>
                    <w:right w:w="58" w:type="dxa"/>
                  </w:tcMar>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dažytos</w:t>
                  </w:r>
                </w:p>
              </w:tc>
            </w:tr>
          </w:tbl>
          <w:p>
            <w:pPr>
              <w:pStyle w:val="Normal"/>
              <w:suppressAutoHyphens w:val="false"/>
              <w:spacing w:lineRule="auto" w:line="240" w:before="0" w:after="0"/>
              <w:ind w:hanging="360" w:left="72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r>
      <w:tr>
        <w:trPr>
          <w:trHeight w:val="915"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7.</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Duomenys apie statytojo turimus ar numatomus įsigyti įrenginius ir statybos produktus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ind w:left="50" w:right="346"/>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7.1. Numatoma įrengti 2 keltuvus, pandusą.</w:t>
            </w:r>
          </w:p>
          <w:p>
            <w:pPr>
              <w:pStyle w:val="Normal"/>
              <w:suppressAutoHyphens w:val="false"/>
              <w:spacing w:lineRule="auto" w:line="240" w:before="0" w:after="0"/>
              <w:ind w:left="50" w:right="34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7.2 Visos apdailos medžiagos turi būti pritaikytos visuomeniniams pastatams.</w:t>
            </w:r>
          </w:p>
        </w:tc>
      </w:tr>
      <w:tr>
        <w:trPr>
          <w:trHeight w:val="150"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8.</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Projekto rengimo etapas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ind w:right="115"/>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Techninio darbo projekto parengimas (toliau – projektas)</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c>
          <w:tcPr>
            <w:tcW w:w="9180" w:type="dxa"/>
            <w:gridSpan w:val="2"/>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ind w:left="360"/>
              <w:rPr>
                <w:rFonts w:ascii="Arial" w:hAnsi="Arial" w:eastAsia="Times New Roman" w:cs="Arial"/>
                <w:color w:val="000000"/>
                <w:sz w:val="22"/>
                <w:szCs w:val="22"/>
                <w:lang w:eastAsia="en-US"/>
              </w:rPr>
            </w:pPr>
            <w:r>
              <w:rPr>
                <w:rFonts w:eastAsia="Times New Roman" w:cs="Arial" w:ascii="Arial" w:hAnsi="Arial"/>
                <w:b/>
                <w:bCs/>
                <w:color w:val="000000"/>
                <w:sz w:val="22"/>
                <w:szCs w:val="22"/>
                <w:lang w:eastAsia="en-US"/>
              </w:rPr>
              <w:t>II. Perkamų paslaugų apimtis ir trukmė</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Perkamų paslaugų apimtis: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Projektavimo paslaugos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 Šiuo projektu numatoma mokslo paskirties pastatuose (1C2p, 2C2p ir 4C1p) suremontuoti specialistų kabinetus (5 vnt.), įrengti patalpas jungiančias erdves (7 vnt.), klases skirtas visos dienos mokyklai (11 vnt.), įrengti pandusą ir 2 keltuvus.</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9.1.2. Numatyti remontą patalpose:</w:t>
            </w:r>
          </w:p>
          <w:tbl>
            <w:tblPr>
              <w:tblW w:w="5901" w:type="dxa"/>
              <w:jc w:val="left"/>
              <w:tblInd w:w="0" w:type="dxa"/>
              <w:tblLayout w:type="fixed"/>
              <w:tblCellMar>
                <w:top w:w="29" w:type="dxa"/>
                <w:left w:w="29" w:type="dxa"/>
                <w:bottom w:w="29" w:type="dxa"/>
                <w:right w:w="0" w:type="dxa"/>
              </w:tblCellMar>
              <w:tblLook w:firstRow="1" w:noVBand="1" w:lastRow="0" w:firstColumn="1" w:lastColumn="0" w:noHBand="0" w:val="04a0"/>
            </w:tblPr>
            <w:tblGrid>
              <w:gridCol w:w="591"/>
              <w:gridCol w:w="1440"/>
              <w:gridCol w:w="3870"/>
            </w:tblGrid>
            <w:tr>
              <w:trPr/>
              <w:tc>
                <w:tcPr>
                  <w:tcW w:w="591" w:type="dxa"/>
                  <w:tcBorders>
                    <w:top w:val="single" w:sz="6" w:space="0" w:color="000000"/>
                    <w:left w:val="single" w:sz="6" w:space="0" w:color="000000"/>
                    <w:bottom w:val="single" w:sz="6" w:space="0" w:color="000000"/>
                  </w:tcBorders>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Patalpa</w:t>
                  </w:r>
                </w:p>
              </w:tc>
              <w:tc>
                <w:tcPr>
                  <w:tcW w:w="1440" w:type="dxa"/>
                  <w:tcBorders>
                    <w:top w:val="single" w:sz="6" w:space="0" w:color="000000"/>
                    <w:left w:val="single" w:sz="6" w:space="0" w:color="000000"/>
                    <w:bottom w:val="single" w:sz="6" w:space="0" w:color="000000"/>
                  </w:tcBorders>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Paskirtis</w:t>
                  </w:r>
                </w:p>
              </w:tc>
              <w:tc>
                <w:tcPr>
                  <w:tcW w:w="3870" w:type="dxa"/>
                  <w:tcBorders>
                    <w:top w:val="single" w:sz="6" w:space="0" w:color="000000"/>
                    <w:left w:val="single" w:sz="6" w:space="0" w:color="000000"/>
                    <w:bottom w:val="single" w:sz="6" w:space="0" w:color="000000"/>
                    <w:right w:val="single" w:sz="6" w:space="0" w:color="000000"/>
                  </w:tcBorders>
                  <w:tcMar>
                    <w:right w:w="29"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Darbai</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Jungianti erdvė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demontuoti medines lenteles nuo lubų ir sienų;</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elektros instaliaciją ir apšvietimą.</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1-4</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Jungianti erdvė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elektros instaliaciją ir apšvietimą.</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1-7</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vMerge w:val="restart"/>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internetinį ryšį ,elektros instaliaciją ir apšvietimą.</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po 1 praustuvę;</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1-8</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vMerge w:val="continue"/>
                  <w:tcBorders>
                    <w:left w:val="single" w:sz="6" w:space="0" w:color="000000"/>
                    <w:bottom w:val="single" w:sz="6" w:space="0" w:color="000000"/>
                    <w:right w:val="single" w:sz="6" w:space="0" w:color="000000"/>
                  </w:tcBorders>
                  <w:tcMar>
                    <w:top w:w="30" w:type="dxa"/>
                    <w:left w:w="30" w:type="dxa"/>
                    <w:bottom w:w="30" w:type="dxa"/>
                    <w:right w:w="30" w:type="dxa"/>
                  </w:tcMar>
                  <w:vAlign w:val="cente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1-13</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Spec. kabinetas</w:t>
                  </w:r>
                </w:p>
              </w:tc>
              <w:tc>
                <w:tcPr>
                  <w:tcW w:w="3870" w:type="dxa"/>
                  <w:vMerge w:val="continue"/>
                  <w:tcBorders>
                    <w:left w:val="single" w:sz="6" w:space="0" w:color="000000"/>
                    <w:bottom w:val="single" w:sz="6" w:space="0" w:color="000000"/>
                    <w:right w:val="single" w:sz="6" w:space="0" w:color="000000"/>
                  </w:tcBorders>
                  <w:tcMar>
                    <w:top w:w="30" w:type="dxa"/>
                    <w:left w:w="30" w:type="dxa"/>
                    <w:bottom w:w="30" w:type="dxa"/>
                    <w:right w:w="30" w:type="dxa"/>
                  </w:tcMar>
                  <w:vAlign w:val="cente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1-14</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Spec. kabinetas</w:t>
                  </w:r>
                </w:p>
              </w:tc>
              <w:tc>
                <w:tcPr>
                  <w:tcW w:w="3870" w:type="dxa"/>
                  <w:vMerge w:val="continue"/>
                  <w:tcBorders>
                    <w:left w:val="single" w:sz="6" w:space="0" w:color="000000"/>
                    <w:bottom w:val="single" w:sz="6" w:space="0" w:color="000000"/>
                    <w:right w:val="single" w:sz="6" w:space="0" w:color="000000"/>
                  </w:tcBorders>
                  <w:tcMar>
                    <w:top w:w="30" w:type="dxa"/>
                    <w:left w:w="30" w:type="dxa"/>
                    <w:bottom w:w="30" w:type="dxa"/>
                    <w:right w:w="30" w:type="dxa"/>
                  </w:tcMar>
                  <w:vAlign w:val="cente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1-15</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Jungianti erdvė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išlyginti sienas, nudažyti plaunamais dažais;</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elektros instaliaciją ir apšvietimą.</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1-16</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22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22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22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22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internetinį ryšį ,elektros instaliaciją ir apšvietimą.</w:t>
                  </w:r>
                </w:p>
                <w:p>
                  <w:pPr>
                    <w:pStyle w:val="Normal"/>
                    <w:numPr>
                      <w:ilvl w:val="3"/>
                      <w:numId w:val="19"/>
                    </w:numPr>
                    <w:tabs>
                      <w:tab w:val="clear" w:pos="1296"/>
                      <w:tab w:val="left" w:pos="22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po 1 praustuvę;</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1-19</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Jungianti erdvė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išlyginti sienas, nudažyti plaunamais dažais;</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elektros instaliaciją ir apšvietimą;</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duris (3 vnt.).</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1-21</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 atnaujinti internetinį ryšį, elektros instaliaciją ir apšvietimą.</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1 praustuvę;</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duris (1 vnt.).</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laiptinė iš 1-4 į 2-1</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Laiptinė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laiptus ir aikštelės;</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turėklus;</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elektros instaliaciją ir apšvietimą.</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2-1</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Jungianti erdvė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269"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269"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269"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elektros instaliaciją ir apšvietimą;</w:t>
                  </w:r>
                </w:p>
                <w:p>
                  <w:pPr>
                    <w:pStyle w:val="Normal"/>
                    <w:numPr>
                      <w:ilvl w:val="3"/>
                      <w:numId w:val="19"/>
                    </w:numPr>
                    <w:tabs>
                      <w:tab w:val="clear" w:pos="1296"/>
                      <w:tab w:val="left" w:pos="269"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duris (2 vnt.) į 2-3 ir 2-14 patalpas.</w:t>
                  </w:r>
                </w:p>
              </w:tc>
            </w:tr>
            <w:tr>
              <w:trPr>
                <w:trHeight w:val="1035" w:hRule="atLeast"/>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2-9</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Spec. kabinetas</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internetinį ryšį, elektros instaliaciją ir apšvietimą.</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1 praustuvę;</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duris (1 vnt.).</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2-10</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Spec. kabinetai (2 vnt.)</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pertvarą (pagal galimybes išsaugant esamą grindų dangą);</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 (pagal poreikį);</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internetinį ryšį, elektros instaliaciją ir apšvietimą.</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po 1 praustuvę;</w:t>
                  </w:r>
                </w:p>
                <w:p>
                  <w:pPr>
                    <w:pStyle w:val="Normal"/>
                    <w:numPr>
                      <w:ilvl w:val="3"/>
                      <w:numId w:val="19"/>
                    </w:numPr>
                    <w:tabs>
                      <w:tab w:val="clear" w:pos="1296"/>
                      <w:tab w:val="left" w:pos="29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naujas ir pakeisti esamas duris (2 vnt.).</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31</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vMerge w:val="restart"/>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internetinį ryšį, elektros instaliaciją ir apšvietimą.</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po 1 praustuvę;</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duris (2 vnt.)</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32</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vMerge w:val="continue"/>
                  <w:tcBorders>
                    <w:left w:val="single" w:sz="6" w:space="0" w:color="000000"/>
                    <w:bottom w:val="single" w:sz="6" w:space="0" w:color="000000"/>
                    <w:right w:val="single" w:sz="6" w:space="0" w:color="000000"/>
                  </w:tcBorders>
                  <w:tcMar>
                    <w:top w:w="30" w:type="dxa"/>
                    <w:left w:w="30" w:type="dxa"/>
                    <w:bottom w:w="30" w:type="dxa"/>
                    <w:right w:w="30" w:type="dxa"/>
                  </w:tcMar>
                  <w:vAlign w:val="cente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34</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Laiptinė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laiptus ir aikštelės;</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išlyginti sienas, nudažyti plaunamais dažais;</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turėklus;</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esamas duris (I aukšte);</w:t>
                  </w:r>
                </w:p>
                <w:p>
                  <w:pPr>
                    <w:pStyle w:val="Normal"/>
                    <w:numPr>
                      <w:ilvl w:val="3"/>
                      <w:numId w:val="19"/>
                    </w:numPr>
                    <w:tabs>
                      <w:tab w:val="clear" w:pos="1296"/>
                      <w:tab w:val="left" w:pos="280"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elektros instaliaciją ir apšvietimą.</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54</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internetinį ryšį, elektros instaliaciją;</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praustuvę;</w:t>
                  </w:r>
                </w:p>
                <w:p>
                  <w:pPr>
                    <w:pStyle w:val="Normal"/>
                    <w:numPr>
                      <w:ilvl w:val="3"/>
                      <w:numId w:val="19"/>
                    </w:numPr>
                    <w:tabs>
                      <w:tab w:val="clear" w:pos="1296"/>
                      <w:tab w:val="left" w:pos="301"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duris tarp patalpų 54 ir 55 (1 vnt.).</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55</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323"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323"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323"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internetinį ryšį, elektros instaliaciją.</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102</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vMerge w:val="restart"/>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31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31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31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31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internetinį ryšį, elektros instaliaciją ir apšvietimą;</w:t>
                  </w:r>
                </w:p>
                <w:p>
                  <w:pPr>
                    <w:pStyle w:val="Normal"/>
                    <w:numPr>
                      <w:ilvl w:val="3"/>
                      <w:numId w:val="19"/>
                    </w:numPr>
                    <w:tabs>
                      <w:tab w:val="clear" w:pos="1296"/>
                      <w:tab w:val="left" w:pos="315"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po 1 praustuvę (2 vnt.)</w:t>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103</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vMerge w:val="continue"/>
                  <w:tcBorders>
                    <w:left w:val="single" w:sz="6" w:space="0" w:color="000000"/>
                    <w:bottom w:val="single" w:sz="6" w:space="0" w:color="000000"/>
                    <w:right w:val="single" w:sz="6" w:space="0" w:color="000000"/>
                  </w:tcBorders>
                  <w:tcMar>
                    <w:top w:w="30" w:type="dxa"/>
                    <w:left w:w="30" w:type="dxa"/>
                    <w:bottom w:w="30" w:type="dxa"/>
                    <w:right w:w="30" w:type="dxa"/>
                  </w:tcMar>
                  <w:vAlign w:val="cente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r>
            <w:tr>
              <w:trPr/>
              <w:tc>
                <w:tcPr>
                  <w:tcW w:w="591"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104</w:t>
                  </w:r>
                </w:p>
              </w:tc>
              <w:tc>
                <w:tcPr>
                  <w:tcW w:w="1440" w:type="dxa"/>
                  <w:tcBorders>
                    <w:left w:val="single" w:sz="6" w:space="0" w:color="000000"/>
                    <w:bottom w:val="single" w:sz="6" w:space="0" w:color="000000"/>
                  </w:tcBorders>
                  <w:tcMar>
                    <w:top w:w="0" w:type="dxa"/>
                  </w:tcMar>
                </w:tcPr>
                <w:p>
                  <w:pPr>
                    <w:pStyle w:val="Normal"/>
                    <w:suppressAutoHyphens w:val="false"/>
                    <w:spacing w:lineRule="auto" w:line="240" w:before="0" w:after="0"/>
                    <w:ind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Klasė</w:t>
                  </w:r>
                </w:p>
              </w:tc>
              <w:tc>
                <w:tcPr>
                  <w:tcW w:w="3870" w:type="dxa"/>
                  <w:tcBorders>
                    <w:left w:val="single" w:sz="6" w:space="0" w:color="000000"/>
                    <w:bottom w:val="single" w:sz="6" w:space="0" w:color="000000"/>
                    <w:right w:val="single" w:sz="6" w:space="0" w:color="000000"/>
                  </w:tcBorders>
                  <w:tcMar>
                    <w:top w:w="0" w:type="dxa"/>
                    <w:right w:w="29" w:type="dxa"/>
                  </w:tcMar>
                </w:tcPr>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pakeisti grindų dangą;</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sienas išlyginti ir nudažyti;</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įrengti pakabinamas lubas;</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atnaujinti internetinį ryšį, elektros instaliaciją ir apšvietimą;</w:t>
                  </w:r>
                </w:p>
                <w:p>
                  <w:pPr>
                    <w:pStyle w:val="Normal"/>
                    <w:numPr>
                      <w:ilvl w:val="3"/>
                      <w:numId w:val="19"/>
                    </w:numPr>
                    <w:tabs>
                      <w:tab w:val="clear" w:pos="1296"/>
                      <w:tab w:val="left" w:pos="312" w:leader="none"/>
                    </w:tabs>
                    <w:suppressAutoHyphens w:val="false"/>
                    <w:spacing w:lineRule="auto" w:line="240" w:before="0" w:after="0"/>
                    <w:ind w:hanging="0" w:left="6"/>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praustuvę atnaujinti arba perkelti į kitą vietą.</w:t>
                  </w:r>
                </w:p>
              </w:tc>
            </w:tr>
          </w:tbl>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9.1.3. Numatyti keltuvus:</w:t>
            </w:r>
          </w:p>
          <w:p>
            <w:pPr>
              <w:pStyle w:val="Normal"/>
              <w:numPr>
                <w:ilvl w:val="0"/>
                <w:numId w:val="20"/>
              </w:numPr>
              <w:suppressAutoHyphens w:val="false"/>
              <w:spacing w:lineRule="auto" w:line="240" w:before="0" w:after="0"/>
              <w:ind w:hanging="360" w:left="32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1C2p pastate – iš 1-4 į 2-1 prie sienos su 1-3 ir 2-2 patalpomis;</w:t>
            </w:r>
          </w:p>
          <w:p>
            <w:pPr>
              <w:pStyle w:val="Normal"/>
              <w:numPr>
                <w:ilvl w:val="0"/>
                <w:numId w:val="20"/>
              </w:numPr>
              <w:suppressAutoHyphens w:val="false"/>
              <w:spacing w:lineRule="auto" w:line="240" w:before="0" w:after="0"/>
              <w:ind w:hanging="360" w:left="32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2C2p pastate – iš 32 į 103 su išėjimu į patalpą 24 arba patalpą 33 arba iš 33 į 104.</w:t>
            </w:r>
          </w:p>
          <w:p>
            <w:pPr>
              <w:pStyle w:val="Normal"/>
              <w:suppressAutoHyphens w:val="false"/>
              <w:spacing w:lineRule="auto" w:line="240" w:before="0" w:after="0"/>
              <w:ind w:hanging="72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9.1.4. Suprojektuoti pandusą prie įėjimo priestate 1c1p;</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9.1.5. Numatyti sklandų patekimą į remontuojamas patalpas, tarpai turi būti pakankami, kad galėtų judėti specialiosiomis judėjimo priemonėmis besinaudojantys asmenys.</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9.1.6. Visose remontuojamose patalpose numatyti ryšių (interneto) ir elektros instaliacijos (įskaitant apšvietimą) atnaujinimą. Sienose elektros kabeliai turi būti klojami po tinku, lubose – virš pakabinamų lubų.</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9.1.7. Remontuojamose patalpose turi būti sudaryta galimybė reguliuoti / kontroliuoti patalpos apšvietimo lygį (t. y. įrengiami būvio, šviesos davikliai, jungikliai atskiroms šviestuvų grupėms ar pan.);</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9.1.8. Specialistų kabinetuose ir klasėse numatyti po 1 praustuvą su plytelių danga drėgnoje zonoje. Numatyti maišytuvai turi būti taupantys vandenį.</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9.1.9. Kartu su praustuvų įrengimu numatyti naujų vamzdynų įrengimą ir esamų vamzdynų atnaujinimą.</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9.1.10. Remontuojamų patalpų vidaus apdaila:</w:t>
            </w:r>
          </w:p>
          <w:p>
            <w:pPr>
              <w:pStyle w:val="Normal"/>
              <w:suppressAutoHyphens w:val="false"/>
              <w:spacing w:lineRule="auto" w:line="240" w:before="0" w:after="0"/>
              <w:ind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 grindys – heterogeninė danga (atsparumo klasė neprastesnė nei 43 min. storis 2 mm, dėvimasis sluoksnis ne mažiau 0,7 mm, atsparumas slydimui – R9, antistatinė);</w:t>
            </w:r>
          </w:p>
          <w:p>
            <w:pPr>
              <w:pStyle w:val="Normal"/>
              <w:suppressAutoHyphens w:val="false"/>
              <w:spacing w:lineRule="auto" w:line="240" w:before="0" w:after="0"/>
              <w:ind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 sienos – dažytos plaunamais dažais, dažnai 15-20 metų neturi keisti savo savybių, dažų atsparumo klasė – 5;</w:t>
            </w:r>
          </w:p>
          <w:p>
            <w:pPr>
              <w:pStyle w:val="Normal"/>
              <w:suppressAutoHyphens w:val="false"/>
              <w:spacing w:lineRule="auto" w:line="240" w:before="0" w:after="0"/>
              <w:ind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 lubos – HN reikalavimus atitinkančios pakabinamos lubos.</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9.1.11. Laiptinėse numatyti pakopų, sienų, turėklų remontą ar keitimą, numatyti pakabinamas lubas.</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9.1.12. Numatyti išėjimus žyminčius ženklus.</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9.1.13. Suprojektuoti kitus elementus būtinus statybą leidžiančio dokumento gauti ir teigiamam ekspertizės aktui.</w:t>
            </w:r>
          </w:p>
          <w:p>
            <w:pPr>
              <w:pStyle w:val="Normal"/>
              <w:suppressAutoHyphens w:val="false"/>
              <w:spacing w:lineRule="auto" w:line="240" w:before="0" w:after="0"/>
              <w:ind w:hanging="630" w:left="59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9.1.14. Numatyti, kad atliekant statybos darbus, statybvietėje būtų taikomos priemonės, užtikrinančios racionalų vandens naudojimą, vandens apsaugą nuo teršimo, laikomasi žiedinės ekonomikos nuostatų, keliami reikalavimai atliekų prevencijai ir perdirbimui.</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i/>
                <w:iCs/>
                <w:color w:val="000000"/>
                <w:sz w:val="22"/>
                <w:szCs w:val="22"/>
                <w:lang w:eastAsia="en-US"/>
              </w:rPr>
              <w:t>Visi būtini atlikti darbai ir jų kiekiai tikslinami projektavimo metu.</w:t>
            </w:r>
          </w:p>
          <w:p>
            <w:pPr>
              <w:pStyle w:val="Normal"/>
              <w:suppressAutoHyphens w:val="false"/>
              <w:spacing w:lineRule="auto" w:line="240" w:before="0" w:after="0"/>
              <w:ind w:hanging="72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9.1.15. Projekto apimtis ir detalumas turi būti pakankamas statytojo sumanymui suprasti, statybą leidžiančiam dokumentui gauti, projekto bendrajai ekspertizei atlikti, rangos darbams pirkti. Bendruoju atveju projekto sudedamosios dalys išdėstytos STR 1.04.04:2017 „Statinio projektavimas, projekto ekspertizė“, tačiau kiekvienu atveju projekto sudedamosios dalys nustatomos atsižvelgus į projektuojamo statinio specifiką, tačiau Projektuotojas turi parengti ne mažiau kaip šias projekto dalis:</w:t>
            </w:r>
          </w:p>
          <w:p>
            <w:pPr>
              <w:pStyle w:val="Normal"/>
              <w:numPr>
                <w:ilvl w:val="0"/>
                <w:numId w:val="21"/>
              </w:numPr>
              <w:tabs>
                <w:tab w:val="clear" w:pos="1296"/>
                <w:tab w:val="left" w:pos="950" w:leader="none"/>
              </w:tabs>
              <w:suppressAutoHyphens w:val="false"/>
              <w:spacing w:lineRule="auto" w:line="240" w:before="0" w:after="0"/>
              <w:ind w:hanging="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Bendroji;</w:t>
            </w:r>
          </w:p>
          <w:p>
            <w:pPr>
              <w:pStyle w:val="Normal"/>
              <w:numPr>
                <w:ilvl w:val="0"/>
                <w:numId w:val="21"/>
              </w:numPr>
              <w:tabs>
                <w:tab w:val="clear" w:pos="1296"/>
                <w:tab w:val="left" w:pos="950" w:leader="none"/>
              </w:tabs>
              <w:suppressAutoHyphens w:val="false"/>
              <w:spacing w:lineRule="auto" w:line="240" w:before="0" w:after="0"/>
              <w:ind w:hanging="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Sklypo sutvarkymo;</w:t>
            </w:r>
          </w:p>
          <w:p>
            <w:pPr>
              <w:pStyle w:val="Normal"/>
              <w:numPr>
                <w:ilvl w:val="0"/>
                <w:numId w:val="21"/>
              </w:numPr>
              <w:tabs>
                <w:tab w:val="clear" w:pos="1296"/>
                <w:tab w:val="left" w:pos="950" w:leader="none"/>
              </w:tabs>
              <w:suppressAutoHyphens w:val="false"/>
              <w:spacing w:lineRule="auto" w:line="240" w:before="0" w:after="0"/>
              <w:ind w:hanging="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Architektūros;</w:t>
            </w:r>
          </w:p>
          <w:p>
            <w:pPr>
              <w:pStyle w:val="Normal"/>
              <w:numPr>
                <w:ilvl w:val="0"/>
                <w:numId w:val="21"/>
              </w:numPr>
              <w:tabs>
                <w:tab w:val="clear" w:pos="1296"/>
                <w:tab w:val="left" w:pos="950" w:leader="none"/>
              </w:tabs>
              <w:suppressAutoHyphens w:val="false"/>
              <w:spacing w:lineRule="auto" w:line="240" w:before="0" w:after="0"/>
              <w:ind w:hanging="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Konstrukcijų;</w:t>
            </w:r>
          </w:p>
          <w:p>
            <w:pPr>
              <w:pStyle w:val="Normal"/>
              <w:numPr>
                <w:ilvl w:val="0"/>
                <w:numId w:val="21"/>
              </w:numPr>
              <w:tabs>
                <w:tab w:val="clear" w:pos="1296"/>
                <w:tab w:val="left" w:pos="950" w:leader="none"/>
              </w:tabs>
              <w:suppressAutoHyphens w:val="false"/>
              <w:spacing w:lineRule="auto" w:line="240" w:before="0" w:after="0"/>
              <w:ind w:hanging="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Vandentiekio ir nuotekų šalinimo;</w:t>
            </w:r>
          </w:p>
          <w:p>
            <w:pPr>
              <w:pStyle w:val="Normal"/>
              <w:numPr>
                <w:ilvl w:val="0"/>
                <w:numId w:val="21"/>
              </w:numPr>
              <w:tabs>
                <w:tab w:val="clear" w:pos="1296"/>
                <w:tab w:val="left" w:pos="950" w:leader="none"/>
              </w:tabs>
              <w:suppressAutoHyphens w:val="false"/>
              <w:spacing w:lineRule="auto" w:line="240" w:before="0" w:after="0"/>
              <w:ind w:hanging="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Elektrotechnikos;</w:t>
            </w:r>
          </w:p>
          <w:p>
            <w:pPr>
              <w:pStyle w:val="Normal"/>
              <w:numPr>
                <w:ilvl w:val="0"/>
                <w:numId w:val="21"/>
              </w:numPr>
              <w:tabs>
                <w:tab w:val="clear" w:pos="1296"/>
                <w:tab w:val="left" w:pos="950" w:leader="none"/>
              </w:tabs>
              <w:suppressAutoHyphens w:val="false"/>
              <w:spacing w:lineRule="auto" w:line="240" w:before="0" w:after="0"/>
              <w:ind w:hanging="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Elektroninių ryšių;</w:t>
            </w:r>
          </w:p>
          <w:p>
            <w:pPr>
              <w:pStyle w:val="Normal"/>
              <w:numPr>
                <w:ilvl w:val="0"/>
                <w:numId w:val="21"/>
              </w:numPr>
              <w:tabs>
                <w:tab w:val="clear" w:pos="1296"/>
                <w:tab w:val="left" w:pos="950" w:leader="none"/>
              </w:tabs>
              <w:suppressAutoHyphens w:val="false"/>
              <w:spacing w:lineRule="auto" w:line="240" w:before="0" w:after="0"/>
              <w:ind w:hanging="0" w:left="68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Pasirengimo statybai ir statybos darbų organizavimo;</w:t>
            </w:r>
          </w:p>
          <w:p>
            <w:pPr>
              <w:pStyle w:val="Normal"/>
              <w:numPr>
                <w:ilvl w:val="0"/>
                <w:numId w:val="21"/>
              </w:numPr>
              <w:tabs>
                <w:tab w:val="clear" w:pos="1296"/>
                <w:tab w:val="left" w:pos="950" w:leader="none"/>
              </w:tabs>
              <w:suppressAutoHyphens w:val="false"/>
              <w:spacing w:lineRule="auto" w:line="240" w:before="0" w:after="0"/>
              <w:ind w:hanging="0" w:left="680"/>
              <w:jc w:val="both"/>
              <w:rPr>
                <w:rFonts w:ascii="Arial" w:hAnsi="Arial" w:eastAsia="Times New Roman" w:cs="Arial"/>
                <w:color w:val="000000"/>
                <w:sz w:val="22"/>
                <w:szCs w:val="22"/>
                <w:lang w:eastAsia="en-US"/>
              </w:rPr>
            </w:pPr>
            <w:bookmarkStart w:id="50" w:name="part_98d2302c859e4af199fa91a5e6109b53"/>
            <w:bookmarkEnd w:id="50"/>
            <w:r>
              <w:rPr>
                <w:rFonts w:eastAsia="Times New Roman" w:cs="Arial" w:ascii="Arial" w:hAnsi="Arial"/>
                <w:color w:val="000000"/>
                <w:sz w:val="22"/>
                <w:szCs w:val="22"/>
                <w:lang w:eastAsia="en-US"/>
              </w:rPr>
              <w:t>Statybos skaičiuojamosios kainos nustatymo.</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i/>
                <w:iCs/>
                <w:color w:val="000000"/>
                <w:sz w:val="22"/>
                <w:szCs w:val="22"/>
                <w:lang w:eastAsia="en-US"/>
              </w:rPr>
              <w:t>* esant poreikiui parengti kitas projekto dalis.</w:t>
            </w:r>
          </w:p>
          <w:p>
            <w:pPr>
              <w:pStyle w:val="Normal"/>
              <w:suppressAutoHyphens w:val="false"/>
              <w:spacing w:lineRule="auto" w:line="240" w:before="0" w:after="0"/>
              <w:ind w:hanging="770" w:left="77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9.1.16. Į projektavimo paslaugų apimtį įeina projekto pataisymai pagal Užsakovo pastabas, pagal projekto ekspertizės akto privalomas pastabas, pagal šį projektą tikrinusių institucijų, subjektų (jų padalinių) pastabas, taip pat projekto klaidų, pastebėtų statybos metu, taisymai. Taip pat projektinės dokumentacijos klaidų, neatitikimų normatyviniams dokumentams taisymas, jei dėl projekte netinkamai parinktų sprendinių ar neesminių sprendinių pasikeitimo kyla poreikis projekto pakeitimams, naujos projekto laidos išleidimas;</w:t>
            </w:r>
          </w:p>
          <w:p>
            <w:pPr>
              <w:pStyle w:val="Normal"/>
              <w:suppressAutoHyphens w:val="false"/>
              <w:spacing w:lineRule="auto" w:line="240" w:before="0" w:after="0"/>
              <w:ind w:hanging="770" w:left="77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9.1.17. Projekto sprendiniai turi būti ekonomiškai pagrįsti ir racionalūs.</w:t>
            </w:r>
          </w:p>
          <w:p>
            <w:pPr>
              <w:pStyle w:val="Normal"/>
              <w:suppressAutoHyphens w:val="false"/>
              <w:spacing w:lineRule="auto" w:line="240" w:before="0" w:after="0"/>
              <w:ind w:hanging="770" w:left="77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9.1.18. Paslaugos teikėjas, prieš teikdamas pasiūlymą, privalo vietoje susipažinti su esama statinio būkle;</w:t>
            </w:r>
          </w:p>
          <w:p>
            <w:pPr>
              <w:pStyle w:val="Normal"/>
              <w:suppressAutoHyphens w:val="false"/>
              <w:spacing w:lineRule="auto" w:line="240" w:before="0" w:after="0"/>
              <w:ind w:hanging="770" w:left="77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9.1.19. Projektuotojas visus iškilusius klausimus ir problemas, susijusias su šioje techninėje užduotyje nustatytų tikslų ir užduočių vykdymu, turi spręsti savarankiškai (savo pastangomis), tačiau galutinius sprendimus priimti tik suderinus su Užsakovu.</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9.2.</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Kitos paslaugos susijusios su projektavimo paslaugomis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9.2.1. Atlikti visus reikiamus tyrimus (topografijos planą, geologiją ir kt. teisės aktų nustatyta tvarka);</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9.2.2. Parengti projektinius pasiūlymus teisės aktų nustatyta tvarka (prieš tai suderinus sprendinius su Savivaldybe);</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9.2.3. Informuoti visuomenę apie parengtus projektinius pasiūlymus teisės aktų nustatyta tvarka;</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9.2.4. Gauti specialiuosius reikalavimus, specialiuosius architektūros reikalavimus, specialiuosius saugomos teritorijos reikalavimus teisės aktų nustatyta tvarka;</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9.2.5. Gauti prisijungimo sąlygas;</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9.2.6. Gauti statybą leidžiantį dokumentą;</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9.2.7. Gauti teigiamą bendrosios projekto ekspertizės išvadą.</w:t>
            </w:r>
          </w:p>
        </w:tc>
      </w:tr>
      <w:tr>
        <w:trPr>
          <w:trHeight w:val="1425"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Paslaugų teikimo pradžia ir trukmė</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ind w:left="14"/>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10.1. Projekto rengimas, skaičiuojant nuo sutarties pasirašymo pradžios, nustatytos sutarties sąlygose, trukmė – 8 mėnesiai, iš jų;</w:t>
            </w:r>
          </w:p>
          <w:p>
            <w:pPr>
              <w:pStyle w:val="Normal"/>
              <w:numPr>
                <w:ilvl w:val="0"/>
                <w:numId w:val="22"/>
              </w:numPr>
              <w:suppressAutoHyphens w:val="false"/>
              <w:spacing w:lineRule="auto" w:line="240" w:before="0" w:after="0"/>
              <w:ind w:hanging="360" w:left="720" w:right="115"/>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 mėn. – visų būtinųjų tyrimų atlikimas;</w:t>
            </w:r>
          </w:p>
          <w:p>
            <w:pPr>
              <w:pStyle w:val="Normal"/>
              <w:numPr>
                <w:ilvl w:val="0"/>
                <w:numId w:val="22"/>
              </w:numPr>
              <w:suppressAutoHyphens w:val="false"/>
              <w:spacing w:lineRule="auto" w:line="240" w:before="0" w:after="0"/>
              <w:ind w:hanging="360" w:left="720" w:right="115"/>
              <w:jc w:val="both"/>
              <w:rPr>
                <w:rFonts w:ascii="Arial" w:hAnsi="Arial" w:eastAsia="Times New Roman" w:cs="Arial"/>
                <w:color w:val="000000"/>
                <w:sz w:val="22"/>
                <w:szCs w:val="22"/>
                <w:lang w:eastAsia="en-US"/>
              </w:rPr>
            </w:pPr>
            <w:r>
              <w:rPr>
                <w:rFonts w:eastAsia="Times New Roman" w:cs="Arial" w:ascii="Arial" w:hAnsi="Arial"/>
                <w:b/>
                <w:i/>
                <w:color w:val="000000"/>
                <w:sz w:val="22"/>
                <w:szCs w:val="22"/>
                <w:highlight w:val="lightGray"/>
                <w:lang w:eastAsia="en-US"/>
              </w:rPr>
              <w:t>4 mėn.</w:t>
            </w:r>
            <w:r>
              <w:rPr>
                <w:rFonts w:eastAsia="Times New Roman" w:cs="Arial" w:ascii="Arial" w:hAnsi="Arial"/>
                <w:color w:val="000000"/>
                <w:sz w:val="22"/>
                <w:szCs w:val="22"/>
                <w:highlight w:val="lightGray"/>
                <w:lang w:eastAsia="en-US"/>
              </w:rPr>
              <w:t xml:space="preserve"> </w:t>
            </w:r>
            <w:r>
              <w:rPr>
                <w:rFonts w:eastAsia="Times New Roman" w:cs="Arial" w:ascii="Arial" w:hAnsi="Arial"/>
                <w:color w:val="000000"/>
                <w:sz w:val="22"/>
                <w:szCs w:val="22"/>
                <w:lang w:eastAsia="en-US"/>
              </w:rPr>
              <w:t>– projektinių pasiūlymų parengimas su visuomenės informavimo procedūromis;</w:t>
            </w:r>
          </w:p>
          <w:p>
            <w:pPr>
              <w:pStyle w:val="Normal"/>
              <w:numPr>
                <w:ilvl w:val="0"/>
                <w:numId w:val="22"/>
              </w:numPr>
              <w:suppressAutoHyphens w:val="false"/>
              <w:spacing w:lineRule="auto" w:line="240" w:before="0" w:after="0"/>
              <w:ind w:hanging="360" w:left="720" w:right="115"/>
              <w:jc w:val="both"/>
              <w:rPr>
                <w:rFonts w:ascii="Arial" w:hAnsi="Arial" w:eastAsia="Times New Roman" w:cs="Arial"/>
                <w:color w:val="000000"/>
                <w:sz w:val="22"/>
                <w:szCs w:val="22"/>
                <w:lang w:eastAsia="en-US"/>
              </w:rPr>
            </w:pPr>
            <w:r>
              <w:rPr>
                <w:rFonts w:eastAsia="Times New Roman" w:cs="Arial" w:ascii="Arial" w:hAnsi="Arial"/>
                <w:b/>
                <w:i/>
                <w:color w:val="000000"/>
                <w:sz w:val="22"/>
                <w:szCs w:val="22"/>
                <w:highlight w:val="lightGray"/>
                <w:lang w:eastAsia="en-US"/>
              </w:rPr>
              <w:t>2 mėn.</w:t>
            </w:r>
            <w:r>
              <w:rPr>
                <w:rFonts w:eastAsia="Times New Roman" w:cs="Arial" w:ascii="Arial" w:hAnsi="Arial"/>
                <w:color w:val="000000"/>
                <w:sz w:val="22"/>
                <w:szCs w:val="22"/>
                <w:highlight w:val="lightGray"/>
                <w:lang w:eastAsia="en-US"/>
              </w:rPr>
              <w:t xml:space="preserve"> </w:t>
            </w:r>
            <w:r>
              <w:rPr>
                <w:rFonts w:eastAsia="Times New Roman" w:cs="Arial" w:ascii="Arial" w:hAnsi="Arial"/>
                <w:color w:val="000000"/>
                <w:sz w:val="22"/>
                <w:szCs w:val="22"/>
                <w:lang w:eastAsia="en-US"/>
              </w:rPr>
              <w:t>– techninio darbo projekto parengimas.</w:t>
            </w:r>
          </w:p>
          <w:p>
            <w:pPr>
              <w:pStyle w:val="Normal"/>
              <w:suppressAutoHyphens w:val="false"/>
              <w:spacing w:lineRule="auto" w:line="240" w:before="0" w:after="0"/>
              <w:ind w:left="14"/>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10.2. Projekto ekspertizės ir statybą leidžiančio dokumento gavimas į sutarties trukmę neįskaičiuojamas, tačiau:</w:t>
            </w:r>
          </w:p>
          <w:p>
            <w:pPr>
              <w:pStyle w:val="Normal"/>
              <w:numPr>
                <w:ilvl w:val="0"/>
                <w:numId w:val="23"/>
              </w:numPr>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Projekto pataisymai pagal bendrosios projektų ekspertizės pastabas turi būti atlikti ir teigiamas ekspertizės aktas turi būti gautas ne per ilgesnį nei 20 k. d. laikotarpį. Šis laikotarpis skaičiuojamas nuo pirmųjų pastabų gavimo iki vėliausiai pataisytos projekto dalies pateikimo ekspertams dienos, po kurios gautas teigiamas bendrosios projektų ekspertizės aktas.</w:t>
            </w:r>
          </w:p>
          <w:p>
            <w:pPr>
              <w:pStyle w:val="Normal"/>
              <w:numPr>
                <w:ilvl w:val="0"/>
                <w:numId w:val="23"/>
              </w:numPr>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Statybą leidžiantis dokumentas turi būti gautas ne per ilgesnį nei 30 k. d. Laikotarpis gali būti pratęstas derinančioms institucijoms atmetimus projektą. Per 3 k.d. projektas turi būti pataisytas ir pateiktas į „Infostatybą“ pakartotinai.</w:t>
            </w:r>
          </w:p>
          <w:p>
            <w:pPr>
              <w:pStyle w:val="Normal"/>
              <w:suppressAutoHyphens w:val="false"/>
              <w:spacing w:lineRule="auto" w:line="240" w:before="0" w:after="0"/>
              <w:ind w:left="14"/>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10.3. Projekto klaidų, pastebėtų statybos metu, taisymai, projektinės dokumentacijos klaidų, neatitikimų normatyviniams dokumentams taisymas, neesminių projekto pakeitimų atlikimas – ne ilgiau nei 2 savaitės;</w:t>
            </w:r>
          </w:p>
          <w:p>
            <w:pPr>
              <w:pStyle w:val="Normal"/>
              <w:suppressAutoHyphens w:val="false"/>
              <w:spacing w:lineRule="auto" w:line="240" w:before="0" w:after="0"/>
              <w:ind w:left="14"/>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10.4. Naujos laidos (jei būtina) išleidimas dėl 10.3 išvardintų priežasčių – ne ilgiau nei 4 savaitės;</w:t>
            </w:r>
          </w:p>
          <w:p>
            <w:pPr>
              <w:pStyle w:val="Normal"/>
              <w:suppressAutoHyphens w:val="false"/>
              <w:spacing w:lineRule="auto" w:line="240" w:before="0" w:after="0"/>
              <w:ind w:left="14"/>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10.5. Naujos laidos pataisymas pagal projektų ekspertizės pastabas – ne ilgiau nei 1 savaitė po paskutinių projekto ekspertizės pastabų pateikimo.</w:t>
            </w:r>
          </w:p>
        </w:tc>
      </w:tr>
      <w:tr>
        <w:trPr>
          <w:trHeight w:val="1125"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Paslaugų teikėjui pateikiamos dokumentų, reikalingų statinio projekto dokumentams parengti, kopijos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ind w:hanging="547" w:left="562"/>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11.1. Perkančioji organizacija pateikia šiuos dokumentus:</w:t>
            </w:r>
          </w:p>
          <w:p>
            <w:pPr>
              <w:pStyle w:val="Normal"/>
              <w:numPr>
                <w:ilvl w:val="0"/>
                <w:numId w:val="24"/>
              </w:numPr>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Žemės ir pastatų nuosavybės teisę patvirtinančius dokumentus: registro pažymos, Pastato kadastrinė byla su aukštų planais;</w:t>
            </w:r>
          </w:p>
          <w:p>
            <w:pPr>
              <w:pStyle w:val="Normal"/>
              <w:numPr>
                <w:ilvl w:val="0"/>
                <w:numId w:val="24"/>
              </w:numPr>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Projektavimo techninė užduotis;</w:t>
            </w:r>
          </w:p>
          <w:p>
            <w:pPr>
              <w:pStyle w:val="Normal"/>
              <w:numPr>
                <w:ilvl w:val="0"/>
                <w:numId w:val="24"/>
              </w:numPr>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Esant poreikiui kitų dokumentų (prisijungimo sąlygų ir pan.), juos išsiima projektuotojas.</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c>
          <w:tcPr>
            <w:tcW w:w="9180" w:type="dxa"/>
            <w:gridSpan w:val="2"/>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ind w:left="360"/>
              <w:jc w:val="center"/>
              <w:rPr>
                <w:rFonts w:ascii="Arial" w:hAnsi="Arial" w:eastAsia="Times New Roman" w:cs="Arial"/>
                <w:color w:val="000000"/>
                <w:sz w:val="22"/>
                <w:szCs w:val="22"/>
                <w:lang w:eastAsia="en-US"/>
              </w:rPr>
            </w:pPr>
            <w:r>
              <w:rPr>
                <w:rFonts w:eastAsia="Times New Roman" w:cs="Arial" w:ascii="Arial" w:hAnsi="Arial"/>
                <w:b/>
                <w:bCs/>
                <w:color w:val="000000"/>
                <w:sz w:val="22"/>
                <w:szCs w:val="22"/>
                <w:lang w:eastAsia="en-US"/>
              </w:rPr>
              <w:t>III. Reikalavimai projektavimo paslaugoms</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12.</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Projekto rengimo dokumentams taikomi</w:t>
            </w:r>
            <w:r>
              <w:rPr>
                <w:rFonts w:eastAsia="Times New Roman" w:cs="Arial" w:ascii="Arial" w:hAnsi="Arial"/>
                <w:b/>
                <w:bCs/>
                <w:color w:val="000000"/>
                <w:sz w:val="22"/>
                <w:szCs w:val="22"/>
                <w:lang w:eastAsia="en-US"/>
              </w:rPr>
              <w:t xml:space="preserve"> </w:t>
            </w:r>
            <w:r>
              <w:rPr>
                <w:rFonts w:eastAsia="Times New Roman" w:cs="Arial" w:ascii="Arial" w:hAnsi="Arial"/>
                <w:color w:val="000000"/>
                <w:sz w:val="22"/>
                <w:szCs w:val="22"/>
                <w:lang w:eastAsia="en-US"/>
              </w:rPr>
              <w:t>teisės aktai, normatyviniai statybos techniniai dokumentai bei normatyviniai statinio saugos ir paskirties dokumentai, teritorijų planavimo dokumentai.</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12.1. Projektas rengiamas Lietuvos Respublikos statybos įstatymu ir kitais įstatymai, reglamentuojančiais statinio saugos ir paskirties reikalavimus, teisės aktais, reglamentuojančiais esminius statinių reikalavimus (viena, kelis ar visus) ir statinio techninius parametrus pagal statinių ir statybos produktų charakteristikų lygius ir klases, kitais teisės aktais, normatyviniais statybos techniniais dokumentais, normatyviniais statinio saugos ir paskirties dokumentais. Pasikeitus įstatymų ir kitų teisės aktų, reglamentuojančių perkamas paslaugas nuostatoms ir reikalavimams. Tiekėjas turi vykdyti sutartį pagal galiojančius teisės aktus, tačiau apie tai turi informuoti Statytoją.</w:t>
            </w:r>
          </w:p>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12.2. Normatyviniai statybos techniniai dokumentai, privalomi visiems statybos dalyviams:</w:t>
            </w:r>
          </w:p>
          <w:p>
            <w:pPr>
              <w:pStyle w:val="Normal"/>
              <w:numPr>
                <w:ilvl w:val="0"/>
                <w:numId w:val="25"/>
              </w:numPr>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Lietuvos Respublikos įstatymais;</w:t>
            </w:r>
          </w:p>
          <w:p>
            <w:pPr>
              <w:pStyle w:val="Normal"/>
              <w:numPr>
                <w:ilvl w:val="0"/>
                <w:numId w:val="25"/>
              </w:numPr>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Statybos techniniais reglamentais;</w:t>
            </w:r>
          </w:p>
          <w:p>
            <w:pPr>
              <w:pStyle w:val="Normal"/>
              <w:numPr>
                <w:ilvl w:val="0"/>
                <w:numId w:val="25"/>
              </w:numPr>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Vyriausybės įgaliotų institucijų teisės aktais – KTR, HN, elektros įrenginių įrengimo taisyklėmis, priešgaisriniais reikalavimais, saugos ir sveikatos reikalavimais ir kt.</w:t>
            </w:r>
          </w:p>
        </w:tc>
      </w:tr>
      <w:tr>
        <w:trPr>
          <w:trHeight w:val="840"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13.</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Aplinkos, visuomenės, sveikatos saugos, kraštovaizdžio nekilnojamųjų kultūros paveldo vertybių, trečiųjų asmenų interesų apsaugos, saugomos teritorijos apsaugos ir kitos apsaugos (saugos)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13.1. Projektas turi būti parengtas atsižvelgiant į priešmokyklinio ir mokyklinio amžiaus vaikų ir asmenų su negalia poreikius;</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13.2. Projekto sprendiniai turi atitikti universalaus dizaino principus.</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13.3. Projekto sprendinius turi atitikti horizontaliuosius principus: vandens tausojimo, atliekų tvarkymo, oro, vandens ir žemės taršos prevencijos ir kontrolės.</w:t>
            </w:r>
          </w:p>
        </w:tc>
      </w:tr>
      <w:tr>
        <w:trPr>
          <w:trHeight w:val="840" w:hRule="atLeast"/>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14.</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Esminiai funkciniai (paskirties), architektūros (estetinius), technologijos, techniniai, ekonominiai, kokybės reikalavimai bei kiti rodikliai ir charakteristikos statiniui pagal sprendinių dalis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14.1. Projekte negali būti numatyta apribojimų, kurie turėtų neigiamą poveikį įgyvendinant moterų ir vyrų lygybės ir nediskriminavimo dėl lyties rasės tautybės, kalbos, kilmės, socialinės padėties, tikėjimo, įsitikinimų ar pažiūrų, amžiaus, negalios, lytinės orientacijos, etninės priklausomybės, religijos principus.</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14.2. Projekto sprendiniai atskiruose projekto dokumentuose (techninėse specifikacijose, aiškinamuosiuose raštuose, brėžiniuose, sąnaudų kiekių žiniaraščiuose) neturi prieštarauti vieni kitiems;</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14.3. Parengtas projektas turi užtikrinti konkurenciją ir nediskriminuoti tiekėjų (prekių, paslaugų tiekėjų, rangovų).</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14.4. Parengtame projekte negali būti nurodytas konkretus modelis ar šaltinis, konkretus procesas ar prekės ženklas, patentas, tipai, konkreti kilmė ar gamyba, sertifikatai, standartai, protokolai, dėl kurių tam tikroms įmonėms ar tam tikriems produktams būtų sudarytos palankesnės sąlygos arba jie būtų atmesti statybos darbų pirkimo metu arba turi būti pridėta „arba lygiavertis“.</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15.</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Nurodymai sprendinių derinimui, jų pritarimui ir pan.</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15.1. Projektuotojas prieš teikdamas Užsakovui tvirtinti projektą, pristato parengtą projektą Užsakovui, pakomentuoja pagrindinius projektinius sprendinius bei nurodo projekto sprendinių atitiktį projektavimo užduočiai.</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15.2. Tarpiniai projekto sprendiniai pateikiami ne mažiau nei 2 kartus per visą projektavimo laikotarpį. Pirmas projektinių sprendinių pateikimas ne vėliau nei 20 k. d. nuo pritarimo projektiniams sprendiniams.</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15.3. Galutinis projekto variantas derinimui užsakovui pateikiamas likus ne mažiau nei 4 d. d. iki techninio darbo projekto parengimo termino pabaigos.</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16.</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Reikalavimai projekto rengimo dokumentų kalbai</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Projektas rengiamas valstybine kalba</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17.</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Nurodymai statinio projekto dokumentų komplektavimui, įforminimui ir pateikimui</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Užsakovui pateikiamas 2 suderinto ir patvirtinto techninio darbo projekto egzemplioriai ir jo skaitmeninė forma su *.dwg formatu.</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18.</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Ekspertizės atlikimas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Projekto ekspertizę organizuoja Užsakovas, o Projektuotojas privalo laiku ištaisyti netikslumus ir pašalinti pagrįstus techninio darbo projekto trūkumus pateiktus ekspertizės išvadose.</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19.</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Statybos leidimo gavimas</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19.1. Pagal Statybos techninį reglamentą STR 1.05.01:2017 „Statybą leidžiantys dokumentai. Statybos užbaigimas. Statybos sustabdymas. Savavališkos statybos padarinių šalinimas. Statybos pagal neteisėtai išduotą statybą leidžiantį dokumentą padarinių šalinimas“ Projektuotojas turi suderinti techninį projektą su subjektais, įgaliotais tikrinti statinio projektus ir gauti privalomus rašytinius pritarimus projektui iki prašymo išduoti statybą leidžiantį dokumentą.</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19.2. Vadovaujantis STR 1.05.01:2017 „Statybą leidžiantys dokumentai. Statybos užbaigimas. Statybos sustabdymas. Savavališkos statybos padarinių šalinimas. Statybos pagal neteisėtai išduotą statybą leidžiantį dokumentą padarinių šalinimas“ Projektuotojas pateikia prašymą dėl statybą leidžiančio dokumento gavimo per Lietuvos Respublikos statybos leidimų ir statybos valstybinės priežiūros informacinę sistemą „Infostatyba“ Statytojo vardu.</w:t>
            </w:r>
          </w:p>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19.3. Projektuotojas patalpina techninį projektą į Lietuvos Respublikos statybos leidimų ir statybos valstybinės priežiūros informacinę sistemą „Infostatyba“.</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20.</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Projekto finansavimas</w:t>
            </w:r>
          </w:p>
        </w:tc>
        <w:tc>
          <w:tcPr>
            <w:tcW w:w="6124" w:type="dxa"/>
            <w:tcBorders>
              <w:top w:val="single" w:sz="6" w:space="0" w:color="000000"/>
              <w:left w:val="single" w:sz="6" w:space="0" w:color="000000"/>
              <w:bottom w:val="single" w:sz="6" w:space="0" w:color="000000"/>
              <w:right w:val="single" w:sz="6" w:space="0" w:color="000000"/>
            </w:tcBorders>
          </w:tcPr>
          <w:p>
            <w:pPr>
              <w:pStyle w:val="Normal"/>
              <w:shd w:val="clear" w:color="auto" w:fill="FFFFFF"/>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222222"/>
                <w:sz w:val="22"/>
                <w:szCs w:val="22"/>
                <w:lang w:eastAsia="en-US"/>
              </w:rPr>
              <w:t>2021–2027 metų Europos Sąjungos fondų investicijų programos lėšos ir Savivaldybės biudžetas</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ind w:left="36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r>
          </w:p>
        </w:tc>
        <w:tc>
          <w:tcPr>
            <w:tcW w:w="9180" w:type="dxa"/>
            <w:gridSpan w:val="2"/>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ind w:left="360"/>
              <w:rPr>
                <w:rFonts w:ascii="Arial" w:hAnsi="Arial" w:eastAsia="Times New Roman" w:cs="Arial"/>
                <w:color w:val="000000"/>
                <w:sz w:val="22"/>
                <w:szCs w:val="22"/>
                <w:lang w:eastAsia="en-US"/>
              </w:rPr>
            </w:pPr>
            <w:r>
              <w:rPr>
                <w:rFonts w:eastAsia="Times New Roman" w:cs="Arial" w:ascii="Arial" w:hAnsi="Arial"/>
                <w:b/>
                <w:bCs/>
                <w:color w:val="000000"/>
                <w:sz w:val="22"/>
                <w:szCs w:val="22"/>
                <w:lang w:eastAsia="en-US"/>
              </w:rPr>
              <w:t>IV. Reikalavimai statinio projekto vykdymo priežiūrai</w:t>
            </w:r>
          </w:p>
        </w:tc>
      </w:tr>
      <w:tr>
        <w:trPr/>
        <w:tc>
          <w:tcPr>
            <w:tcW w:w="712"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21.</w:t>
            </w:r>
          </w:p>
        </w:tc>
        <w:tc>
          <w:tcPr>
            <w:tcW w:w="3056"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Statinio projekto vykdymo priežiūra</w:t>
            </w:r>
          </w:p>
        </w:tc>
        <w:tc>
          <w:tcPr>
            <w:tcW w:w="6124" w:type="dxa"/>
            <w:tcBorders>
              <w:top w:val="single" w:sz="6" w:space="0" w:color="000000"/>
              <w:left w:val="single" w:sz="6" w:space="0" w:color="000000"/>
              <w:bottom w:val="single" w:sz="6" w:space="0" w:color="000000"/>
              <w:right w:val="single" w:sz="6" w:space="0" w:color="000000"/>
            </w:tcBorders>
          </w:tcPr>
          <w:p>
            <w:pPr>
              <w:pStyle w:val="Normal"/>
              <w:suppressAutoHyphens w:val="false"/>
              <w:spacing w:lineRule="auto" w:line="240" w:before="0" w:after="0"/>
              <w:jc w:val="both"/>
              <w:rPr>
                <w:rFonts w:ascii="Arial" w:hAnsi="Arial" w:eastAsia="Times New Roman" w:cs="Arial"/>
                <w:color w:val="000000"/>
                <w:sz w:val="22"/>
                <w:szCs w:val="22"/>
                <w:lang w:eastAsia="en-US"/>
              </w:rPr>
            </w:pPr>
            <w:r>
              <w:rPr>
                <w:rFonts w:eastAsia="Times New Roman" w:cs="Arial" w:ascii="Arial" w:hAnsi="Arial"/>
                <w:color w:val="000000"/>
                <w:sz w:val="22"/>
                <w:szCs w:val="22"/>
                <w:lang w:eastAsia="en-US"/>
              </w:rPr>
              <w:t xml:space="preserve">Pagal statybos techninio reglamento STR 1.06.01:2016 „Statybos darbai. Statinio statybos priežiūra“ VI skyriaus nuostatas </w:t>
            </w:r>
            <w:r>
              <w:rPr>
                <w:rFonts w:eastAsia="Times New Roman" w:cs="Arial" w:ascii="Arial" w:hAnsi="Arial"/>
                <w:b/>
                <w:bCs/>
                <w:i/>
                <w:iCs/>
                <w:color w:val="000000"/>
                <w:sz w:val="22"/>
                <w:szCs w:val="22"/>
                <w:lang w:eastAsia="en-US"/>
              </w:rPr>
              <w:t>statinio projekto vykdymo priežiūra privaloma.</w:t>
            </w:r>
          </w:p>
        </w:tc>
      </w:tr>
    </w:tbl>
    <w:p>
      <w:pPr>
        <w:pStyle w:val="Normal"/>
        <w:jc w:val="center"/>
        <w:rPr/>
      </w:pPr>
      <w:r>
        <w:rPr/>
      </w:r>
    </w:p>
    <w:p>
      <w:pPr>
        <w:pStyle w:val="Normal"/>
        <w:jc w:val="center"/>
        <w:rPr/>
      </w:pPr>
      <w:r>
        <w:rPr/>
        <w:t>____________________</w:t>
      </w:r>
    </w:p>
    <w:p>
      <w:pPr>
        <w:pStyle w:val="Normal"/>
        <w:jc w:val="center"/>
        <w:rPr/>
      </w:pPr>
      <w:r>
        <w:rPr/>
      </w:r>
      <w:bookmarkStart w:id="51" w:name="_GoBack"/>
      <w:bookmarkStart w:id="52" w:name="_GoBack"/>
      <w:bookmarkEnd w:id="52"/>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spacing w:lineRule="auto" w:line="240" w:before="0" w:after="0"/>
        <w:ind w:left="6750"/>
        <w:rPr>
          <w:rFonts w:ascii="Arial" w:hAnsi="Arial" w:cs="Arial"/>
          <w:sz w:val="24"/>
          <w:szCs w:val="24"/>
        </w:rPr>
      </w:pPr>
      <w:r>
        <w:rPr>
          <w:rFonts w:cs="Arial" w:ascii="Arial" w:hAnsi="Arial"/>
          <w:sz w:val="24"/>
          <w:szCs w:val="24"/>
        </w:rPr>
      </w:r>
    </w:p>
    <w:p>
      <w:pPr>
        <w:pStyle w:val="Normal"/>
        <w:spacing w:lineRule="auto" w:line="240" w:before="0" w:after="0"/>
        <w:ind w:left="6750"/>
        <w:rPr>
          <w:rFonts w:ascii="Arial" w:hAnsi="Arial" w:cs="Arial"/>
          <w:sz w:val="24"/>
          <w:szCs w:val="24"/>
        </w:rPr>
      </w:pPr>
      <w:bookmarkStart w:id="53" w:name="_Ref38291496"/>
      <w:bookmarkStart w:id="54" w:name="_Ref38285444"/>
      <w:r>
        <w:rPr>
          <w:rFonts w:eastAsia="Calibri" w:cs="Arial" w:ascii="Arial" w:hAnsi="Arial"/>
          <w:sz w:val="24"/>
          <w:szCs w:val="24"/>
        </w:rPr>
        <w:t>Pirkimo sąlygų 3 priedas</w:t>
      </w:r>
      <w:bookmarkEnd w:id="53"/>
      <w:bookmarkEnd w:id="54"/>
      <w:r>
        <w:rPr>
          <w:rFonts w:eastAsia="Calibri" w:cs="Arial" w:ascii="Arial" w:hAnsi="Arial"/>
          <w:sz w:val="24"/>
          <w:szCs w:val="24"/>
        </w:rPr>
        <w:t xml:space="preserve"> „Tiekėjų pašalinimo pagrindai“</w:t>
      </w:r>
    </w:p>
    <w:p>
      <w:pPr>
        <w:pStyle w:val="Normal"/>
        <w:spacing w:lineRule="auto" w:line="240" w:before="0" w:after="0"/>
        <w:jc w:val="center"/>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z w:val="24"/>
          <w:szCs w:val="24"/>
        </w:rPr>
      </w:pPr>
      <w:r>
        <w:rPr>
          <w:rFonts w:cs="Arial" w:ascii="Arial" w:hAnsi="Arial"/>
          <w:b/>
          <w:bCs/>
          <w:sz w:val="24"/>
          <w:szCs w:val="24"/>
        </w:rPr>
        <w:t xml:space="preserve">TIEKĖJŲ PAŠALINIMO PAGRINDAI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2. Pašalinimo pagrindai taikomi tiekėjui (kai pasiūlymą teikia ūkio subjektų grupė – visiems tos grupės nariams) ir ūkio subjektams, kurių pajėgumais tiekėjas remiasi. Pašalinimo pagrindai netaikomi subtiekėjams, subteikėjams ir subrangovams, kurių pajėgumais tiekėjas nesiremia.</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6. Perkančioji organizacija nereikalauja iš tiekėjo pateikti dokumentų, patvirtinančių jo pašalinimo pagrindų nebuvimą, jeigu ji:</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6.1.</w:t>
        <w:tab/>
        <w:t>turi galimybę susipažinti su šiais dokumentais ar informacija tiesiogiai ir neatlygintinai prisijungusi prie nacionalinės duomenų bazės bet kurioje valstybėje narėje arba naudodamasi Centrinės viešųjų pirkimų informacinės sistemos priemonėmis;</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6.2.</w:t>
        <w:tab/>
        <w:t>šiuos dokumentus jau turi iš ankstesnių pirkimo procedūrų, jeigu šiuose dokumentuose nurodyta informacija vis dar yra aktuali (dokumentas išduotas prieš ne daugiau dienų, negu nurodyta atitinkamoje žemiau esančios lentelės eilutėje).</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BodyText"/>
        <w:spacing w:lineRule="auto" w:line="240" w:before="0" w:after="0"/>
        <w:ind w:firstLine="720"/>
        <w:rPr>
          <w:rFonts w:ascii="Arial" w:hAnsi="Arial" w:cs="Arial"/>
          <w:sz w:val="24"/>
          <w:szCs w:val="24"/>
        </w:rPr>
      </w:pPr>
      <w:r>
        <w:rPr>
          <w:rFonts w:cs="Arial" w:ascii="Arial" w:hAnsi="Arial"/>
          <w:sz w:val="24"/>
          <w:szCs w:val="24"/>
        </w:rPr>
        <w:t>7.1.</w:t>
        <w:tab/>
        <w:t>priesaikos deklaracija;</w:t>
      </w:r>
    </w:p>
    <w:p>
      <w:pPr>
        <w:pStyle w:val="BodyText"/>
        <w:spacing w:lineRule="auto" w:line="240" w:before="0" w:after="0"/>
        <w:ind w:firstLine="720"/>
        <w:rPr>
          <w:rFonts w:ascii="Arial" w:hAnsi="Arial" w:cs="Arial"/>
          <w:sz w:val="24"/>
          <w:szCs w:val="24"/>
        </w:rPr>
      </w:pPr>
      <w:r>
        <w:rPr>
          <w:rFonts w:cs="Arial" w:ascii="Arial" w:hAnsi="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BodyText"/>
        <w:spacing w:lineRule="auto" w:line="240" w:before="0" w:after="0"/>
        <w:ind w:firstLine="720"/>
        <w:rPr>
          <w:rFonts w:ascii="Arial" w:hAnsi="Arial" w:cs="Arial"/>
          <w:sz w:val="24"/>
          <w:szCs w:val="24"/>
        </w:rPr>
      </w:pPr>
      <w:r>
        <w:rPr>
          <w:rFonts w:cs="Arial" w:ascii="Arial" w:hAnsi="Arial"/>
          <w:sz w:val="24"/>
          <w:szCs w:val="24"/>
        </w:rPr>
      </w:r>
    </w:p>
    <w:tbl>
      <w:tblPr>
        <w:tblW w:w="998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6"/>
        <w:gridCol w:w="4046"/>
        <w:gridCol w:w="2882"/>
        <w:gridCol w:w="2430"/>
      </w:tblGrid>
      <w:tr>
        <w:trPr/>
        <w:tc>
          <w:tcPr>
            <w:tcW w:w="626"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cs="Arial"/>
                <w:b/>
                <w:bCs/>
                <w:sz w:val="24"/>
                <w:szCs w:val="24"/>
              </w:rPr>
            </w:pPr>
            <w:r>
              <w:rPr>
                <w:rFonts w:cs="Arial" w:ascii="Arial" w:hAnsi="Arial"/>
                <w:b/>
                <w:bCs/>
                <w:sz w:val="24"/>
                <w:szCs w:val="24"/>
              </w:rPr>
              <w:t>Eil. Nr.</w:t>
            </w:r>
          </w:p>
        </w:tc>
        <w:tc>
          <w:tcPr>
            <w:tcW w:w="404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sz w:val="24"/>
                <w:szCs w:val="24"/>
                <w:lang w:eastAsia="en-US"/>
              </w:rPr>
            </w:pPr>
            <w:r>
              <w:rPr>
                <w:rFonts w:cs="Arial" w:ascii="Arial" w:hAnsi="Arial"/>
                <w:b/>
                <w:sz w:val="24"/>
                <w:szCs w:val="24"/>
              </w:rPr>
              <w:t>Tiekėjo pašalinimo pagrindai</w:t>
            </w:r>
          </w:p>
        </w:tc>
        <w:tc>
          <w:tcPr>
            <w:tcW w:w="288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eastAsia="Yu Mincho" w:cs="Arial"/>
                <w:b/>
                <w:bCs/>
                <w:sz w:val="24"/>
                <w:szCs w:val="24"/>
              </w:rPr>
            </w:pPr>
            <w:r>
              <w:rPr>
                <w:rFonts w:eastAsia="Yu Mincho" w:cs="Arial" w:ascii="Arial" w:hAnsi="Arial"/>
                <w:b/>
                <w:bCs/>
                <w:sz w:val="24"/>
                <w:szCs w:val="24"/>
              </w:rPr>
              <w:t>VPĮ straipsnis,  dalis, punktas bei EBVPD formos dalis pildymui</w:t>
            </w:r>
          </w:p>
        </w:tc>
        <w:tc>
          <w:tcPr>
            <w:tcW w:w="243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iCs/>
                <w:sz w:val="24"/>
                <w:szCs w:val="24"/>
                <w:lang w:eastAsia="en-US"/>
              </w:rPr>
            </w:pPr>
            <w:r>
              <w:rPr>
                <w:rFonts w:cs="Arial" w:ascii="Arial" w:hAnsi="Arial"/>
                <w:b/>
                <w:sz w:val="24"/>
                <w:szCs w:val="24"/>
              </w:rPr>
              <w:t>Pašalinimo pagrindų nebuvimą įrodantys dokumentai</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arba jo atsakingas asmuo, nurodytas VPĮ 46 straipsnio 2 dalies 2 punkte, nuteistas už šią nusikalstamą veiką:</w:t>
            </w:r>
          </w:p>
          <w:p>
            <w:pPr>
              <w:pStyle w:val="NoSpacing"/>
              <w:jc w:val="both"/>
              <w:rPr>
                <w:rFonts w:ascii="Arial" w:hAnsi="Arial" w:cs="Arial"/>
                <w:b/>
                <w:bCs/>
                <w:sz w:val="24"/>
                <w:szCs w:val="24"/>
                <w:lang w:eastAsia="en-US"/>
              </w:rPr>
            </w:pPr>
            <w:r>
              <w:rPr>
                <w:rFonts w:cs="Arial" w:ascii="Arial" w:hAnsi="Arial"/>
                <w:bCs/>
                <w:sz w:val="24"/>
                <w:szCs w:val="24"/>
                <w:lang w:eastAsia="en-US"/>
              </w:rPr>
              <w:t>1) dalyvavimą nusikalstamame susivienijime, jo organizavimą ar vadovavimą jam;</w:t>
            </w:r>
          </w:p>
          <w:p>
            <w:pPr>
              <w:pStyle w:val="NoSpacing"/>
              <w:jc w:val="both"/>
              <w:rPr>
                <w:rFonts w:ascii="Arial" w:hAnsi="Arial" w:cs="Arial"/>
                <w:b/>
                <w:bCs/>
                <w:sz w:val="24"/>
                <w:szCs w:val="24"/>
                <w:lang w:eastAsia="en-US"/>
              </w:rPr>
            </w:pPr>
            <w:r>
              <w:rPr>
                <w:rFonts w:cs="Arial" w:ascii="Arial" w:hAnsi="Arial"/>
                <w:bCs/>
                <w:sz w:val="24"/>
                <w:szCs w:val="24"/>
                <w:lang w:eastAsia="en-US"/>
              </w:rPr>
              <w:t>2) kyšininkavimą, prekybą poveikiu, papirkimą;</w:t>
            </w:r>
          </w:p>
          <w:p>
            <w:pPr>
              <w:pStyle w:val="NoSpacing"/>
              <w:jc w:val="both"/>
              <w:rPr>
                <w:rFonts w:ascii="Arial" w:hAnsi="Arial" w:cs="Arial"/>
                <w:b/>
                <w:bCs/>
                <w:sz w:val="24"/>
                <w:szCs w:val="24"/>
                <w:lang w:eastAsia="en-US"/>
              </w:rPr>
            </w:pPr>
            <w:r>
              <w:rPr>
                <w:rFonts w:cs="Arial" w:ascii="Arial" w:hAnsi="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b/>
                <w:bCs/>
                <w:sz w:val="24"/>
                <w:szCs w:val="24"/>
                <w:lang w:eastAsia="en-US"/>
              </w:rPr>
            </w:pPr>
            <w:r>
              <w:rPr>
                <w:rFonts w:cs="Arial" w:ascii="Arial" w:hAnsi="Arial"/>
                <w:bCs/>
                <w:sz w:val="24"/>
                <w:szCs w:val="24"/>
                <w:lang w:eastAsia="en-US"/>
              </w:rPr>
              <w:t>4) nusikalstamą bankrotą;</w:t>
            </w:r>
          </w:p>
          <w:p>
            <w:pPr>
              <w:pStyle w:val="NoSpacing"/>
              <w:jc w:val="both"/>
              <w:rPr>
                <w:rFonts w:ascii="Arial" w:hAnsi="Arial" w:cs="Arial"/>
                <w:b/>
                <w:bCs/>
                <w:sz w:val="24"/>
                <w:szCs w:val="24"/>
                <w:lang w:eastAsia="en-US"/>
              </w:rPr>
            </w:pPr>
            <w:r>
              <w:rPr>
                <w:rFonts w:cs="Arial" w:ascii="Arial" w:hAnsi="Arial"/>
                <w:bCs/>
                <w:sz w:val="24"/>
                <w:szCs w:val="24"/>
                <w:lang w:eastAsia="en-US"/>
              </w:rPr>
              <w:t>5) teroristinį ir su teroristine veikla susijusį nusikaltimą;</w:t>
            </w:r>
          </w:p>
          <w:p>
            <w:pPr>
              <w:pStyle w:val="NoSpacing"/>
              <w:jc w:val="both"/>
              <w:rPr>
                <w:rFonts w:ascii="Arial" w:hAnsi="Arial" w:cs="Arial"/>
                <w:b/>
                <w:bCs/>
                <w:sz w:val="24"/>
                <w:szCs w:val="24"/>
                <w:lang w:eastAsia="en-US"/>
              </w:rPr>
            </w:pPr>
            <w:r>
              <w:rPr>
                <w:rFonts w:cs="Arial" w:ascii="Arial" w:hAnsi="Arial"/>
                <w:bCs/>
                <w:sz w:val="24"/>
                <w:szCs w:val="24"/>
                <w:lang w:eastAsia="en-US"/>
              </w:rPr>
              <w:t>6) nusikalstamu būdu gauto turto legalizavimą;</w:t>
            </w:r>
          </w:p>
          <w:p>
            <w:pPr>
              <w:pStyle w:val="NoSpacing"/>
              <w:jc w:val="both"/>
              <w:rPr>
                <w:rFonts w:ascii="Arial" w:hAnsi="Arial" w:cs="Arial"/>
                <w:b/>
                <w:bCs/>
                <w:sz w:val="24"/>
                <w:szCs w:val="24"/>
                <w:lang w:eastAsia="en-US"/>
              </w:rPr>
            </w:pPr>
            <w:r>
              <w:rPr>
                <w:rFonts w:cs="Arial" w:ascii="Arial" w:hAnsi="Arial"/>
                <w:bCs/>
                <w:sz w:val="24"/>
                <w:szCs w:val="24"/>
                <w:lang w:eastAsia="en-US"/>
              </w:rPr>
              <w:t>7) prekybą žmonėmis, vaiko pirkimą arba pardavimą;</w:t>
            </w:r>
          </w:p>
          <w:p>
            <w:pPr>
              <w:pStyle w:val="NoSpacing"/>
              <w:jc w:val="both"/>
              <w:rPr>
                <w:rFonts w:ascii="Arial" w:hAnsi="Arial" w:cs="Arial"/>
                <w:b/>
                <w:bCs/>
                <w:sz w:val="24"/>
                <w:szCs w:val="24"/>
                <w:lang w:eastAsia="en-US"/>
              </w:rPr>
            </w:pPr>
            <w:r>
              <w:rPr>
                <w:rFonts w:cs="Arial" w:ascii="Arial" w:hAnsi="Arial"/>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arba jo atsakingas asmuo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sz w:val="24"/>
                <w:szCs w:val="24"/>
              </w:rPr>
            </w:pPr>
            <w:r>
              <w:rPr>
                <w:rFonts w:cs="Arial" w:ascii="Arial" w:hAnsi="Arial"/>
                <w:sz w:val="24"/>
                <w:szCs w:val="24"/>
              </w:rPr>
              <w:t>2)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3)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lang w:eastAsia="en-US"/>
              </w:rPr>
            </w:pPr>
            <w:r>
              <w:rPr>
                <w:rFonts w:eastAsia="Yu Mincho" w:cs="Arial" w:ascii="Arial" w:hAnsi="Arial"/>
                <w:b/>
                <w:bCs/>
                <w:sz w:val="24"/>
                <w:szCs w:val="24"/>
                <w:lang w:eastAsia="en-US"/>
              </w:rPr>
              <w:t>VPĮ 46 straipsnio 1 dalis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A1-A6 punktai</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D1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reikalaujama: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išrašo iš teismo sprendimo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Informatikos ir ryšių departamento prie Vidaus reikalų ministerijos pažymos,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left="-16"/>
              <w:jc w:val="both"/>
              <w:rPr>
                <w:rFonts w:ascii="Arial" w:hAnsi="Arial" w:cs="Arial"/>
                <w:sz w:val="24"/>
                <w:szCs w:val="24"/>
                <w:lang w:eastAsia="en-US"/>
              </w:rPr>
            </w:pPr>
            <w:r>
              <w:rPr>
                <w:rFonts w:cs="Arial" w:ascii="Arial" w:hAnsi="Arial"/>
                <w:sz w:val="24"/>
                <w:szCs w:val="24"/>
                <w:lang w:eastAsia="en-US"/>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207" w:leader="none"/>
              </w:tabs>
              <w:suppressAutoHyphens w:val="false"/>
              <w:ind w:firstLine="16" w:left="-16"/>
              <w:jc w:val="both"/>
              <w:rPr>
                <w:rFonts w:ascii="Arial" w:hAnsi="Arial" w:cs="Arial"/>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2"/>
            </w:r>
            <w:r>
              <w:rPr>
                <w:rFonts w:cs="Arial" w:ascii="Arial" w:hAnsi="Arial"/>
                <w:sz w:val="24"/>
                <w:szCs w:val="24"/>
              </w:rPr>
              <w:t>.</w:t>
            </w:r>
          </w:p>
          <w:p>
            <w:pPr>
              <w:pStyle w:val="NoSpacing"/>
              <w:jc w:val="both"/>
              <w:rPr>
                <w:rFonts w:ascii="Arial" w:hAnsi="Arial" w:cs="Arial"/>
                <w:color w:val="7030A0"/>
                <w:sz w:val="24"/>
                <w:szCs w:val="24"/>
              </w:rPr>
            </w:pPr>
            <w:r>
              <w:rPr>
                <w:rFonts w:cs="Arial" w:ascii="Arial" w:hAnsi="Arial"/>
                <w:sz w:val="24"/>
                <w:szCs w:val="24"/>
              </w:rPr>
              <w:t xml:space="preserve">Nurodyti dokumentai turi būti išduoti ne anksčiau kaip 180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2)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cs="Arial"/>
                <w:b/>
                <w:bCs/>
                <w:sz w:val="24"/>
                <w:szCs w:val="24"/>
                <w:lang w:eastAsia="en-US"/>
              </w:rPr>
            </w:pPr>
            <w:r>
              <w:rPr>
                <w:rFonts w:cs="Arial" w:ascii="Arial" w:hAnsi="Arial"/>
                <w:bCs/>
                <w:sz w:val="24"/>
                <w:szCs w:val="24"/>
                <w:lang w:eastAsia="en-US"/>
              </w:rPr>
              <w:t>Tačiau ši nuostata netaikoma, jeigu:</w:t>
            </w:r>
          </w:p>
          <w:p>
            <w:pPr>
              <w:pStyle w:val="NoSpacing"/>
              <w:jc w:val="both"/>
              <w:rPr>
                <w:rFonts w:ascii="Arial" w:hAnsi="Arial" w:cs="Arial"/>
                <w:b/>
                <w:bCs/>
                <w:sz w:val="24"/>
                <w:szCs w:val="24"/>
                <w:lang w:eastAsia="en-US"/>
              </w:rPr>
            </w:pPr>
            <w:r>
              <w:rPr>
                <w:rFonts w:cs="Arial" w:ascii="Arial" w:hAnsi="Arial"/>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4"/>
                <w:szCs w:val="24"/>
                <w:lang w:eastAsia="en-US"/>
              </w:rPr>
            </w:pPr>
            <w:r>
              <w:rPr>
                <w:rFonts w:cs="Arial" w:ascii="Arial" w:hAnsi="Arial"/>
                <w:bCs/>
                <w:sz w:val="24"/>
                <w:szCs w:val="24"/>
                <w:lang w:eastAsia="en-US"/>
              </w:rPr>
              <w:t>2) įsiskolinimo suma neviršija 50 Eur (penkiasdešimt eurų);</w:t>
            </w:r>
          </w:p>
          <w:p>
            <w:pPr>
              <w:pStyle w:val="NoSpacing"/>
              <w:jc w:val="both"/>
              <w:rPr>
                <w:rFonts w:ascii="Arial" w:hAnsi="Arial" w:cs="Arial"/>
                <w:b/>
                <w:bCs/>
                <w:sz w:val="24"/>
                <w:szCs w:val="24"/>
                <w:lang w:eastAsia="en-US"/>
              </w:rPr>
            </w:pPr>
            <w:r>
              <w:rPr>
                <w:rFonts w:cs="Arial" w:ascii="Arial" w:hAnsi="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3 dalis</w:t>
            </w:r>
          </w:p>
          <w:p>
            <w:pPr>
              <w:pStyle w:val="NoSpacing"/>
              <w:jc w:val="both"/>
              <w:rPr>
                <w:rFonts w:ascii="Arial" w:hAnsi="Arial" w:eastAsia="Arial" w:cs="Arial"/>
                <w:sz w:val="24"/>
                <w:szCs w:val="24"/>
              </w:rPr>
            </w:pPr>
            <w:r>
              <w:rPr>
                <w:rFonts w:eastAsia="Arial" w:cs="Arial" w:ascii="Arial" w:hAnsi="Arial"/>
                <w:sz w:val="24"/>
                <w:szCs w:val="24"/>
              </w:rPr>
            </w:r>
          </w:p>
          <w:p>
            <w:pPr>
              <w:pStyle w:val="NoSpacing"/>
              <w:jc w:val="both"/>
              <w:rPr>
                <w:rFonts w:ascii="Arial" w:hAnsi="Arial" w:eastAsia="Yu Mincho" w:cs="Arial"/>
                <w:sz w:val="24"/>
                <w:szCs w:val="24"/>
              </w:rPr>
            </w:pPr>
            <w:r>
              <w:rPr>
                <w:rFonts w:eastAsia="Arial" w:cs="Arial" w:ascii="Arial" w:hAnsi="Arial"/>
                <w:sz w:val="24"/>
                <w:szCs w:val="24"/>
              </w:rPr>
              <w:t>EBVPD III dalies B1 ir B2 punktai</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1) Dėl įsipareigojimų, susijusių su mokesčių mokėjimu, įvykdymo i</w:t>
            </w:r>
            <w:r>
              <w:rPr>
                <w:rFonts w:cs="Arial" w:ascii="Arial" w:hAnsi="Arial"/>
                <w:sz w:val="24"/>
                <w:szCs w:val="24"/>
                <w:lang w:eastAsia="en-US"/>
              </w:rPr>
              <w:t xml:space="preserve">š Lietuvoje įsteigtų subjektų </w:t>
            </w:r>
            <w:r>
              <w:rPr>
                <w:rFonts w:cs="Arial" w:ascii="Arial" w:hAnsi="Arial"/>
                <w:sz w:val="24"/>
                <w:szCs w:val="24"/>
              </w:rPr>
              <w:t>prašoma:</w:t>
            </w:r>
          </w:p>
          <w:p>
            <w:pPr>
              <w:pStyle w:val="NoSpacing"/>
              <w:tabs>
                <w:tab w:val="clear" w:pos="1296"/>
                <w:tab w:val="left" w:pos="188" w:leader="none"/>
              </w:tabs>
              <w:ind w:hanging="16"/>
              <w:jc w:val="both"/>
              <w:rPr>
                <w:rFonts w:ascii="Arial" w:hAnsi="Arial" w:cs="Arial"/>
                <w:b/>
                <w:bCs/>
                <w:sz w:val="24"/>
                <w:szCs w:val="24"/>
              </w:rPr>
            </w:pPr>
            <w:r>
              <w:rPr>
                <w:rFonts w:cs="Arial" w:ascii="Arial" w:hAnsi="Arial"/>
                <w:b/>
                <w:bCs/>
                <w:sz w:val="24"/>
                <w:szCs w:val="24"/>
              </w:rPr>
            </w:r>
          </w:p>
          <w:p>
            <w:pPr>
              <w:pStyle w:val="NoSpacing"/>
              <w:numPr>
                <w:ilvl w:val="0"/>
                <w:numId w:val="11"/>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išrašo iš teismo sprendimo (jei toks yra) arba Valstybinės mokesčių inspekcijos prie Lietuvos Respublikos finansų ministerijos išduoto dokumento,</w:t>
            </w:r>
          </w:p>
          <w:p>
            <w:pPr>
              <w:pStyle w:val="NoSpacing"/>
              <w:numPr>
                <w:ilvl w:val="0"/>
                <w:numId w:val="10"/>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hanging="16"/>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79"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3"/>
            </w:r>
            <w:r>
              <w:rPr>
                <w:rFonts w:cs="Arial" w:ascii="Arial" w:hAnsi="Arial"/>
                <w:sz w:val="24"/>
                <w:szCs w:val="24"/>
              </w:rPr>
              <w:t>.</w:t>
            </w:r>
          </w:p>
          <w:p>
            <w:pPr>
              <w:pStyle w:val="NoSpacing"/>
              <w:jc w:val="both"/>
              <w:rPr>
                <w:rFonts w:ascii="Arial" w:hAnsi="Arial" w:cs="Arial"/>
                <w:i/>
                <w:i/>
                <w:iCs/>
                <w:color w:themeColor="text1" w:val="00000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i/>
                <w:i/>
                <w:iCs/>
                <w:color w:val="7030A0"/>
                <w:sz w:val="24"/>
                <w:szCs w:val="24"/>
              </w:rPr>
            </w:pPr>
            <w:r>
              <w:rPr>
                <w:rFonts w:cs="Arial" w:ascii="Arial" w:hAnsi="Arial"/>
                <w:i/>
                <w:iCs/>
                <w:color w:val="7030A0"/>
                <w:sz w:val="24"/>
                <w:szCs w:val="24"/>
              </w:rPr>
            </w:r>
          </w:p>
          <w:p>
            <w:pPr>
              <w:pStyle w:val="NoSpacing"/>
              <w:jc w:val="both"/>
              <w:rPr>
                <w:rFonts w:ascii="Arial" w:hAnsi="Arial" w:cs="Arial"/>
                <w:b/>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bCs/>
                <w:sz w:val="24"/>
                <w:szCs w:val="24"/>
              </w:rPr>
              <w:t>2) Dėl įsipareigojimų, susijusių su socialinio draudimo įmokų mokėjimu, įvykdymo i</w:t>
            </w:r>
            <w:r>
              <w:rPr>
                <w:rFonts w:cs="Arial" w:ascii="Arial" w:hAnsi="Arial"/>
                <w:sz w:val="24"/>
                <w:szCs w:val="24"/>
                <w:lang w:eastAsia="en-US"/>
              </w:rPr>
              <w:t xml:space="preserve">š Lietuvoje įsteigtų subjektų </w:t>
            </w:r>
            <w:r>
              <w:rPr>
                <w:rFonts w:cs="Arial" w:ascii="Arial" w:hAnsi="Arial"/>
                <w:bCs/>
                <w:sz w:val="24"/>
                <w:szCs w:val="24"/>
              </w:rPr>
              <w:t>prašoma:</w:t>
            </w:r>
          </w:p>
          <w:p>
            <w:pPr>
              <w:pStyle w:val="NoSpacing"/>
              <w:jc w:val="both"/>
              <w:rPr>
                <w:rFonts w:ascii="Arial" w:hAnsi="Arial" w:cs="Arial"/>
                <w:bCs/>
                <w:sz w:val="24"/>
                <w:szCs w:val="24"/>
              </w:rPr>
            </w:pPr>
            <w:r>
              <w:rPr>
                <w:rFonts w:cs="Arial" w:ascii="Arial" w:hAnsi="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Style w:val="Hyperlink"/>
                  <w:rFonts w:cs="Arial" w:ascii="Arial" w:hAnsi="Arial"/>
                  <w:bCs/>
                  <w:sz w:val="24"/>
                  <w:szCs w:val="24"/>
                  <w:u w:val="single"/>
                </w:rPr>
                <w:t>http://draudejai.sodra.lt/draudeju_viesi_duomenys/</w:t>
              </w:r>
            </w:hyperlink>
            <w:r>
              <w:rPr>
                <w:rFonts w:cs="Arial" w:ascii="Arial" w:hAnsi="Arial"/>
                <w:bCs/>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98"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kompetentingos institucijos dokumento</w:t>
            </w:r>
            <w:r>
              <w:rPr>
                <w:rStyle w:val="FootnoteReference"/>
                <w:rFonts w:cs="Arial" w:ascii="Arial" w:hAnsi="Arial"/>
                <w:sz w:val="24"/>
                <w:szCs w:val="24"/>
              </w:rPr>
              <w:footnoteReference w:id="4"/>
            </w:r>
            <w:r>
              <w:rPr>
                <w:rFonts w:cs="Arial" w:ascii="Arial" w:hAnsi="Arial"/>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i/>
                <w:i/>
                <w:iCs/>
                <w:color w:val="7030A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su kitais tiekėjais yra sudaręs susitarimų, kuriais siekiama iškreipti konkurenciją atliekamame pirkime, ir perkančioji organizacija dėl to turi įtikinamų duomenų.</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1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C10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pateko į interesų konflikto situaciją, kaip apibrėžta VPĮ 21 straipsnyje, ir atitinkamos padėties negalima ištaisyti.</w:t>
            </w:r>
          </w:p>
          <w:p>
            <w:pPr>
              <w:pStyle w:val="NoSpacing"/>
              <w:jc w:val="both"/>
              <w:rPr>
                <w:rFonts w:ascii="Arial" w:hAnsi="Arial" w:cs="Arial"/>
                <w:b/>
                <w:bCs/>
                <w:sz w:val="24"/>
                <w:szCs w:val="24"/>
              </w:rPr>
            </w:pPr>
            <w:r>
              <w:rPr>
                <w:rFonts w:cs="Arial" w:ascii="Arial" w:hAnsi="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2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C12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Pažeista konkurencija, kaip nustatyta VPĮ 27 straipsnio 3 ir 4 dalyse, ir atitinkamos padėties negalima ištaisyti.</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3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C13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4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C15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sz w:val="24"/>
                <w:szCs w:val="24"/>
              </w:rPr>
            </w:pPr>
            <w:hyperlink r:id="rId3">
              <w:r>
                <w:rPr>
                  <w:rStyle w:val="Hyperlink"/>
                  <w:rFonts w:cs="Arial" w:ascii="Arial" w:hAnsi="Arial"/>
                  <w:sz w:val="24"/>
                  <w:szCs w:val="24"/>
                </w:rPr>
                <w:t>https://vpt.lrv.lt/lt/nuorodos/kiti-duomenys/powerbi/melaginga-informacija-pateikusiu-tiekeju-sarasas-3/</w:t>
              </w:r>
            </w:hyperlink>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5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C15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4"/>
                <w:szCs w:val="24"/>
              </w:rPr>
            </w:pPr>
            <w:r>
              <w:rPr>
                <w:rFonts w:cs="Arial" w:ascii="Arial" w:hAnsi="Arial"/>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sz w:val="24"/>
                <w:szCs w:val="24"/>
              </w:rPr>
            </w:pPr>
            <w:r>
              <w:rPr>
                <w:rFonts w:cs="Arial" w:ascii="Arial" w:hAnsi="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6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C14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4">
              <w:r>
                <w:rPr>
                  <w:rStyle w:val="Hyperlink"/>
                  <w:rFonts w:cs="Arial" w:ascii="Arial" w:hAnsi="Arial"/>
                  <w:sz w:val="24"/>
                  <w:szCs w:val="24"/>
                </w:rPr>
                <w:t>https://vpt.lrv.lt/lt/nuorodos/kiti-duomenys/powerbi/nepatikimi-tiekejai-1/</w:t>
              </w:r>
            </w:hyperlink>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5">
              <w:r>
                <w:rPr>
                  <w:rStyle w:val="Hyperlink"/>
                  <w:rFonts w:cs="Arial" w:ascii="Arial" w:hAnsi="Arial"/>
                  <w:sz w:val="24"/>
                  <w:szCs w:val="24"/>
                </w:rPr>
                <w:t>https://vpt.lrv.lt/lt/pasalinimo-pagrindai-1/nepatikimu-koncesininku-sarasas-1/nepatikimu-koncesininku-sarasas/</w:t>
              </w:r>
            </w:hyperlink>
          </w:p>
          <w:p>
            <w:pPr>
              <w:pStyle w:val="NoSpacing"/>
              <w:jc w:val="both"/>
              <w:rPr>
                <w:rFonts w:ascii="Arial" w:hAnsi="Arial" w:cs="Arial"/>
                <w:bCs/>
                <w:sz w:val="24"/>
                <w:szCs w:val="24"/>
              </w:rPr>
            </w:pPr>
            <w:r>
              <w:rPr>
                <w:rFonts w:cs="Arial" w:ascii="Arial" w:hAnsi="Arial"/>
                <w:bCs/>
                <w:sz w:val="24"/>
                <w:szCs w:val="24"/>
              </w:rPr>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p>
            <w:pPr>
              <w:pStyle w:val="NoSpacing"/>
              <w:ind w:left="32"/>
              <w:rPr>
                <w:rFonts w:ascii="Arial" w:hAnsi="Arial" w:cs="Arial"/>
                <w:sz w:val="24"/>
                <w:szCs w:val="24"/>
              </w:rPr>
            </w:pPr>
            <w:r>
              <w:rPr>
                <w:rFonts w:cs="Arial" w:ascii="Arial" w:hAnsi="Arial"/>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 kai jis</w:t>
            </w:r>
            <w:bookmarkStart w:id="55" w:name="part_030e6c6c64ba4f96a23474e439d1b80c"/>
            <w:bookmarkEnd w:id="55"/>
            <w:r>
              <w:rPr>
                <w:rFonts w:cs="Arial" w:ascii="Arial" w:hAnsi="Arial"/>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
                <w:sz w:val="24"/>
                <w:szCs w:val="24"/>
              </w:rPr>
            </w:pPr>
            <w:r>
              <w:rPr>
                <w:rFonts w:cs="Arial" w:ascii="Arial" w:hAnsi="Arial"/>
                <w:b/>
                <w:sz w:val="24"/>
                <w:szCs w:val="24"/>
              </w:rPr>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a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 xml:space="preserve">Iš Lietuvoje įsteigtų subjektų įrodančių dokumentų nereikalaujama. Užtenka pateikto EBVPD. </w:t>
            </w: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6">
              <w:r>
                <w:rPr>
                  <w:rStyle w:val="Hyperlink"/>
                  <w:rFonts w:cs="Arial" w:ascii="Arial" w:hAnsi="Arial"/>
                  <w:sz w:val="24"/>
                  <w:szCs w:val="24"/>
                  <w:u w:val="single"/>
                </w:rPr>
                <w:t>https://www.registrucentras.lt/jar/p/index.php</w:t>
              </w:r>
            </w:hyperlink>
          </w:p>
          <w:p>
            <w:pPr>
              <w:pStyle w:val="NoSpacing"/>
              <w:jc w:val="both"/>
              <w:rPr>
                <w:rFonts w:ascii="Arial" w:hAnsi="Arial" w:cs="Arial"/>
                <w:sz w:val="24"/>
                <w:szCs w:val="24"/>
              </w:rPr>
            </w:pPr>
            <w:r>
              <w:rPr>
                <w:rFonts w:cs="Arial" w:ascii="Arial" w:hAnsi="Arial"/>
                <w:sz w:val="24"/>
                <w:szCs w:val="24"/>
              </w:rPr>
              <w:t>paskelbtą informaciją, taip pat į šiame informaciniame pranešime pateiktą informaciją:</w:t>
            </w:r>
          </w:p>
          <w:p>
            <w:pPr>
              <w:pStyle w:val="NoSpacing"/>
              <w:jc w:val="both"/>
              <w:rPr>
                <w:rFonts w:ascii="Arial" w:hAnsi="Arial" w:cs="Arial"/>
                <w:sz w:val="24"/>
                <w:szCs w:val="24"/>
              </w:rPr>
            </w:pPr>
            <w:hyperlink r:id="rId7">
              <w:r>
                <w:rPr>
                  <w:rStyle w:val="Hyperlink"/>
                  <w:rFonts w:cs="Arial" w:ascii="Arial" w:hAnsi="Arial"/>
                  <w:sz w:val="24"/>
                  <w:szCs w:val="24"/>
                </w:rPr>
                <w:t>https://vpt.lrv.lt/lt/naujienos-3/finansiniu-ataskaitu-nepateikimas-gali-tapti-kliutimi-dalyvauti-viesuosiuose-pirkimuose/</w:t>
              </w:r>
            </w:hyperlink>
          </w:p>
          <w:p>
            <w:pPr>
              <w:pStyle w:val="NoSpacing"/>
              <w:jc w:val="both"/>
              <w:rPr>
                <w:rFonts w:ascii="Arial" w:hAnsi="Arial" w:cs="Arial"/>
                <w:b/>
                <w:bCs/>
                <w:iCs/>
                <w:sz w:val="24"/>
                <w:szCs w:val="24"/>
              </w:rPr>
            </w:pPr>
            <w:r>
              <w:rPr>
                <w:rFonts w:cs="Arial" w:ascii="Arial" w:hAnsi="Arial"/>
                <w:b/>
                <w:bCs/>
                <w:i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 xml:space="preserve">Tiekėjas yra padaręs rimtą profesinį pažeidimą, dėl kurio perkančioji organizacija abejoja tiekėjo sąžiningumu, </w:t>
            </w:r>
            <w:r>
              <w:rPr>
                <w:rFonts w:eastAsia="Times New Roman" w:cs="Arial" w:ascii="Arial" w:hAnsi="Arial"/>
                <w:sz w:val="24"/>
                <w:szCs w:val="24"/>
              </w:rPr>
              <w:t xml:space="preserve"> kai jis (tiekėjas) neatitinka minimalių patikimo mokesčių mokėtojo kriterijų, nustatytų Lietuvos Respublikos mokesčių administravimo įstatymo 40</w:t>
            </w:r>
            <w:r>
              <w:rPr>
                <w:rFonts w:eastAsia="Times New Roman" w:cs="Arial" w:ascii="Arial" w:hAnsi="Arial"/>
                <w:sz w:val="24"/>
                <w:szCs w:val="24"/>
                <w:vertAlign w:val="superscript"/>
              </w:rPr>
              <w:t>1</w:t>
            </w:r>
            <w:r>
              <w:rPr>
                <w:rFonts w:eastAsia="Times New Roman" w:cs="Arial" w:ascii="Arial" w:hAnsi="Arial"/>
                <w:sz w:val="24"/>
                <w:szCs w:val="24"/>
              </w:rPr>
              <w:t xml:space="preserve"> straipsnio 1 dalyje.</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b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p>
            <w:pPr>
              <w:pStyle w:val="NoSpacing"/>
              <w:jc w:val="both"/>
              <w:rPr>
                <w:rFonts w:ascii="Arial" w:hAnsi="Arial" w:cs="Arial"/>
                <w:b/>
                <w:bCs/>
                <w:sz w:val="24"/>
                <w:szCs w:val="24"/>
              </w:rPr>
            </w:pP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8">
              <w:r>
                <w:rPr>
                  <w:rStyle w:val="Hyperlink"/>
                  <w:rFonts w:cs="Arial" w:ascii="Arial" w:hAnsi="Arial"/>
                  <w:sz w:val="24"/>
                  <w:szCs w:val="24"/>
                  <w:u w:val="single"/>
                </w:rPr>
                <w:t>https://www.vmi.lt/evmi/mokesciu-moketoju-informacija</w:t>
              </w:r>
            </w:hyperlink>
            <w:r>
              <w:rPr>
                <w:rFonts w:cs="Arial" w:ascii="Arial" w:hAnsi="Arial"/>
                <w:sz w:val="24"/>
                <w:szCs w:val="24"/>
              </w:rPr>
              <w:t xml:space="preserve"> skelbiamą informaciją.</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w:t>
            </w:r>
            <w:r>
              <w:rPr>
                <w:rFonts w:eastAsia="Times New Roman" w:cs="Arial" w:ascii="Arial" w:hAnsi="Arial"/>
                <w:sz w:val="24"/>
                <w:szCs w:val="24"/>
              </w:rPr>
              <w:t xml:space="preserve"> kai jis </w:t>
            </w:r>
            <w:r>
              <w:rPr>
                <w:rFonts w:cs="Arial" w:ascii="Arial" w:hAnsi="Arial"/>
                <w:color w:themeColor="text1"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c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rmal"/>
              <w:spacing w:lineRule="auto" w:line="240"/>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160"/>
              <w:rPr>
                <w:rFonts w:ascii="Arial" w:hAnsi="Arial" w:cs="Arial"/>
                <w:bCs/>
                <w:iCs/>
                <w:sz w:val="24"/>
                <w:szCs w:val="24"/>
                <w:lang w:eastAsia="en-US"/>
              </w:rPr>
            </w:pPr>
            <w:hyperlink r:id="rId9">
              <w:r>
                <w:rPr>
                  <w:rStyle w:val="Hyperlink"/>
                  <w:rFonts w:cs="Arial" w:ascii="Arial" w:hAnsi="Arial"/>
                  <w:sz w:val="24"/>
                  <w:szCs w:val="24"/>
                  <w:u w:val="single"/>
                </w:rPr>
                <w:t>https://kt.gov.lt/lt/atviri-duomenys/diskvalifikavimas-is-viesuju-pirkimu</w:t>
              </w:r>
            </w:hyperlink>
            <w:r>
              <w:rPr>
                <w:rFonts w:cs="Arial" w:ascii="Arial" w:hAnsi="Arial"/>
                <w:sz w:val="24"/>
                <w:szCs w:val="24"/>
              </w:rPr>
              <w:t xml:space="preserve"> skelbiamą informaciją.</w:t>
            </w:r>
          </w:p>
        </w:tc>
      </w:tr>
      <w:tr>
        <w:trPr/>
        <w:tc>
          <w:tcPr>
            <w:tcW w:w="626" w:type="dxa"/>
            <w:tcBorders>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6"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Tiekėjas yra neatlikęs jam paskirtos baudžiamojo poveikio priemonės – uždraudimo juridiniam asmeniui dalyvauti viešuosiuose pirkimuose.</w:t>
            </w:r>
          </w:p>
        </w:tc>
        <w:tc>
          <w:tcPr>
            <w:tcW w:w="2882" w:type="dxa"/>
            <w:tcBorders>
              <w:left w:val="single" w:sz="4" w:space="0" w:color="000000"/>
              <w:bottom w:val="single" w:sz="4" w:space="0" w:color="000000"/>
              <w:right w:val="single" w:sz="4" w:space="0" w:color="000000"/>
            </w:tcBorders>
          </w:tcPr>
          <w:p>
            <w:pPr>
              <w:pStyle w:val="NoSpacing"/>
              <w:jc w:val="both"/>
              <w:rPr>
                <w:color w:val="000000"/>
              </w:rPr>
            </w:pPr>
            <w:r>
              <w:rPr>
                <w:rFonts w:eastAsia="Yu Mincho" w:cs="Arial" w:ascii="Verdana" w:hAnsi="Verdana"/>
                <w:b/>
                <w:bCs/>
                <w:color w:val="000000"/>
                <w:sz w:val="22"/>
                <w:szCs w:val="22"/>
                <w:lang w:eastAsia="en-US"/>
              </w:rPr>
              <w:t>VPĮ 46 straipsnio 2¹ dalis</w:t>
            </w:r>
          </w:p>
          <w:p>
            <w:pPr>
              <w:pStyle w:val="NoSpacing"/>
              <w:jc w:val="both"/>
              <w:rPr>
                <w:rFonts w:ascii="Verdana" w:hAnsi="Verdana" w:eastAsia="Yu Mincho" w:cs="Arial"/>
                <w:b/>
                <w:bCs/>
                <w:color w:val="000000"/>
                <w:sz w:val="22"/>
                <w:szCs w:val="22"/>
              </w:rPr>
            </w:pPr>
            <w:r>
              <w:rPr>
                <w:rFonts w:eastAsia="Yu Mincho" w:cs="Arial" w:ascii="Verdana" w:hAnsi="Verdana"/>
                <w:b/>
                <w:bCs/>
                <w:color w:val="000000"/>
                <w:sz w:val="22"/>
                <w:szCs w:val="22"/>
              </w:rPr>
            </w:r>
          </w:p>
          <w:p>
            <w:pPr>
              <w:pStyle w:val="NoSpacing"/>
              <w:jc w:val="both"/>
              <w:rPr>
                <w:color w:val="000000"/>
              </w:rPr>
            </w:pPr>
            <w:r>
              <w:rPr>
                <w:rFonts w:eastAsia="Yu Mincho" w:cs="Arial" w:ascii="Verdana" w:hAnsi="Verdana"/>
                <w:color w:val="000000"/>
                <w:sz w:val="22"/>
                <w:szCs w:val="22"/>
                <w:lang w:eastAsia="en-US"/>
              </w:rPr>
              <w:t>EBVPD III dalies D2 punktas</w:t>
            </w:r>
          </w:p>
        </w:tc>
        <w:tc>
          <w:tcPr>
            <w:tcW w:w="2430"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Iš Lietuvoje įsteigtų subjektų įrodančių dokumentų nereikalaujama. Užtenka pateikto EBVPD.</w:t>
            </w:r>
          </w:p>
          <w:p>
            <w:pPr>
              <w:pStyle w:val="NoSpacing"/>
              <w:jc w:val="both"/>
              <w:rPr>
                <w:rFonts w:ascii="Verdana" w:hAnsi="Verdana"/>
                <w:color w:val="000000"/>
                <w:sz w:val="22"/>
                <w:szCs w:val="22"/>
              </w:rPr>
            </w:pPr>
            <w:r>
              <w:rPr>
                <w:rFonts w:ascii="Verdana" w:hAnsi="Verdana"/>
                <w:color w:val="000000"/>
                <w:sz w:val="22"/>
                <w:szCs w:val="22"/>
              </w:rPr>
            </w:r>
          </w:p>
        </w:tc>
      </w:tr>
    </w:tbl>
    <w:p>
      <w:pPr>
        <w:pStyle w:val="BodyText"/>
        <w:spacing w:lineRule="auto" w:line="240" w:before="0" w:after="0"/>
        <w:ind w:hanging="0"/>
        <w:rPr>
          <w:rFonts w:ascii="Arial" w:hAnsi="Arial" w:cs="Arial"/>
          <w:sz w:val="24"/>
          <w:szCs w:val="24"/>
        </w:rPr>
      </w:pPr>
      <w:r>
        <w:rPr>
          <w:rFonts w:cs="Arial" w:ascii="Arial" w:hAnsi="Arial"/>
          <w:sz w:val="24"/>
          <w:szCs w:val="24"/>
        </w:rPr>
      </w:r>
    </w:p>
    <w:p>
      <w:pPr>
        <w:pStyle w:val="Normal"/>
        <w:spacing w:lineRule="auto" w:line="240"/>
        <w:jc w:val="center"/>
        <w:rPr>
          <w:rFonts w:ascii="Arial" w:hAnsi="Arial" w:cs="Arial"/>
          <w:smallCaps/>
          <w:sz w:val="24"/>
          <w:szCs w:val="24"/>
        </w:rPr>
      </w:pPr>
      <w:r>
        <w:rPr>
          <w:rFonts w:cs="Arial" w:ascii="Arial" w:hAnsi="Arial"/>
          <w:smallCaps/>
          <w:sz w:val="24"/>
          <w:szCs w:val="24"/>
        </w:rPr>
        <w:t>______________</w:t>
      </w:r>
      <w:r>
        <w:br w:type="page"/>
      </w:r>
    </w:p>
    <w:p>
      <w:pPr>
        <w:pStyle w:val="Normal"/>
        <w:spacing w:lineRule="auto" w:line="240" w:before="0" w:after="0"/>
        <w:jc w:val="right"/>
        <w:rPr>
          <w:rFonts w:ascii="Arial" w:hAnsi="Arial" w:cs="Arial"/>
          <w:b/>
          <w:bCs/>
          <w:smallCaps/>
          <w:sz w:val="24"/>
          <w:szCs w:val="24"/>
        </w:rPr>
      </w:pPr>
      <w:bookmarkStart w:id="56" w:name="_Hlk178606148"/>
      <w:bookmarkStart w:id="57" w:name="_Hlk89874144"/>
      <w:bookmarkEnd w:id="56"/>
      <w:bookmarkEnd w:id="57"/>
      <w:r>
        <w:rPr>
          <w:rFonts w:eastAsia="Calibri" w:cs="Arial" w:ascii="Arial" w:hAnsi="Arial"/>
          <w:sz w:val="24"/>
          <w:szCs w:val="24"/>
        </w:rPr>
        <w:t>Pirkimo sąlygų 3 priedo priedas</w:t>
      </w:r>
      <w:r>
        <w:rPr>
          <w:rStyle w:val="Inaosramenys"/>
          <w:rFonts w:cs="Arial" w:ascii="Arial" w:hAnsi="Arial"/>
          <w:sz w:val="24"/>
          <w:szCs w:val="24"/>
        </w:rPr>
        <w:t xml:space="preserve"> </w:t>
      </w:r>
      <w:r>
        <w:rPr>
          <w:rStyle w:val="FootnoteReference"/>
          <w:rFonts w:cs="Arial" w:ascii="Arial" w:hAnsi="Arial"/>
          <w:sz w:val="24"/>
          <w:szCs w:val="24"/>
        </w:rPr>
        <w:footnoteReference w:id="5"/>
      </w:r>
    </w:p>
    <w:p>
      <w:pPr>
        <w:pStyle w:val="Normal"/>
        <w:tabs>
          <w:tab w:val="clear" w:pos="1296"/>
          <w:tab w:val="left" w:pos="1560" w:leader="none"/>
        </w:tabs>
        <w:spacing w:lineRule="auto" w:line="240" w:before="0" w:after="0"/>
        <w:jc w:val="center"/>
        <w:rPr>
          <w:rFonts w:ascii="Arial" w:hAnsi="Arial" w:cs="Arial"/>
          <w:b/>
          <w:sz w:val="24"/>
          <w:szCs w:val="24"/>
        </w:rPr>
      </w:pPr>
      <w:r>
        <w:rPr>
          <w:rFonts w:cs="Arial" w:ascii="Arial" w:hAnsi="Arial"/>
          <w:b/>
          <w:sz w:val="24"/>
          <w:szCs w:val="24"/>
        </w:rPr>
      </w:r>
      <w:bookmarkStart w:id="58" w:name="_Hlk102747449"/>
      <w:bookmarkStart w:id="59" w:name="_Hlk89874144_Copy_1"/>
      <w:bookmarkStart w:id="60" w:name="_Hlk102747449"/>
      <w:bookmarkStart w:id="61" w:name="_Hlk89874144_Copy_1"/>
      <w:bookmarkEnd w:id="61"/>
    </w:p>
    <w:p>
      <w:pPr>
        <w:pStyle w:val="Normal"/>
        <w:tabs>
          <w:tab w:val="clear" w:pos="1296"/>
          <w:tab w:val="left" w:pos="1560" w:leader="none"/>
        </w:tabs>
        <w:spacing w:lineRule="auto" w:line="240" w:before="0" w:after="0"/>
        <w:jc w:val="center"/>
        <w:rPr>
          <w:rFonts w:ascii="Arial" w:hAnsi="Arial" w:cs="Arial"/>
          <w:b/>
          <w:sz w:val="24"/>
          <w:szCs w:val="24"/>
        </w:rPr>
      </w:pPr>
      <w:bookmarkStart w:id="62" w:name="_Hlk536433953"/>
      <w:r>
        <w:rPr>
          <w:rFonts w:cs="Arial" w:ascii="Arial" w:hAnsi="Arial"/>
          <w:b/>
          <w:sz w:val="24"/>
          <w:szCs w:val="24"/>
        </w:rPr>
        <w:t>TIEKĖJO, KURIS YRA JURIDINIS ASMUO, VALDYMO AR PRIEŽIŪROS ORGANO NARIŲ AR KITŲ ASMENŲ, TURINČIŲ TEISĘ ATSTOVAUTI TIEKĖJUI AR JĮ KONTROLIUOTI, JO VARDU PRIIMTI SPRENDIMĄ, SUDARYTI SANDORĮ, SĄRAŠAS</w:t>
      </w:r>
      <w:bookmarkEnd w:id="62"/>
      <w:r>
        <w:rPr>
          <w:rStyle w:val="FootnoteReference"/>
          <w:rFonts w:cs="Arial" w:ascii="Arial" w:hAnsi="Arial"/>
          <w:b/>
          <w:sz w:val="24"/>
          <w:szCs w:val="24"/>
        </w:rPr>
        <w:footnoteReference w:id="6"/>
      </w:r>
      <w:bookmarkEnd w:id="60"/>
    </w:p>
    <w:p>
      <w:pPr>
        <w:pStyle w:val="Normal"/>
        <w:tabs>
          <w:tab w:val="clear" w:pos="1296"/>
          <w:tab w:val="left" w:pos="1560" w:leader="none"/>
        </w:tabs>
        <w:spacing w:lineRule="auto" w:line="240" w:before="0" w:after="0"/>
        <w:rPr>
          <w:rFonts w:ascii="Arial" w:hAnsi="Arial" w:cs="Arial"/>
          <w:sz w:val="24"/>
          <w:szCs w:val="24"/>
        </w:rPr>
      </w:pPr>
      <w:r>
        <w:rPr>
          <w:rFonts w:cs="Arial" w:ascii="Arial" w:hAnsi="Arial"/>
          <w:sz w:val="24"/>
          <w:szCs w:val="24"/>
        </w:rPr>
      </w:r>
    </w:p>
    <w:tbl>
      <w:tblPr>
        <w:tblStyle w:val="Lentelstinklelis"/>
        <w:tblW w:w="9776"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1979"/>
        <w:gridCol w:w="2268"/>
        <w:gridCol w:w="2268"/>
        <w:gridCol w:w="3260"/>
      </w:tblGrid>
      <w:tr>
        <w:trPr/>
        <w:tc>
          <w:tcPr>
            <w:tcW w:w="1979" w:type="dxa"/>
            <w:tcBorders/>
          </w:tcPr>
          <w:p>
            <w:pPr>
              <w:pStyle w:val="Normal"/>
              <w:widowControl/>
              <w:tabs>
                <w:tab w:val="clear" w:pos="1296"/>
                <w:tab w:val="left" w:pos="1560" w:leader="none"/>
              </w:tabs>
              <w:suppressAutoHyphens w:val="true"/>
              <w:spacing w:lineRule="auto" w:line="240" w:before="0" w:after="0"/>
              <w:jc w:val="center"/>
              <w:rPr>
                <w:rFonts w:ascii="Arial" w:hAnsi="Arial" w:cs="Arial"/>
                <w:b/>
                <w:sz w:val="24"/>
                <w:szCs w:val="24"/>
              </w:rPr>
            </w:pPr>
            <w:r>
              <w:rPr>
                <w:rFonts w:eastAsia="" w:cs="Arial" w:ascii="Arial" w:hAnsi="Arial"/>
                <w:b/>
                <w:kern w:val="0"/>
                <w:sz w:val="24"/>
                <w:szCs w:val="24"/>
                <w:lang w:val="lt-LT" w:eastAsia="en-US" w:bidi="ar-SA"/>
              </w:rPr>
              <w:t>Tiekėjo pavadinimas ir kodas</w:t>
            </w:r>
          </w:p>
        </w:tc>
        <w:tc>
          <w:tcPr>
            <w:tcW w:w="2268" w:type="dxa"/>
            <w:tcBorders/>
          </w:tcPr>
          <w:p>
            <w:pPr>
              <w:pStyle w:val="Normal"/>
              <w:widowControl/>
              <w:tabs>
                <w:tab w:val="clear" w:pos="1296"/>
                <w:tab w:val="left" w:pos="1560" w:leader="none"/>
              </w:tabs>
              <w:suppressAutoHyphens w:val="true"/>
              <w:spacing w:lineRule="auto" w:line="240" w:before="0" w:after="0"/>
              <w:jc w:val="center"/>
              <w:rPr>
                <w:rFonts w:ascii="Arial" w:hAnsi="Arial" w:cs="Arial"/>
                <w:b/>
                <w:sz w:val="24"/>
                <w:szCs w:val="24"/>
              </w:rPr>
            </w:pPr>
            <w:r>
              <w:rPr>
                <w:rFonts w:eastAsia="" w:cs="Arial" w:ascii="Arial" w:hAnsi="Arial"/>
                <w:b/>
                <w:kern w:val="0"/>
                <w:sz w:val="24"/>
                <w:szCs w:val="24"/>
                <w:lang w:val="lt-LT" w:eastAsia="en-US" w:bidi="ar-SA"/>
              </w:rPr>
              <w:t>Valdymo organo nariai (jeigu yra valdymo organas)</w:t>
            </w:r>
          </w:p>
        </w:tc>
        <w:tc>
          <w:tcPr>
            <w:tcW w:w="2268" w:type="dxa"/>
            <w:tcBorders/>
          </w:tcPr>
          <w:p>
            <w:pPr>
              <w:pStyle w:val="Normal"/>
              <w:widowControl/>
              <w:tabs>
                <w:tab w:val="clear" w:pos="1296"/>
                <w:tab w:val="left" w:pos="1560" w:leader="none"/>
              </w:tabs>
              <w:suppressAutoHyphens w:val="true"/>
              <w:spacing w:lineRule="auto" w:line="240" w:before="0" w:after="0"/>
              <w:jc w:val="center"/>
              <w:rPr>
                <w:rFonts w:ascii="Arial" w:hAnsi="Arial" w:cs="Arial"/>
                <w:b/>
                <w:sz w:val="24"/>
                <w:szCs w:val="24"/>
              </w:rPr>
            </w:pPr>
            <w:r>
              <w:rPr>
                <w:rFonts w:eastAsia="" w:cs="Arial" w:ascii="Arial" w:hAnsi="Arial"/>
                <w:b/>
                <w:kern w:val="0"/>
                <w:sz w:val="24"/>
                <w:szCs w:val="24"/>
                <w:lang w:val="lt-LT" w:eastAsia="en-US" w:bidi="ar-SA"/>
              </w:rPr>
              <w:t>Priežiūros organo nariai (jeigu yra priežiūros organas)</w:t>
            </w:r>
          </w:p>
        </w:tc>
        <w:tc>
          <w:tcPr>
            <w:tcW w:w="3260" w:type="dxa"/>
            <w:tcBorders/>
          </w:tcPr>
          <w:p>
            <w:pPr>
              <w:pStyle w:val="Normal"/>
              <w:widowControl/>
              <w:tabs>
                <w:tab w:val="clear" w:pos="1296"/>
                <w:tab w:val="left" w:pos="1560" w:leader="none"/>
              </w:tabs>
              <w:suppressAutoHyphens w:val="true"/>
              <w:spacing w:lineRule="auto" w:line="240" w:before="0" w:after="0"/>
              <w:jc w:val="center"/>
              <w:rPr>
                <w:rFonts w:ascii="Arial" w:hAnsi="Arial" w:cs="Arial"/>
                <w:b/>
                <w:sz w:val="24"/>
                <w:szCs w:val="24"/>
              </w:rPr>
            </w:pPr>
            <w:r>
              <w:rPr>
                <w:rFonts w:eastAsia="" w:cs="Arial" w:ascii="Arial" w:hAnsi="Arial"/>
                <w:b/>
                <w:kern w:val="0"/>
                <w:sz w:val="24"/>
                <w:szCs w:val="24"/>
                <w:lang w:val="lt-LT" w:eastAsia="en-US" w:bidi="ar-SA"/>
              </w:rPr>
              <w:t>Kiti asmenys , turintys teisę atstovauti tiekėjui ar jį kontroliuoti, jo vardu priimti sprendimą, sudaryti sandorį (jeigu tokie yra)</w:t>
            </w:r>
          </w:p>
        </w:tc>
      </w:tr>
      <w:tr>
        <w:trPr/>
        <w:tc>
          <w:tcPr>
            <w:tcW w:w="1979"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c>
          <w:tcPr>
            <w:tcW w:w="2268"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c>
          <w:tcPr>
            <w:tcW w:w="2268"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c>
          <w:tcPr>
            <w:tcW w:w="3260"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r>
      <w:tr>
        <w:trPr/>
        <w:tc>
          <w:tcPr>
            <w:tcW w:w="1979"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c>
          <w:tcPr>
            <w:tcW w:w="2268"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c>
          <w:tcPr>
            <w:tcW w:w="2268"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c>
          <w:tcPr>
            <w:tcW w:w="3260"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r>
      <w:tr>
        <w:trPr/>
        <w:tc>
          <w:tcPr>
            <w:tcW w:w="1979"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c>
          <w:tcPr>
            <w:tcW w:w="2268"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c>
          <w:tcPr>
            <w:tcW w:w="2268"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c>
          <w:tcPr>
            <w:tcW w:w="3260" w:type="dxa"/>
            <w:tcBorders/>
          </w:tcPr>
          <w:p>
            <w:pPr>
              <w:pStyle w:val="Normal"/>
              <w:widowControl/>
              <w:tabs>
                <w:tab w:val="clear" w:pos="1296"/>
                <w:tab w:val="left" w:pos="1560" w:leader="none"/>
              </w:tabs>
              <w:suppressAutoHyphens w:val="true"/>
              <w:spacing w:lineRule="auto" w:line="240" w:before="0" w:after="0"/>
              <w:jc w:val="left"/>
              <w:rPr>
                <w:rFonts w:ascii="Arial" w:hAnsi="Arial" w:cs="Arial"/>
                <w:sz w:val="24"/>
                <w:szCs w:val="24"/>
              </w:rPr>
            </w:pPr>
            <w:r>
              <w:rPr>
                <w:rFonts w:cs="Arial" w:ascii="Arial" w:hAnsi="Arial"/>
                <w:sz w:val="24"/>
                <w:szCs w:val="24"/>
              </w:rPr>
            </w:r>
          </w:p>
        </w:tc>
      </w:tr>
    </w:tbl>
    <w:p>
      <w:pPr>
        <w:pStyle w:val="Normal"/>
        <w:tabs>
          <w:tab w:val="clear" w:pos="1296"/>
          <w:tab w:val="left" w:pos="1560" w:leader="none"/>
        </w:tabs>
        <w:spacing w:lineRule="auto" w:line="240" w:before="0" w:after="0"/>
        <w:rPr>
          <w:rFonts w:ascii="Arial" w:hAnsi="Arial" w:cs="Arial"/>
          <w:sz w:val="24"/>
          <w:szCs w:val="24"/>
        </w:rPr>
      </w:pPr>
      <w:r>
        <w:rPr>
          <w:rFonts w:cs="Arial" w:ascii="Arial" w:hAnsi="Arial"/>
          <w:sz w:val="24"/>
          <w:szCs w:val="24"/>
        </w:rPr>
      </w:r>
    </w:p>
    <w:p>
      <w:pPr>
        <w:pStyle w:val="Normal"/>
        <w:spacing w:lineRule="auto" w:line="240"/>
        <w:jc w:val="center"/>
        <w:rPr>
          <w:rFonts w:ascii="Arial" w:hAnsi="Arial" w:cs="Arial"/>
          <w:smallCaps/>
          <w:sz w:val="24"/>
          <w:szCs w:val="24"/>
        </w:rPr>
      </w:pPr>
      <w:r>
        <w:rPr>
          <w:rFonts w:cs="Arial" w:ascii="Arial" w:hAnsi="Arial"/>
          <w:smallCaps/>
          <w:sz w:val="24"/>
          <w:szCs w:val="24"/>
        </w:rPr>
        <w:t>______________</w:t>
      </w:r>
    </w:p>
    <w:p>
      <w:pPr>
        <w:pStyle w:val="Normal"/>
        <w:tabs>
          <w:tab w:val="clear" w:pos="1296"/>
          <w:tab w:val="left" w:pos="1560" w:leader="none"/>
        </w:tabs>
        <w:spacing w:lineRule="auto" w:line="240" w:before="0" w:after="0"/>
        <w:rPr>
          <w:rFonts w:ascii="Arial" w:hAnsi="Arial" w:cs="Arial"/>
          <w:sz w:val="24"/>
          <w:szCs w:val="24"/>
        </w:rPr>
      </w:pPr>
      <w:r>
        <w:rPr>
          <w:rFonts w:cs="Arial" w:ascii="Arial" w:hAnsi="Arial"/>
          <w:sz w:val="24"/>
          <w:szCs w:val="24"/>
        </w:rPr>
      </w:r>
      <w:r>
        <w:br w:type="page"/>
      </w:r>
    </w:p>
    <w:p>
      <w:pPr>
        <w:pStyle w:val="Normal"/>
        <w:tabs>
          <w:tab w:val="clear" w:pos="1296"/>
          <w:tab w:val="left" w:pos="1560" w:leader="none"/>
        </w:tabs>
        <w:spacing w:lineRule="auto" w:line="240" w:before="0" w:after="0"/>
        <w:ind w:left="6480"/>
        <w:jc w:val="both"/>
        <w:rPr>
          <w:rFonts w:ascii="Arial" w:hAnsi="Arial" w:cs="Arial"/>
          <w:sz w:val="24"/>
          <w:szCs w:val="24"/>
        </w:rPr>
      </w:pPr>
      <w:bookmarkStart w:id="63" w:name="_Hlk152062951"/>
      <w:bookmarkStart w:id="64" w:name="_Ref38533412"/>
      <w:bookmarkStart w:id="65" w:name="_Ref38291334"/>
      <w:bookmarkStart w:id="66" w:name="_Ref38291223"/>
      <w:r>
        <w:rPr>
          <w:rFonts w:cs="Arial" w:ascii="Arial" w:hAnsi="Arial"/>
          <w:sz w:val="24"/>
          <w:szCs w:val="24"/>
        </w:rPr>
        <w:t>Pirkimo sąlygų 4 priedas „Tiekėjų kvalifikacijos reikalavimai ir reikalaujami kokybės bei aplinkos apsaugos vadybos sistemų standartai“</w:t>
      </w:r>
      <w:bookmarkEnd w:id="63"/>
      <w:bookmarkEnd w:id="64"/>
      <w:bookmarkEnd w:id="65"/>
      <w:bookmarkEnd w:id="66"/>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lang w:eastAsia="en-US"/>
        </w:rPr>
      </w:pPr>
      <w:r>
        <w:rPr>
          <w:rFonts w:cs="Arial" w:ascii="Arial" w:hAnsi="Arial"/>
          <w:b/>
          <w:bCs/>
          <w:sz w:val="24"/>
          <w:szCs w:val="24"/>
        </w:rPr>
        <w:t xml:space="preserve">TIEKĖJŲ KVALIFIKACIJOS REIKALAVIMAI IR REIKALAVIMAI LAIKYTIS </w:t>
      </w:r>
      <w:r>
        <w:rPr>
          <w:rFonts w:cs="Arial" w:ascii="Arial" w:hAnsi="Arial"/>
          <w:b/>
          <w:bCs/>
          <w:sz w:val="24"/>
          <w:szCs w:val="24"/>
          <w:lang w:eastAsia="en-US"/>
        </w:rPr>
        <w:t>KOKYBĖS VADYBOS SISTEMOS IR (ARBA) APLINKOS APSAUGOS VADYBOS SISTEMOS STANDARTŲ</w:t>
      </w:r>
    </w:p>
    <w:p>
      <w:pPr>
        <w:pStyle w:val="Normal"/>
        <w:spacing w:lineRule="auto" w:line="240" w:before="0" w:after="0"/>
        <w:jc w:val="center"/>
        <w:rPr>
          <w:rFonts w:ascii="Arial" w:hAnsi="Arial" w:cs="Arial"/>
          <w:b/>
          <w:bCs/>
          <w:sz w:val="24"/>
          <w:szCs w:val="24"/>
          <w:lang w:eastAsia="en-US"/>
        </w:rPr>
      </w:pPr>
      <w:r>
        <w:rPr>
          <w:rFonts w:cs="Arial" w:ascii="Arial" w:hAnsi="Arial"/>
          <w:b/>
          <w:bCs/>
          <w:sz w:val="24"/>
          <w:szCs w:val="24"/>
          <w:lang w:eastAsia="en-US"/>
        </w:rPr>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lang w:eastAsia="en-US"/>
        </w:rPr>
        <w:t>1. Tiekėjo kvalifikacija turi atitikti šiame priede nustatytus reikalavimus kvalifikacijai.</w:t>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rPr>
        <w:t xml:space="preserve">2. </w:t>
      </w:r>
      <w:r>
        <w:rPr>
          <w:rFonts w:eastAsia="Calibri" w:cs="Arial" w:ascii="Arial" w:hAnsi="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lang w:eastAsia="en-US"/>
        </w:rPr>
        <w:t>3.</w:t>
      </w:r>
      <w:r>
        <w:rPr>
          <w:rFonts w:eastAsia="Calibri" w:cs="Arial" w:ascii="Arial" w:hAnsi="Arial"/>
          <w:i/>
          <w:iCs/>
          <w:sz w:val="24"/>
          <w:szCs w:val="24"/>
        </w:rPr>
        <w:t xml:space="preserve"> </w:t>
      </w:r>
      <w:r>
        <w:rPr>
          <w:rFonts w:cs="Arial" w:ascii="Arial" w:hAnsi="Arial"/>
          <w:sz w:val="24"/>
          <w:szCs w:val="24"/>
        </w:rPr>
        <w:t>Tiekėjas gali pasitelkti pirkimo sutarčiai įvykdyti kitus subtiekėjus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subtiekėjai turi būti nurodyti pasiūlymo formoje. Tiekėjas įsipareigoja, kad pirkimo sutartį vykdys tik tokią teisę turintys fiziniai ir/ar juridiniai asmenys.</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5. Perkančioji organizacija dokumentų, patvirtinančių tiekėjo atitiktį kvalifikacijos reikalavimams (išskyrus kartu su pasiūlymu reikalaujamus pateikti dokumentus) ir aplinkos apsaugos vadybos sistemos standartams, reikalaus tik iš ekonomiškai naudingiausią pasiūlymą pateikusio dalyvio.</w:t>
      </w:r>
    </w:p>
    <w:p>
      <w:pPr>
        <w:pStyle w:val="ListParagraph"/>
        <w:spacing w:lineRule="auto" w:line="240" w:before="0" w:after="0"/>
        <w:ind w:firstLine="567" w:left="0"/>
        <w:contextualSpacing/>
        <w:jc w:val="both"/>
        <w:rPr>
          <w:rFonts w:ascii="Arial" w:hAnsi="Arial" w:eastAsia="Calibri" w:cs="Arial" w:eastAsiaTheme="minorHAnsi"/>
          <w:b/>
          <w:bCs/>
        </w:rPr>
      </w:pPr>
      <w:r>
        <w:rPr>
          <w:rFonts w:eastAsia="Calibri" w:cs="Arial" w:eastAsiaTheme="minorHAnsi" w:ascii="Arial" w:hAnsi="Arial"/>
          <w:b/>
          <w:bCs/>
        </w:rPr>
      </w:r>
    </w:p>
    <w:p>
      <w:pPr>
        <w:pStyle w:val="Normal"/>
        <w:spacing w:lineRule="auto" w:line="252" w:before="60" w:after="60"/>
        <w:jc w:val="center"/>
        <w:rPr>
          <w:rFonts w:ascii="Arial" w:hAnsi="Arial" w:eastAsia="Calibri" w:cs="Arial" w:eastAsiaTheme="minorHAnsi"/>
          <w:b/>
          <w:bCs/>
          <w:sz w:val="24"/>
          <w:szCs w:val="24"/>
        </w:rPr>
      </w:pPr>
      <w:r>
        <w:rPr>
          <w:rFonts w:eastAsia="Calibri" w:cs="Arial" w:ascii="Arial" w:hAnsi="Arial" w:eastAsiaTheme="minorHAnsi"/>
          <w:b/>
          <w:bCs/>
          <w:sz w:val="24"/>
          <w:szCs w:val="24"/>
        </w:rPr>
        <w:t>Tiekėjų kvalifikacijos reikalavimai</w:t>
      </w:r>
    </w:p>
    <w:tbl>
      <w:tblPr>
        <w:tblStyle w:val="Lentelstinklelis"/>
        <w:tblW w:w="9674" w:type="dxa"/>
        <w:jc w:val="left"/>
        <w:tblInd w:w="221" w:type="dxa"/>
        <w:tblLayout w:type="fixed"/>
        <w:tblCellMar>
          <w:top w:w="0" w:type="dxa"/>
          <w:left w:w="108" w:type="dxa"/>
          <w:bottom w:w="0" w:type="dxa"/>
          <w:right w:w="108" w:type="dxa"/>
        </w:tblCellMar>
        <w:tblLook w:firstRow="1" w:noVBand="1" w:lastRow="0" w:firstColumn="1" w:lastColumn="0" w:noHBand="0" w:val="04a0"/>
      </w:tblPr>
      <w:tblGrid>
        <w:gridCol w:w="585"/>
        <w:gridCol w:w="3240"/>
        <w:gridCol w:w="3238"/>
        <w:gridCol w:w="2610"/>
      </w:tblGrid>
      <w:tr>
        <w:trPr/>
        <w:tc>
          <w:tcPr>
            <w:tcW w:w="585" w:type="dxa"/>
            <w:tcBorders/>
            <w:shd w:color="auto" w:fill="DEEAF6" w:themeFill="accent5" w:themeFillTint="33" w:val="clear"/>
            <w:vAlign w:val="center"/>
          </w:tcPr>
          <w:p>
            <w:pPr>
              <w:pStyle w:val="Normal"/>
              <w:widowControl w:val="false"/>
              <w:suppressAutoHyphens w:val="true"/>
              <w:spacing w:lineRule="auto" w:line="240" w:before="0" w:after="0"/>
              <w:jc w:val="center"/>
              <w:rPr>
                <w:rFonts w:ascii="Arial" w:hAnsi="Arial" w:cs="Arial"/>
                <w:color w:val="000000"/>
                <w:sz w:val="22"/>
                <w:szCs w:val="22"/>
              </w:rPr>
            </w:pPr>
            <w:r>
              <w:rPr>
                <w:rFonts w:eastAsia="Calibri" w:cs="Arial" w:ascii="Arial" w:hAnsi="Arial" w:eastAsiaTheme="minorHAnsi"/>
                <w:b/>
                <w:bCs/>
                <w:color w:val="000000"/>
                <w:kern w:val="0"/>
                <w:sz w:val="22"/>
                <w:szCs w:val="22"/>
                <w:lang w:val="lt-LT" w:eastAsia="en-US" w:bidi="ar-SA"/>
              </w:rPr>
              <w:t>Eil. Nr.</w:t>
            </w:r>
          </w:p>
        </w:tc>
        <w:tc>
          <w:tcPr>
            <w:tcW w:w="3240" w:type="dxa"/>
            <w:tcBorders/>
            <w:shd w:color="auto" w:fill="DEEAF6" w:themeFill="accent5" w:themeFillTint="33" w:val="clear"/>
            <w:vAlign w:val="center"/>
          </w:tcPr>
          <w:p>
            <w:pPr>
              <w:pStyle w:val="Normal"/>
              <w:widowControl w:val="false"/>
              <w:suppressAutoHyphens w:val="true"/>
              <w:spacing w:lineRule="auto" w:line="240" w:before="0" w:after="0"/>
              <w:jc w:val="center"/>
              <w:rPr>
                <w:rFonts w:ascii="Arial" w:hAnsi="Arial" w:cs="Arial"/>
                <w:color w:val="000000"/>
                <w:sz w:val="22"/>
                <w:szCs w:val="22"/>
              </w:rPr>
            </w:pPr>
            <w:r>
              <w:rPr>
                <w:rFonts w:eastAsia="Calibri" w:cs="Arial" w:ascii="Arial" w:hAnsi="Arial" w:eastAsiaTheme="minorHAnsi"/>
                <w:b/>
                <w:bCs/>
                <w:color w:val="000000"/>
                <w:kern w:val="0"/>
                <w:sz w:val="22"/>
                <w:szCs w:val="22"/>
                <w:lang w:val="lt-LT" w:eastAsia="en-US" w:bidi="ar-SA"/>
              </w:rPr>
              <w:t>Kvalifikacijos reikalavimas</w:t>
            </w:r>
          </w:p>
        </w:tc>
        <w:tc>
          <w:tcPr>
            <w:tcW w:w="3238" w:type="dxa"/>
            <w:tcBorders/>
            <w:shd w:color="auto" w:fill="DEEAF6" w:themeFill="accent5" w:themeFillTint="33" w:val="clear"/>
            <w:vAlign w:val="center"/>
          </w:tcPr>
          <w:p>
            <w:pPr>
              <w:pStyle w:val="Western"/>
              <w:widowControl w:val="false"/>
              <w:suppressAutoHyphens w:val="true"/>
              <w:spacing w:lineRule="auto" w:line="240" w:beforeAutospacing="0" w:before="0" w:after="0"/>
              <w:jc w:val="center"/>
              <w:rPr>
                <w:rFonts w:ascii="Arial" w:hAnsi="Arial" w:cs="Arial"/>
              </w:rPr>
            </w:pPr>
            <w:r>
              <w:rPr>
                <w:rFonts w:cs="Arial" w:ascii="Arial" w:hAnsi="Arial"/>
                <w:b/>
                <w:bCs/>
                <w:kern w:val="0"/>
                <w:lang w:val="lt-LT" w:eastAsia="en-US" w:bidi="ar-SA"/>
              </w:rPr>
              <w:t>Atitiktį reikalavimui įrodantys dokumentai</w:t>
            </w:r>
          </w:p>
        </w:tc>
        <w:tc>
          <w:tcPr>
            <w:tcW w:w="2610" w:type="dxa"/>
            <w:tcBorders/>
            <w:shd w:color="auto" w:fill="DEEAF6" w:themeFill="accent5" w:themeFillTint="33" w:val="clear"/>
            <w:vAlign w:val="center"/>
          </w:tcPr>
          <w:p>
            <w:pPr>
              <w:pStyle w:val="Western"/>
              <w:widowControl w:val="false"/>
              <w:suppressAutoHyphens w:val="true"/>
              <w:spacing w:lineRule="auto" w:line="240" w:beforeAutospacing="0" w:before="0" w:after="0"/>
              <w:jc w:val="center"/>
              <w:rPr>
                <w:rFonts w:ascii="Arial" w:hAnsi="Arial" w:cs="Arial"/>
              </w:rPr>
            </w:pPr>
            <w:r>
              <w:rPr>
                <w:rFonts w:cs="Arial" w:ascii="Arial" w:hAnsi="Arial"/>
                <w:b/>
                <w:bCs/>
                <w:kern w:val="0"/>
                <w:lang w:val="lt-LT" w:eastAsia="en-US" w:bidi="ar-SA"/>
              </w:rPr>
              <w:t>Subjektas, kuris turi atitikti reikalavimą</w:t>
            </w:r>
          </w:p>
        </w:tc>
      </w:tr>
      <w:tr>
        <w:trPr>
          <w:trHeight w:val="341" w:hRule="atLeast"/>
        </w:trPr>
        <w:tc>
          <w:tcPr>
            <w:tcW w:w="585" w:type="dxa"/>
            <w:tcBorders/>
          </w:tcPr>
          <w:p>
            <w:pPr>
              <w:pStyle w:val="Normal"/>
              <w:widowControl w:val="false"/>
              <w:suppressAutoHyphens w:val="true"/>
              <w:spacing w:lineRule="auto" w:line="240" w:before="0" w:after="0"/>
              <w:jc w:val="center"/>
              <w:rPr>
                <w:rFonts w:ascii="Arial" w:hAnsi="Arial" w:eastAsia="Calibri" w:cs="Arial"/>
                <w:b/>
                <w:bCs/>
                <w:color w:val="000000"/>
                <w:sz w:val="22"/>
                <w:szCs w:val="22"/>
              </w:rPr>
            </w:pPr>
            <w:r>
              <w:rPr>
                <w:rFonts w:eastAsia="Calibri" w:cs="Arial" w:ascii="Arial" w:hAnsi="Arial"/>
                <w:b/>
                <w:bCs/>
                <w:color w:val="000000"/>
                <w:kern w:val="0"/>
                <w:sz w:val="22"/>
                <w:szCs w:val="22"/>
                <w:lang w:val="lt-LT" w:eastAsia="en-US" w:bidi="ar-SA"/>
              </w:rPr>
              <w:t>1</w:t>
            </w:r>
          </w:p>
        </w:tc>
        <w:tc>
          <w:tcPr>
            <w:tcW w:w="9088" w:type="dxa"/>
            <w:gridSpan w:val="3"/>
            <w:tcBorders/>
          </w:tcPr>
          <w:p>
            <w:pPr>
              <w:pStyle w:val="Normal"/>
              <w:widowControl/>
              <w:suppressAutoHyphens w:val="true"/>
              <w:spacing w:lineRule="auto" w:line="240" w:before="0" w:after="0"/>
              <w:jc w:val="both"/>
              <w:rPr>
                <w:rFonts w:ascii="Arial" w:hAnsi="Arial" w:cs="Arial"/>
                <w:b/>
                <w:sz w:val="22"/>
                <w:szCs w:val="22"/>
              </w:rPr>
            </w:pPr>
            <w:r>
              <w:rPr>
                <w:rFonts w:eastAsia="DengXian" w:cs="Arial" w:ascii="Arial" w:hAnsi="Arial"/>
                <w:b/>
                <w:bCs/>
                <w:color w:val="000000"/>
                <w:kern w:val="0"/>
                <w:sz w:val="22"/>
                <w:szCs w:val="22"/>
                <w:lang w:val="lt-LT" w:eastAsia="en-US" w:bidi="ar-SA"/>
              </w:rPr>
              <w:t>Techninis ir profesinis pajėgumas</w:t>
            </w:r>
          </w:p>
        </w:tc>
      </w:tr>
      <w:tr>
        <w:trPr/>
        <w:tc>
          <w:tcPr>
            <w:tcW w:w="585" w:type="dxa"/>
            <w:tcBorders/>
          </w:tcPr>
          <w:p>
            <w:pPr>
              <w:pStyle w:val="Normal"/>
              <w:widowControl w:val="false"/>
              <w:suppressAutoHyphens w:val="true"/>
              <w:spacing w:lineRule="auto" w:line="240" w:before="0" w:after="0"/>
              <w:jc w:val="center"/>
              <w:rPr>
                <w:rFonts w:ascii="Arial" w:hAnsi="Arial" w:cs="Arial"/>
                <w:color w:val="000000"/>
                <w:sz w:val="22"/>
                <w:szCs w:val="22"/>
              </w:rPr>
            </w:pPr>
            <w:r>
              <w:rPr>
                <w:rFonts w:eastAsia="Calibri" w:cs="Arial" w:ascii="Arial" w:hAnsi="Arial"/>
                <w:bCs/>
                <w:color w:val="000000"/>
                <w:kern w:val="0"/>
                <w:sz w:val="22"/>
                <w:szCs w:val="22"/>
                <w:lang w:val="lt-LT" w:eastAsia="en-US" w:bidi="ar-SA"/>
              </w:rPr>
              <w:t>1.1</w:t>
            </w:r>
          </w:p>
        </w:tc>
        <w:tc>
          <w:tcPr>
            <w:tcW w:w="3240" w:type="dxa"/>
            <w:tcBorders/>
          </w:tcPr>
          <w:p>
            <w:pPr>
              <w:pStyle w:val="Normal"/>
              <w:widowControl w:val="false"/>
              <w:shd w:val="clear" w:color="auto" w:fill="FFFFFF"/>
              <w:tabs>
                <w:tab w:val="clear" w:pos="1296"/>
                <w:tab w:val="left" w:pos="851" w:leader="none"/>
              </w:tabs>
              <w:suppressAutoHyphens w:val="true"/>
              <w:spacing w:lineRule="auto" w:line="240" w:before="0" w:after="0"/>
              <w:jc w:val="both"/>
              <w:rPr>
                <w:rFonts w:ascii="Arial" w:hAnsi="Arial" w:eastAsia="DengXian" w:cs="Arial"/>
                <w:sz w:val="22"/>
                <w:szCs w:val="22"/>
              </w:rPr>
            </w:pPr>
            <w:r>
              <w:rPr>
                <w:rFonts w:eastAsia="DengXian" w:cs="Arial" w:ascii="Arial" w:hAnsi="Arial"/>
                <w:kern w:val="0"/>
                <w:sz w:val="22"/>
                <w:szCs w:val="22"/>
                <w:lang w:val="lt-LT" w:eastAsia="en-US" w:bidi="ar-SA"/>
              </w:rPr>
              <w:t xml:space="preserve">Tiekėjas turi turėti bent 1 (vieną) atestuotą </w:t>
            </w:r>
            <w:r>
              <w:rPr>
                <w:rFonts w:eastAsia="DengXian" w:cs="Arial" w:ascii="Arial" w:hAnsi="Arial"/>
                <w:b/>
                <w:kern w:val="0"/>
                <w:sz w:val="22"/>
                <w:szCs w:val="22"/>
                <w:lang w:val="lt-LT" w:eastAsia="en-US" w:bidi="ar-SA"/>
              </w:rPr>
              <w:t>ypatingojo</w:t>
            </w:r>
            <w:r>
              <w:rPr>
                <w:rFonts w:eastAsia="DengXian" w:cs="Arial" w:ascii="Arial" w:hAnsi="Arial"/>
                <w:kern w:val="0"/>
                <w:sz w:val="22"/>
                <w:szCs w:val="22"/>
                <w:lang w:val="lt-LT" w:eastAsia="en-US" w:bidi="ar-SA"/>
              </w:rPr>
              <w:t xml:space="preserve"> </w:t>
            </w:r>
            <w:r>
              <w:rPr>
                <w:rFonts w:eastAsia="DengXian" w:cs="Arial" w:ascii="Arial" w:hAnsi="Arial"/>
                <w:b/>
                <w:bCs/>
                <w:kern w:val="0"/>
                <w:sz w:val="22"/>
                <w:szCs w:val="22"/>
                <w:lang w:val="lt-LT" w:eastAsia="en-US" w:bidi="ar-SA"/>
              </w:rPr>
              <w:t xml:space="preserve">statinio projekto vadovą </w:t>
            </w:r>
            <w:r>
              <w:rPr>
                <w:rFonts w:eastAsia="DengXian" w:cs="Arial" w:ascii="Arial" w:hAnsi="Arial"/>
                <w:kern w:val="0"/>
                <w:sz w:val="22"/>
                <w:szCs w:val="22"/>
                <w:lang w:val="lt-LT" w:eastAsia="en-US" w:bidi="ar-SA"/>
              </w:rPr>
              <w:t>(statinių grupės – negyvenamieji  pastatai, statinio paskirties grupė – visuomeninės), kuris per paskutinius 3 metus iki pasiūlymų pateikimo termino pabaigos yra vykdęs bent vieno objekto (ypatingojo statinio), kuriam buvo išduotas statybos leidimas, projekto vadovo funkcijas.</w:t>
            </w:r>
          </w:p>
          <w:p>
            <w:pPr>
              <w:pStyle w:val="Normal"/>
              <w:widowControl w:val="false"/>
              <w:shd w:val="clear" w:color="auto" w:fill="FFFFFF"/>
              <w:tabs>
                <w:tab w:val="clear" w:pos="1296"/>
                <w:tab w:val="left" w:pos="851" w:leader="none"/>
              </w:tabs>
              <w:suppressAutoHyphens w:val="true"/>
              <w:spacing w:lineRule="auto" w:line="240" w:before="0" w:after="0"/>
              <w:jc w:val="both"/>
              <w:rPr>
                <w:rFonts w:ascii="Arial" w:hAnsi="Arial" w:cs="Arial"/>
                <w:sz w:val="22"/>
                <w:szCs w:val="22"/>
              </w:rPr>
            </w:pPr>
            <w:r>
              <w:rPr>
                <w:rFonts w:cs="Arial" w:ascii="Arial" w:hAnsi="Arial"/>
                <w:sz w:val="22"/>
                <w:szCs w:val="22"/>
              </w:rPr>
            </w:r>
          </w:p>
          <w:p>
            <w:pPr>
              <w:pStyle w:val="Normal"/>
              <w:widowControl w:val="false"/>
              <w:shd w:val="clear" w:color="auto" w:fill="FFFFFF"/>
              <w:tabs>
                <w:tab w:val="clear" w:pos="1296"/>
                <w:tab w:val="left" w:pos="851" w:leader="none"/>
              </w:tabs>
              <w:suppressAutoHyphens w:val="true"/>
              <w:spacing w:lineRule="auto" w:line="240" w:before="0" w:after="0"/>
              <w:jc w:val="both"/>
              <w:rPr>
                <w:rFonts w:ascii="Arial" w:hAnsi="Arial" w:cs="Arial"/>
                <w:sz w:val="22"/>
                <w:szCs w:val="22"/>
              </w:rPr>
            </w:pPr>
            <w:r>
              <w:rPr>
                <w:rFonts w:cs="Arial" w:ascii="Arial" w:hAnsi="Arial"/>
                <w:sz w:val="22"/>
                <w:szCs w:val="22"/>
              </w:rPr>
            </w:r>
          </w:p>
          <w:p>
            <w:pPr>
              <w:pStyle w:val="Normal"/>
              <w:widowControl w:val="false"/>
              <w:shd w:val="clear" w:color="auto" w:fill="FFFFFF"/>
              <w:tabs>
                <w:tab w:val="clear" w:pos="1296"/>
                <w:tab w:val="left" w:pos="851" w:leader="none"/>
              </w:tabs>
              <w:suppressAutoHyphens w:val="true"/>
              <w:spacing w:lineRule="auto" w:line="240" w:before="0" w:after="0"/>
              <w:jc w:val="both"/>
              <w:rPr>
                <w:rFonts w:ascii="Arial" w:hAnsi="Arial" w:cs="Arial"/>
                <w:sz w:val="22"/>
                <w:szCs w:val="22"/>
              </w:rPr>
            </w:pPr>
            <w:r>
              <w:rPr>
                <w:rFonts w:eastAsia="" w:cs="Arial" w:ascii="Arial" w:hAnsi="Arial"/>
                <w:kern w:val="0"/>
                <w:sz w:val="22"/>
                <w:szCs w:val="22"/>
                <w:lang w:val="lt-LT" w:eastAsia="en-US" w:bidi="ar-SA"/>
              </w:rPr>
              <w:t>Tiekėjas turi pasiūlyti konkretų specialistą kiekvienai pirkimo daliai. Galima siūlyti atskirus arba tą patį specialistą skirtingoms pirkimo dalims.</w:t>
            </w:r>
          </w:p>
        </w:tc>
        <w:tc>
          <w:tcPr>
            <w:tcW w:w="3238" w:type="dxa"/>
            <w:tcBorders/>
          </w:tcPr>
          <w:p>
            <w:pPr>
              <w:pStyle w:val="Point1"/>
              <w:widowControl/>
              <w:tabs>
                <w:tab w:val="clear" w:pos="1296"/>
                <w:tab w:val="left" w:pos="429" w:leader="none"/>
              </w:tabs>
              <w:suppressAutoHyphens w:val="true"/>
              <w:spacing w:beforeAutospacing="0" w:before="0" w:afterAutospacing="0" w:after="0"/>
              <w:jc w:val="both"/>
              <w:rPr>
                <w:rFonts w:ascii="Arial" w:hAnsi="Arial" w:cs="Arial"/>
                <w:sz w:val="22"/>
                <w:szCs w:val="22"/>
              </w:rPr>
            </w:pPr>
            <w:r>
              <w:rPr>
                <w:rFonts w:eastAsia="Calibri" w:cs="Arial" w:ascii="Arial" w:hAnsi="Arial"/>
                <w:color w:val="000000"/>
                <w:kern w:val="0"/>
                <w:sz w:val="22"/>
                <w:szCs w:val="22"/>
                <w:lang w:val="lt-LT" w:eastAsia="en-US" w:bidi="ar-SA"/>
              </w:rPr>
              <w:t>1. Pateikiamas T</w:t>
            </w:r>
            <w:r>
              <w:rPr>
                <w:rFonts w:cs="Arial" w:ascii="Arial" w:hAnsi="Arial"/>
                <w:kern w:val="0"/>
                <w:sz w:val="22"/>
                <w:szCs w:val="22"/>
                <w:lang w:val="lt-LT" w:eastAsia="en-US" w:bidi="ar-SA"/>
              </w:rPr>
              <w:t>iekėjo patvirtintas siūlomų(-o) specialistų(-o) sąrašas, parengtas pagal specialiųjų pirkimo sąlygų 10</w:t>
            </w:r>
            <w:r>
              <w:rPr>
                <w:rFonts w:cs="Arial" w:ascii="Arial" w:hAnsi="Arial"/>
                <w:b/>
                <w:color w:val="000000"/>
                <w:kern w:val="0"/>
                <w:sz w:val="22"/>
                <w:szCs w:val="22"/>
                <w:lang w:val="lt-LT" w:eastAsia="en-US" w:bidi="ar-SA"/>
              </w:rPr>
              <w:t xml:space="preserve"> </w:t>
            </w:r>
            <w:r>
              <w:rPr>
                <w:rFonts w:cs="Arial" w:ascii="Arial" w:hAnsi="Arial"/>
                <w:color w:val="000000"/>
                <w:kern w:val="0"/>
                <w:sz w:val="22"/>
                <w:szCs w:val="22"/>
                <w:lang w:val="lt-LT" w:eastAsia="en-US" w:bidi="ar-SA"/>
              </w:rPr>
              <w:t>priedą</w:t>
            </w:r>
            <w:r>
              <w:rPr>
                <w:rFonts w:cs="Arial" w:ascii="Arial" w:hAnsi="Arial"/>
                <w:kern w:val="0"/>
                <w:sz w:val="22"/>
                <w:szCs w:val="22"/>
                <w:lang w:val="lt-LT" w:eastAsia="en-US" w:bidi="ar-SA"/>
              </w:rPr>
              <w:t>.</w:t>
            </w:r>
          </w:p>
          <w:p>
            <w:pPr>
              <w:pStyle w:val="Point1"/>
              <w:widowControl/>
              <w:tabs>
                <w:tab w:val="clear" w:pos="1296"/>
                <w:tab w:val="left" w:pos="429" w:leader="none"/>
              </w:tabs>
              <w:suppressAutoHyphens w:val="true"/>
              <w:spacing w:beforeAutospacing="0" w:before="0" w:afterAutospacing="0" w:after="0"/>
              <w:jc w:val="both"/>
              <w:rPr>
                <w:rFonts w:ascii="Arial" w:hAnsi="Arial" w:cs="Arial"/>
                <w:sz w:val="22"/>
                <w:szCs w:val="22"/>
              </w:rPr>
            </w:pPr>
            <w:r>
              <w:rPr>
                <w:rFonts w:eastAsia="DengXian" w:cs="Arial" w:ascii="Arial" w:hAnsi="Arial"/>
                <w:kern w:val="0"/>
                <w:sz w:val="22"/>
                <w:szCs w:val="22"/>
                <w:lang w:val="lt-LT" w:eastAsia="en-US" w:bidi="ar-SA"/>
              </w:rPr>
              <w:t xml:space="preserve">2. </w:t>
            </w:r>
            <w:r>
              <w:rPr>
                <w:rFonts w:cs="Arial" w:ascii="Arial" w:hAnsi="Arial"/>
                <w:kern w:val="0"/>
                <w:sz w:val="22"/>
                <w:szCs w:val="22"/>
                <w:lang w:val="lt-LT" w:eastAsia="en-US" w:bidi="ar-SA"/>
              </w:rPr>
              <w:t xml:space="preserve">Lietuvos Respublikos ir trečiųjų šalių piliečiams ir kitiems fiziniams asmenims (išskyrus užsienio šalies specialistus*) SSVA (iki 2022-04-30 SPSC) išduoti </w:t>
            </w:r>
            <w:r>
              <w:rPr>
                <w:rFonts w:cs="Arial" w:ascii="Arial" w:hAnsi="Arial"/>
                <w:b/>
                <w:bCs/>
                <w:kern w:val="0"/>
                <w:sz w:val="22"/>
                <w:szCs w:val="22"/>
                <w:lang w:val="lt-LT" w:eastAsia="en-US" w:bidi="ar-SA"/>
              </w:rPr>
              <w:t>kvalifikacijos atestatai</w:t>
            </w:r>
            <w:r>
              <w:rPr>
                <w:rFonts w:cs="Arial" w:ascii="Arial" w:hAnsi="Arial"/>
                <w:kern w:val="0"/>
                <w:sz w:val="22"/>
                <w:szCs w:val="22"/>
                <w:lang w:val="lt-LT" w:eastAsia="en-US" w:bidi="ar-SA"/>
              </w:rPr>
              <w:t xml:space="preserve">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pPr>
              <w:pStyle w:val="Normal"/>
              <w:widowControl w:val="false"/>
              <w:suppressAutoHyphens w:val="true"/>
              <w:spacing w:lineRule="auto" w:line="240" w:before="0" w:after="0"/>
              <w:jc w:val="both"/>
              <w:rPr>
                <w:rFonts w:ascii="Arial" w:hAnsi="Arial" w:cs="Arial"/>
                <w:sz w:val="22"/>
                <w:szCs w:val="22"/>
              </w:rPr>
            </w:pPr>
            <w:r>
              <w:rPr>
                <w:rFonts w:eastAsia="" w:cs="Arial" w:ascii="Arial" w:hAnsi="Arial"/>
                <w:kern w:val="0"/>
                <w:sz w:val="22"/>
                <w:szCs w:val="22"/>
                <w:lang w:val="lt-LT" w:eastAsia="en-US" w:bidi="ar-SA"/>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statinių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w:t>
            </w:r>
          </w:p>
          <w:p>
            <w:pPr>
              <w:pStyle w:val="Normal"/>
              <w:widowControl w:val="false"/>
              <w:suppressAutoHyphens w:val="true"/>
              <w:spacing w:lineRule="auto" w:line="240" w:before="0" w:after="0"/>
              <w:jc w:val="both"/>
              <w:rPr>
                <w:rFonts w:ascii="Arial" w:hAnsi="Arial" w:cs="Arial"/>
                <w:sz w:val="22"/>
                <w:szCs w:val="22"/>
              </w:rPr>
            </w:pPr>
            <w:r>
              <w:rPr>
                <w:rFonts w:eastAsia="" w:cs="Arial" w:ascii="Arial" w:hAnsi="Arial"/>
                <w:kern w:val="0"/>
                <w:sz w:val="22"/>
                <w:szCs w:val="22"/>
                <w:lang w:val="lt-LT" w:eastAsia="en-US" w:bidi="ar-SA"/>
              </w:rPr>
              <w:t>Teisės pripažinimo dokumentai turi būti gauti  iki pirkimo sutarties pasirašymo. Pirkimo vykdytojas informaciją apie Lietuvoje išduotus kvalifikacijos dokumentus pasitikrina SSVA registruose https://www.ssva.lt/cms/registrai.</w:t>
            </w:r>
          </w:p>
          <w:p>
            <w:pPr>
              <w:pStyle w:val="Normal"/>
              <w:widowControl w:val="false"/>
              <w:suppressAutoHyphens w:val="true"/>
              <w:spacing w:lineRule="auto" w:line="240" w:before="0" w:after="0"/>
              <w:jc w:val="both"/>
              <w:rPr>
                <w:rFonts w:ascii="Arial" w:hAnsi="Arial" w:cs="Arial"/>
                <w:sz w:val="22"/>
                <w:szCs w:val="22"/>
              </w:rPr>
            </w:pPr>
            <w:r>
              <w:rPr>
                <w:rFonts w:eastAsia="" w:cs="Arial" w:ascii="Arial" w:hAnsi="Arial"/>
                <w:kern w:val="0"/>
                <w:sz w:val="22"/>
                <w:szCs w:val="22"/>
                <w:lang w:val="lt-LT" w:eastAsia="en-US" w:bidi="ar-SA"/>
              </w:rPr>
              <w:t>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pPr>
              <w:pStyle w:val="Normal"/>
              <w:widowControl/>
              <w:suppressAutoHyphens w:val="true"/>
              <w:spacing w:lineRule="auto" w:line="240" w:before="0" w:after="0"/>
              <w:jc w:val="both"/>
              <w:rPr>
                <w:rFonts w:ascii="Arial" w:hAnsi="Arial" w:cs="Arial"/>
                <w:sz w:val="22"/>
                <w:szCs w:val="22"/>
              </w:rPr>
            </w:pPr>
            <w:r>
              <w:rPr>
                <w:rFonts w:eastAsia="" w:cs="Arial" w:ascii="Arial" w:hAnsi="Arial"/>
                <w:kern w:val="0"/>
                <w:sz w:val="22"/>
                <w:szCs w:val="22"/>
                <w:lang w:val="lt-LT" w:eastAsia="en-US" w:bidi="ar-SA"/>
              </w:rPr>
              <w:t>Pastaba: Jei kvalifikacijos dokumente yra nurodyta aukštesnė statinio kategorija, visa reikalaujama statinių grupė (neišskirti/nenurodyti pogrupiai) arba nurodytas konkretus pogrupis, atitinkantis nurodytą kvalifikacijos reikalavime, – tokie kvalifikacijos dokumentai yra tinkami.</w:t>
            </w:r>
          </w:p>
          <w:p>
            <w:pPr>
              <w:pStyle w:val="Normal"/>
              <w:widowControl/>
              <w:suppressAutoHyphens w:val="true"/>
              <w:spacing w:lineRule="auto" w:line="240" w:before="0" w:after="0"/>
              <w:jc w:val="both"/>
              <w:rPr>
                <w:rFonts w:ascii="Arial" w:hAnsi="Arial" w:cs="Arial"/>
                <w:sz w:val="22"/>
                <w:szCs w:val="22"/>
              </w:rPr>
            </w:pPr>
            <w:r>
              <w:rPr>
                <w:rFonts w:eastAsia="DengXian" w:cs="Arial" w:ascii="Arial" w:hAnsi="Arial"/>
                <w:kern w:val="0"/>
                <w:sz w:val="22"/>
                <w:szCs w:val="22"/>
                <w:lang w:val="lt-LT" w:eastAsia="en-US" w:bidi="ar-SA"/>
              </w:rPr>
              <w:t>3. Įsakymai ir (ar) kiti dokumentai dėl statinio projekto vadovo paskyrimo ir (ar) kiti pagrindžiantys dokumentai, iš kurių būtų galima nustatyti, kad projekto vadovas ėjo atitinkamas pareigas.</w:t>
            </w:r>
          </w:p>
          <w:p>
            <w:pPr>
              <w:pStyle w:val="ListParagraph"/>
              <w:widowControl/>
              <w:suppressAutoHyphens w:val="true"/>
              <w:spacing w:lineRule="auto" w:line="240" w:before="0" w:after="0"/>
              <w:ind w:left="0"/>
              <w:contextualSpacing w:val="false"/>
              <w:jc w:val="both"/>
              <w:rPr>
                <w:rFonts w:ascii="Arial" w:hAnsi="Arial" w:cs="Arial"/>
                <w:sz w:val="22"/>
                <w:szCs w:val="22"/>
              </w:rPr>
            </w:pPr>
            <w:r>
              <w:rPr>
                <w:rFonts w:eastAsia="DengXian" w:cs="Arial" w:ascii="Arial" w:hAnsi="Arial"/>
                <w:kern w:val="0"/>
                <w:sz w:val="22"/>
                <w:szCs w:val="22"/>
                <w:lang w:val="lt-LT" w:eastAsia="en-US" w:bidi="ar-SA"/>
              </w:rPr>
              <w:t>4. Specialisto patirtį pagrindžianti informacija (</w:t>
            </w:r>
            <w:r>
              <w:rPr>
                <w:rFonts w:eastAsia="DengXian" w:cs="Arial" w:ascii="Arial" w:hAnsi="Arial"/>
                <w:color w:val="000000"/>
                <w:kern w:val="0"/>
                <w:sz w:val="22"/>
                <w:szCs w:val="22"/>
                <w:lang w:val="lt-LT" w:eastAsia="en-US" w:bidi="ar-SA"/>
              </w:rPr>
              <w:t>užpildant specialiųjų pirkimo sąlygų 11</w:t>
            </w:r>
            <w:r>
              <w:rPr>
                <w:rFonts w:eastAsia="DengXian" w:cs="Arial" w:ascii="Arial" w:hAnsi="Arial"/>
                <w:b/>
                <w:color w:val="000000"/>
                <w:kern w:val="0"/>
                <w:sz w:val="22"/>
                <w:szCs w:val="22"/>
                <w:lang w:val="lt-LT" w:eastAsia="en-US" w:bidi="ar-SA"/>
              </w:rPr>
              <w:t xml:space="preserve"> </w:t>
            </w:r>
            <w:r>
              <w:rPr>
                <w:rFonts w:eastAsia="DengXian" w:cs="Arial" w:ascii="Arial" w:hAnsi="Arial"/>
                <w:color w:val="000000"/>
                <w:kern w:val="0"/>
                <w:sz w:val="22"/>
                <w:szCs w:val="22"/>
                <w:lang w:val="lt-LT" w:eastAsia="en-US" w:bidi="ar-SA"/>
              </w:rPr>
              <w:t>priedą):</w:t>
            </w:r>
            <w:r>
              <w:rPr>
                <w:rFonts w:eastAsia="DengXian" w:cs="Arial" w:ascii="Arial" w:hAnsi="Arial"/>
                <w:kern w:val="0"/>
                <w:sz w:val="22"/>
                <w:szCs w:val="22"/>
                <w:lang w:val="lt-LT" w:eastAsia="en-US" w:bidi="ar-SA"/>
              </w:rPr>
              <w:t xml:space="preserve"> sutarties, kuria specialistas įrodinėja savo patirtį, objekto pavadinimas, data, </w:t>
            </w:r>
            <w:r>
              <w:rPr>
                <w:rFonts w:eastAsia="DengXian" w:cs="Arial" w:ascii="Arial" w:hAnsi="Arial"/>
                <w:color w:val="000000"/>
                <w:kern w:val="0"/>
                <w:sz w:val="22"/>
                <w:szCs w:val="22"/>
                <w:lang w:val="lt-LT" w:eastAsia="en-US" w:bidi="ar-SA"/>
              </w:rPr>
              <w:t>statybą leidžiančio dokumento numeris.</w:t>
            </w:r>
          </w:p>
          <w:p>
            <w:pPr>
              <w:pStyle w:val="Normal"/>
              <w:widowControl/>
              <w:suppressAutoHyphens w:val="true"/>
              <w:spacing w:lineRule="auto" w:line="240" w:before="0" w:after="0"/>
              <w:jc w:val="both"/>
              <w:rPr>
                <w:rFonts w:ascii="Arial" w:hAnsi="Arial" w:cs="Arial"/>
                <w:b/>
                <w:i/>
                <w:i/>
                <w:sz w:val="22"/>
                <w:szCs w:val="22"/>
                <w:shd w:fill="FFFF00" w:val="clear"/>
              </w:rPr>
            </w:pPr>
            <w:r>
              <w:rPr>
                <w:rFonts w:eastAsia="Times New Roman" w:cs="Arial" w:ascii="Arial" w:hAnsi="Arial"/>
                <w:i/>
                <w:iCs/>
                <w:kern w:val="0"/>
                <w:sz w:val="22"/>
                <w:szCs w:val="22"/>
                <w:lang w:val="lt-LT" w:eastAsia="en-GB" w:bidi="ar-SA"/>
              </w:rPr>
              <w:t>Perkančioji organizacija turi teisę prašyti papildomų, nepateiktų dokumentų, pagrindžiančių dalyvio pasiūlyme deklaruotą specialisto patirtį ir kreiptis į užsakovus.</w:t>
            </w:r>
          </w:p>
        </w:tc>
        <w:tc>
          <w:tcPr>
            <w:tcW w:w="2610" w:type="dxa"/>
            <w:tcBorders/>
          </w:tcPr>
          <w:p>
            <w:pPr>
              <w:pStyle w:val="Normal"/>
              <w:widowControl/>
              <w:suppressAutoHyphens w:val="true"/>
              <w:spacing w:lineRule="auto" w:line="240" w:before="0" w:after="0"/>
              <w:jc w:val="both"/>
              <w:rPr>
                <w:rFonts w:ascii="Arial" w:hAnsi="Arial" w:cs="Arial"/>
                <w:sz w:val="22"/>
                <w:szCs w:val="22"/>
              </w:rPr>
            </w:pPr>
            <w:r>
              <w:rPr>
                <w:rFonts w:eastAsia="DengXian" w:cs="Arial" w:ascii="Arial" w:hAnsi="Arial"/>
                <w:kern w:val="0"/>
                <w:sz w:val="22"/>
                <w:szCs w:val="22"/>
                <w:lang w:val="lt-LT" w:eastAsia="en-US" w:bidi="ar-SA"/>
              </w:rPr>
              <w:t xml:space="preserve">• </w:t>
            </w:r>
            <w:r>
              <w:rPr>
                <w:rFonts w:eastAsia="DengXian" w:cs="Arial" w:ascii="Arial" w:hAnsi="Arial"/>
                <w:kern w:val="0"/>
                <w:sz w:val="22"/>
                <w:szCs w:val="22"/>
                <w:lang w:val="lt-LT" w:eastAsia="en-US" w:bidi="ar-SA"/>
              </w:rPr>
              <w:t>jeigu pasiūlymą teikia ūkio subjektų grupė – reikalavimą turi atitikti ūkio subjektų grupės nario (-ių) specialistai, atsižvelgiant į jų prisiimamus įsipareigojimus pirkimo sutarčiai vykdyti;</w:t>
            </w:r>
          </w:p>
          <w:p>
            <w:pPr>
              <w:pStyle w:val="Normal"/>
              <w:widowControl/>
              <w:suppressAutoHyphens w:val="true"/>
              <w:spacing w:lineRule="auto" w:line="240" w:before="0" w:after="0"/>
              <w:jc w:val="both"/>
              <w:rPr>
                <w:rFonts w:ascii="Arial" w:hAnsi="Arial" w:cs="Arial"/>
                <w:sz w:val="22"/>
                <w:szCs w:val="22"/>
              </w:rPr>
            </w:pPr>
            <w:r>
              <w:rPr>
                <w:rFonts w:eastAsia="DengXian" w:cs="Arial" w:ascii="Arial" w:hAnsi="Arial"/>
                <w:kern w:val="0"/>
                <w:sz w:val="22"/>
                <w:szCs w:val="22"/>
                <w:lang w:val="lt-LT" w:eastAsia="en-US" w:bidi="ar-SA"/>
              </w:rPr>
              <w:t xml:space="preserve">• </w:t>
            </w:r>
            <w:r>
              <w:rPr>
                <w:rFonts w:eastAsia="DengXian" w:cs="Arial" w:ascii="Arial" w:hAnsi="Arial"/>
                <w:kern w:val="0"/>
                <w:sz w:val="22"/>
                <w:szCs w:val="22"/>
                <w:lang w:val="lt-LT" w:eastAsia="en-US" w:bidi="ar-SA"/>
              </w:rPr>
              <w:t>tiekėjas gali remtis kitų ūkio subjektų pajėgumais tik tuo atveju, jeigu tie subjektai (jų darbuotojai) patys vykdys tą pirkimo sutarties dalį, kuriai reikia jų turimų pajėgumų;</w:t>
            </w:r>
          </w:p>
          <w:p>
            <w:pPr>
              <w:pStyle w:val="Normal"/>
              <w:widowControl/>
              <w:suppressAutoHyphens w:val="true"/>
              <w:spacing w:lineRule="auto" w:line="240" w:before="0" w:after="0"/>
              <w:jc w:val="both"/>
              <w:rPr>
                <w:rFonts w:ascii="Arial" w:hAnsi="Arial" w:cs="Arial"/>
                <w:b/>
                <w:i/>
                <w:i/>
                <w:sz w:val="22"/>
                <w:szCs w:val="22"/>
                <w:shd w:fill="FFFF00" w:val="clear"/>
              </w:rPr>
            </w:pPr>
            <w:r>
              <w:rPr>
                <w:rFonts w:eastAsia="DengXian" w:cs="Arial" w:ascii="Arial" w:hAnsi="Arial"/>
                <w:kern w:val="0"/>
                <w:sz w:val="22"/>
                <w:szCs w:val="22"/>
                <w:lang w:val="lt-LT" w:eastAsia="en-US" w:bidi="ar-SA"/>
              </w:rPr>
              <w:t xml:space="preserve">• </w:t>
            </w:r>
            <w:r>
              <w:rPr>
                <w:rFonts w:eastAsia="DengXian" w:cs="Arial" w:ascii="Arial" w:hAnsi="Arial"/>
                <w:kern w:val="0"/>
                <w:sz w:val="22"/>
                <w:szCs w:val="22"/>
                <w:lang w:val="lt-LT" w:eastAsia="en-US" w:bidi="ar-SA"/>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pPr>
        <w:pStyle w:val="Normal"/>
        <w:tabs>
          <w:tab w:val="clear" w:pos="1296"/>
          <w:tab w:val="left" w:pos="720" w:leader="none"/>
        </w:tabs>
        <w:spacing w:lineRule="auto" w:line="240" w:before="0" w:after="0"/>
        <w:ind w:firstLine="567"/>
        <w:jc w:val="center"/>
        <w:rPr>
          <w:rFonts w:ascii="Arial" w:hAnsi="Arial" w:eastAsia="Calibri" w:cs="Arial"/>
          <w:b/>
          <w:bCs/>
          <w:sz w:val="24"/>
          <w:szCs w:val="24"/>
          <w:lang w:eastAsia="en-US"/>
        </w:rPr>
      </w:pPr>
      <w:r>
        <w:rPr>
          <w:rFonts w:eastAsia="Calibri" w:cs="Arial" w:ascii="Arial" w:hAnsi="Arial"/>
          <w:b/>
          <w:bCs/>
          <w:sz w:val="24"/>
          <w:szCs w:val="24"/>
          <w:lang w:eastAsia="en-US"/>
        </w:rPr>
      </w:r>
    </w:p>
    <w:p>
      <w:pPr>
        <w:pStyle w:val="Normal"/>
        <w:tabs>
          <w:tab w:val="clear" w:pos="1296"/>
          <w:tab w:val="left" w:pos="720" w:leader="none"/>
        </w:tabs>
        <w:spacing w:lineRule="auto" w:line="240" w:before="0" w:after="0"/>
        <w:ind w:firstLine="567"/>
        <w:jc w:val="center"/>
        <w:rPr>
          <w:rFonts w:ascii="Arial" w:hAnsi="Arial" w:eastAsia="Calibri" w:cs="Arial"/>
          <w:b/>
          <w:bCs/>
          <w:sz w:val="24"/>
          <w:szCs w:val="24"/>
          <w:lang w:eastAsia="en-US"/>
        </w:rPr>
      </w:pPr>
      <w:r>
        <w:rPr>
          <w:rFonts w:eastAsia="Calibri" w:cs="Arial" w:ascii="Arial" w:hAnsi="Arial"/>
          <w:b/>
          <w:bCs/>
          <w:sz w:val="24"/>
          <w:szCs w:val="24"/>
          <w:lang w:eastAsia="en-US"/>
        </w:rPr>
        <w:t>Tiekėjams keliami reikalavimai dėl kokybės vadybos sistemos ir (ar) aplinkos apsaugos vadybos sistemos standartų reikalavimai</w:t>
      </w:r>
    </w:p>
    <w:p>
      <w:pPr>
        <w:pStyle w:val="Normal"/>
        <w:tabs>
          <w:tab w:val="clear" w:pos="1296"/>
          <w:tab w:val="left" w:pos="720" w:leader="none"/>
        </w:tabs>
        <w:spacing w:lineRule="auto" w:line="240" w:before="0" w:after="0"/>
        <w:ind w:firstLine="567"/>
        <w:jc w:val="center"/>
        <w:rPr>
          <w:rFonts w:ascii="Arial" w:hAnsi="Arial" w:eastAsia="Calibri" w:cs="Arial"/>
          <w:b/>
          <w:bCs/>
          <w:sz w:val="24"/>
          <w:szCs w:val="24"/>
          <w:lang w:eastAsia="en-US"/>
        </w:rPr>
      </w:pPr>
      <w:r>
        <w:rPr>
          <w:rFonts w:eastAsia="Calibri" w:cs="Arial" w:ascii="Arial" w:hAnsi="Arial"/>
          <w:b/>
          <w:bCs/>
          <w:sz w:val="24"/>
          <w:szCs w:val="24"/>
          <w:lang w:eastAsia="en-US"/>
        </w:rPr>
      </w:r>
    </w:p>
    <w:p>
      <w:pPr>
        <w:pStyle w:val="Standard"/>
        <w:tabs>
          <w:tab w:val="clear" w:pos="1296"/>
          <w:tab w:val="left" w:pos="720" w:leader="none"/>
        </w:tabs>
        <w:ind w:firstLine="567"/>
        <w:jc w:val="both"/>
        <w:rPr>
          <w:rFonts w:ascii="Arial" w:hAnsi="Arial" w:eastAsia="Calibri" w:cs="Arial"/>
          <w:color w:val="000000"/>
          <w:lang w:eastAsia="en-US"/>
        </w:rPr>
      </w:pPr>
      <w:bookmarkStart w:id="67" w:name="_Toc126333943"/>
      <w:bookmarkStart w:id="68" w:name="_Ref38898251"/>
      <w:bookmarkStart w:id="69" w:name="_Ref38291394"/>
      <w:bookmarkStart w:id="70" w:name="_Ref38291379"/>
      <w:r>
        <w:rPr>
          <w:rFonts w:eastAsia="Calibri" w:cs="Arial" w:ascii="Arial" w:hAnsi="Arial"/>
          <w:color w:val="000000"/>
          <w:lang w:eastAsia="en-US"/>
        </w:rPr>
        <w:t xml:space="preserve">1. Tiekėjai turi atitikti šiame priede nustatytus reikalavimus dėl aplinkos apsaugos vadybos sistemos standartų laikymosi. </w:t>
      </w:r>
    </w:p>
    <w:p>
      <w:pPr>
        <w:pStyle w:val="Standard"/>
        <w:tabs>
          <w:tab w:val="clear" w:pos="1296"/>
          <w:tab w:val="left" w:pos="720" w:leader="none"/>
        </w:tabs>
        <w:ind w:firstLine="567"/>
        <w:jc w:val="both"/>
        <w:rPr>
          <w:rFonts w:ascii="Arial" w:hAnsi="Arial" w:cs="Arial"/>
        </w:rPr>
      </w:pPr>
      <w:r>
        <w:rPr>
          <w:rFonts w:cs="Arial" w:ascii="Arial" w:hAnsi="Arial"/>
        </w:rPr>
      </w:r>
    </w:p>
    <w:tbl>
      <w:tblPr>
        <w:tblW w:w="4950" w:type="pct"/>
        <w:jc w:val="left"/>
        <w:tblInd w:w="-5" w:type="dxa"/>
        <w:tblLayout w:type="fixed"/>
        <w:tblCellMar>
          <w:top w:w="0" w:type="dxa"/>
          <w:left w:w="108" w:type="dxa"/>
          <w:bottom w:w="0" w:type="dxa"/>
          <w:right w:w="108" w:type="dxa"/>
        </w:tblCellMar>
        <w:tblLook w:firstRow="1" w:noVBand="1" w:lastRow="0" w:firstColumn="1" w:lastColumn="0" w:noHBand="0" w:val="04a0"/>
      </w:tblPr>
      <w:tblGrid>
        <w:gridCol w:w="624"/>
        <w:gridCol w:w="3505"/>
        <w:gridCol w:w="3141"/>
        <w:gridCol w:w="2601"/>
      </w:tblGrid>
      <w:tr>
        <w:trPr>
          <w:tblHeader w:val="true"/>
          <w:cantSplit w:val="true"/>
        </w:trPr>
        <w:tc>
          <w:tcPr>
            <w:tcW w:w="624"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7" w:before="60" w:after="60"/>
              <w:jc w:val="center"/>
              <w:rPr>
                <w:rFonts w:ascii="Arial" w:hAnsi="Arial" w:cs="Arial"/>
                <w:sz w:val="22"/>
                <w:szCs w:val="22"/>
              </w:rPr>
            </w:pPr>
            <w:r>
              <w:rPr>
                <w:rFonts w:eastAsia="Calibri" w:cs="Arial" w:ascii="Arial" w:hAnsi="Arial"/>
                <w:b/>
                <w:bCs/>
                <w:sz w:val="22"/>
                <w:szCs w:val="22"/>
              </w:rPr>
              <w:t>Eil. Nr.</w:t>
            </w:r>
          </w:p>
        </w:tc>
        <w:tc>
          <w:tcPr>
            <w:tcW w:w="3505"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7" w:before="60" w:after="60"/>
              <w:jc w:val="center"/>
              <w:rPr>
                <w:rFonts w:ascii="Arial" w:hAnsi="Arial" w:cs="Arial"/>
                <w:sz w:val="22"/>
                <w:szCs w:val="22"/>
              </w:rPr>
            </w:pPr>
            <w:r>
              <w:rPr>
                <w:rFonts w:cs="Arial" w:ascii="Arial" w:hAnsi="Arial"/>
                <w:b/>
                <w:bCs/>
                <w:color w:val="000000"/>
                <w:sz w:val="22"/>
                <w:szCs w:val="22"/>
              </w:rPr>
              <w:t xml:space="preserve">Reikalavimas </w:t>
            </w:r>
            <w:r>
              <w:rPr>
                <w:rFonts w:eastAsia="Calibri" w:cs="Arial" w:ascii="Arial" w:hAnsi="Arial"/>
                <w:b/>
                <w:bCs/>
                <w:sz w:val="22"/>
                <w:szCs w:val="22"/>
                <w:lang w:eastAsia="en-US"/>
              </w:rPr>
              <w:t>d</w:t>
            </w:r>
            <w:r>
              <w:rPr>
                <w:rFonts w:eastAsia="Calibri" w:cs="Arial" w:ascii="Arial" w:hAnsi="Arial"/>
                <w:b/>
                <w:bCs/>
                <w:color w:val="000000"/>
                <w:sz w:val="22"/>
                <w:szCs w:val="22"/>
                <w:lang w:eastAsia="en-US"/>
              </w:rPr>
              <w:t xml:space="preserve">ėl </w:t>
            </w:r>
            <w:r>
              <w:rPr>
                <w:rFonts w:eastAsia="Calibri" w:cs="Arial" w:ascii="Arial" w:hAnsi="Arial"/>
                <w:b/>
                <w:bCs/>
                <w:iCs/>
                <w:color w:val="000000"/>
                <w:sz w:val="22"/>
                <w:szCs w:val="22"/>
                <w:lang w:eastAsia="en-US"/>
              </w:rPr>
              <w:t>aplinkos apsaugos vadybos sistemos standartų</w:t>
            </w:r>
            <w:r>
              <w:rPr>
                <w:rFonts w:eastAsia="Calibri" w:cs="Arial" w:ascii="Arial" w:hAnsi="Arial"/>
                <w:b/>
                <w:bCs/>
                <w:color w:val="000000"/>
                <w:sz w:val="22"/>
                <w:szCs w:val="22"/>
                <w:lang w:eastAsia="en-US"/>
              </w:rPr>
              <w:t xml:space="preserve"> laikymosi</w:t>
            </w:r>
          </w:p>
        </w:tc>
        <w:tc>
          <w:tcPr>
            <w:tcW w:w="3141"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jc w:val="center"/>
              <w:rPr>
                <w:rFonts w:ascii="Arial" w:hAnsi="Arial" w:cs="Arial"/>
                <w:sz w:val="22"/>
                <w:szCs w:val="22"/>
              </w:rPr>
            </w:pPr>
            <w:r>
              <w:rPr>
                <w:rFonts w:eastAsia="Times New Roman" w:cs="Arial" w:ascii="Arial" w:hAnsi="Arial"/>
                <w:b/>
                <w:bCs/>
                <w:color w:val="000000"/>
                <w:sz w:val="22"/>
                <w:szCs w:val="22"/>
              </w:rPr>
              <w:t>Atitiktį reikalavimui įrodantys dokumentai</w:t>
            </w:r>
          </w:p>
        </w:tc>
        <w:tc>
          <w:tcPr>
            <w:tcW w:w="2601"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jc w:val="center"/>
              <w:rPr>
                <w:rFonts w:ascii="Arial" w:hAnsi="Arial" w:cs="Arial"/>
                <w:sz w:val="22"/>
                <w:szCs w:val="22"/>
              </w:rPr>
            </w:pPr>
            <w:r>
              <w:rPr>
                <w:rFonts w:eastAsia="Times New Roman" w:cs="Arial" w:ascii="Arial" w:hAnsi="Arial"/>
                <w:b/>
                <w:bCs/>
                <w:color w:val="000000"/>
                <w:sz w:val="22"/>
                <w:szCs w:val="22"/>
              </w:rPr>
              <w:t>Subjektas, kuris turi atitikti reikalavimą</w:t>
            </w:r>
          </w:p>
        </w:tc>
      </w:tr>
      <w:tr>
        <w:trPr/>
        <w:tc>
          <w:tcPr>
            <w:tcW w:w="62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7" w:before="60" w:after="60"/>
              <w:jc w:val="center"/>
              <w:rPr>
                <w:rFonts w:ascii="Arial" w:hAnsi="Arial" w:cs="Arial"/>
                <w:sz w:val="22"/>
                <w:szCs w:val="22"/>
              </w:rPr>
            </w:pPr>
            <w:r>
              <w:rPr>
                <w:rFonts w:eastAsia="Calibri" w:cs="Arial" w:ascii="Arial" w:hAnsi="Arial"/>
                <w:b/>
                <w:bCs/>
                <w:sz w:val="22"/>
                <w:szCs w:val="22"/>
              </w:rPr>
              <w:t>1.</w:t>
            </w:r>
          </w:p>
        </w:tc>
        <w:tc>
          <w:tcPr>
            <w:tcW w:w="9247" w:type="dxa"/>
            <w:gridSpan w:val="3"/>
            <w:tcBorders>
              <w:top w:val="single" w:sz="4" w:space="0" w:color="000000"/>
              <w:left w:val="single" w:sz="4" w:space="0" w:color="000000"/>
              <w:bottom w:val="single" w:sz="4" w:space="0" w:color="000000"/>
              <w:right w:val="single" w:sz="4" w:space="0" w:color="000000"/>
            </w:tcBorders>
            <w:vAlign w:val="center"/>
          </w:tcPr>
          <w:p>
            <w:pPr>
              <w:pStyle w:val="Standard"/>
              <w:widowControl w:val="false"/>
              <w:rPr>
                <w:rFonts w:ascii="Arial" w:hAnsi="Arial" w:cs="Arial"/>
                <w:sz w:val="22"/>
                <w:szCs w:val="22"/>
              </w:rPr>
            </w:pPr>
            <w:bookmarkStart w:id="71" w:name="_Hlk181966534"/>
            <w:r>
              <w:rPr>
                <w:rFonts w:eastAsia="Times New Roman" w:cs="Arial" w:ascii="Arial" w:hAnsi="Arial"/>
                <w:b/>
                <w:bCs/>
                <w:color w:val="000000"/>
                <w:sz w:val="22"/>
                <w:szCs w:val="22"/>
              </w:rPr>
              <w:t>Aplinkos apsaugos vadybos sistemos taikymas</w:t>
            </w:r>
            <w:bookmarkEnd w:id="71"/>
          </w:p>
        </w:tc>
      </w:tr>
      <w:tr>
        <w:trPr/>
        <w:tc>
          <w:tcPr>
            <w:tcW w:w="62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7" w:before="60" w:after="60"/>
              <w:jc w:val="center"/>
              <w:rPr>
                <w:rFonts w:ascii="Arial" w:hAnsi="Arial" w:cs="Arial"/>
                <w:sz w:val="22"/>
                <w:szCs w:val="22"/>
              </w:rPr>
            </w:pPr>
            <w:r>
              <w:rPr>
                <w:rFonts w:eastAsia="Calibri" w:cs="Arial" w:ascii="Arial" w:hAnsi="Arial"/>
                <w:sz w:val="22"/>
                <w:szCs w:val="22"/>
              </w:rPr>
              <w:t>1.1.</w:t>
            </w:r>
          </w:p>
        </w:tc>
        <w:tc>
          <w:tcPr>
            <w:tcW w:w="3505" w:type="dxa"/>
            <w:tcBorders>
              <w:top w:val="single" w:sz="4" w:space="0" w:color="000000"/>
              <w:left w:val="single" w:sz="4" w:space="0" w:color="000000"/>
              <w:bottom w:val="single" w:sz="4" w:space="0" w:color="000000"/>
              <w:right w:val="single" w:sz="4" w:space="0" w:color="000000"/>
            </w:tcBorders>
          </w:tcPr>
          <w:p>
            <w:pPr>
              <w:pStyle w:val="Standard"/>
              <w:widowControl w:val="false"/>
              <w:jc w:val="both"/>
              <w:rPr>
                <w:rFonts w:ascii="Arial" w:hAnsi="Arial" w:cs="Arial"/>
                <w:color w:val="000000"/>
                <w:sz w:val="22"/>
                <w:szCs w:val="22"/>
              </w:rPr>
            </w:pPr>
            <w:bookmarkStart w:id="72" w:name="_Hlk181265587"/>
            <w:r>
              <w:rPr>
                <w:rFonts w:eastAsia="Times New Roman" w:cs="Arial" w:ascii="Arial" w:hAnsi="Arial"/>
                <w:color w:val="000000"/>
                <w:sz w:val="22"/>
                <w:szCs w:val="22"/>
              </w:rPr>
              <w:t xml:space="preserve">Perkamoms projektavimo paslaugoms </w:t>
            </w:r>
            <w:bookmarkEnd w:id="72"/>
            <w:r>
              <w:rPr>
                <w:rFonts w:cs="Arial" w:ascii="Arial" w:hAnsi="Arial"/>
                <w:color w:val="000000"/>
                <w:sz w:val="22"/>
                <w:szCs w:val="22"/>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pPr>
              <w:pStyle w:val="Standard"/>
              <w:widowControl w:val="false"/>
              <w:jc w:val="both"/>
              <w:rPr>
                <w:rFonts w:ascii="Arial" w:hAnsi="Arial" w:cs="Arial"/>
                <w:color w:val="000000"/>
                <w:sz w:val="22"/>
                <w:szCs w:val="22"/>
              </w:rPr>
            </w:pPr>
            <w:r>
              <w:rPr>
                <w:rFonts w:cs="Arial" w:ascii="Arial" w:hAnsi="Arial"/>
                <w:color w:val="000000"/>
                <w:sz w:val="22"/>
                <w:szCs w:val="22"/>
              </w:rPr>
            </w:r>
          </w:p>
          <w:p>
            <w:pPr>
              <w:pStyle w:val="Standard"/>
              <w:widowControl w:val="false"/>
              <w:jc w:val="both"/>
              <w:rPr>
                <w:rFonts w:ascii="Arial" w:hAnsi="Arial" w:cs="Arial"/>
                <w:color w:val="000000"/>
                <w:sz w:val="22"/>
                <w:szCs w:val="22"/>
              </w:rPr>
            </w:pPr>
            <w:r>
              <w:rPr>
                <w:rFonts w:cs="Arial" w:ascii="Arial" w:hAnsi="Arial"/>
                <w:color w:val="000000"/>
                <w:sz w:val="22"/>
                <w:szCs w:val="22"/>
              </w:rPr>
            </w:r>
          </w:p>
          <w:p>
            <w:pPr>
              <w:pStyle w:val="Standard"/>
              <w:widowControl w:val="false"/>
              <w:jc w:val="both"/>
              <w:rPr>
                <w:rFonts w:ascii="Arial" w:hAnsi="Arial" w:cs="Arial"/>
                <w:color w:val="000000"/>
                <w:sz w:val="22"/>
                <w:szCs w:val="22"/>
              </w:rPr>
            </w:pPr>
            <w:r>
              <w:rPr>
                <w:rFonts w:cs="Arial" w:ascii="Arial" w:hAnsi="Arial"/>
                <w:color w:val="000000"/>
                <w:sz w:val="22"/>
                <w:szCs w:val="22"/>
              </w:rPr>
            </w:r>
          </w:p>
          <w:p>
            <w:pPr>
              <w:pStyle w:val="Standard"/>
              <w:widowControl w:val="false"/>
              <w:jc w:val="both"/>
              <w:rPr>
                <w:rFonts w:ascii="Arial" w:hAnsi="Arial" w:cs="Arial"/>
                <w:color w:val="000000"/>
                <w:sz w:val="22"/>
                <w:szCs w:val="22"/>
              </w:rPr>
            </w:pPr>
            <w:r>
              <w:rPr>
                <w:rFonts w:cs="Arial" w:ascii="Arial" w:hAnsi="Arial"/>
                <w:color w:val="000000"/>
                <w:sz w:val="22"/>
                <w:szCs w:val="22"/>
              </w:rPr>
            </w:r>
          </w:p>
          <w:p>
            <w:pPr>
              <w:pStyle w:val="Standard"/>
              <w:widowControl w:val="false"/>
              <w:jc w:val="both"/>
              <w:rPr>
                <w:rFonts w:ascii="Arial" w:hAnsi="Arial" w:cs="Arial"/>
                <w:color w:val="000000"/>
                <w:sz w:val="22"/>
                <w:szCs w:val="22"/>
              </w:rPr>
            </w:pPr>
            <w:r>
              <w:rPr>
                <w:rFonts w:cs="Arial" w:ascii="Arial" w:hAnsi="Arial"/>
                <w:color w:val="000000"/>
                <w:sz w:val="22"/>
                <w:szCs w:val="22"/>
              </w:rPr>
            </w:r>
          </w:p>
          <w:p>
            <w:pPr>
              <w:pStyle w:val="Standard"/>
              <w:widowControl w:val="false"/>
              <w:jc w:val="both"/>
              <w:rPr>
                <w:rFonts w:ascii="Arial" w:hAnsi="Arial" w:cs="Arial"/>
                <w:color w:val="000000"/>
                <w:sz w:val="22"/>
                <w:szCs w:val="22"/>
              </w:rPr>
            </w:pPr>
            <w:r>
              <w:rPr>
                <w:rFonts w:cs="Arial" w:ascii="Arial" w:hAnsi="Arial"/>
                <w:color w:val="000000"/>
                <w:sz w:val="22"/>
                <w:szCs w:val="22"/>
              </w:rPr>
            </w:r>
          </w:p>
        </w:tc>
        <w:tc>
          <w:tcPr>
            <w:tcW w:w="3141"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Arial" w:hAnsi="Arial" w:cs="Arial"/>
                <w:sz w:val="22"/>
                <w:szCs w:val="22"/>
              </w:rPr>
            </w:pPr>
            <w:r>
              <w:rPr>
                <w:rFonts w:cs="Arial" w:ascii="Arial" w:hAnsi="Arial"/>
                <w:sz w:val="22"/>
                <w:szCs w:val="22"/>
              </w:rPr>
              <w:t xml:space="preserve">Nepriklausomos įstaigos išduoto </w:t>
            </w:r>
            <w:r>
              <w:rPr>
                <w:rFonts w:cs="Arial" w:ascii="Arial" w:hAnsi="Arial"/>
                <w:sz w:val="22"/>
                <w:szCs w:val="22"/>
                <w:u w:val="single"/>
              </w:rPr>
              <w:t>galiojančio</w:t>
            </w:r>
            <w:r>
              <w:rPr>
                <w:rFonts w:cs="Arial" w:ascii="Arial" w:hAnsi="Arial"/>
                <w:sz w:val="22"/>
                <w:szCs w:val="22"/>
              </w:rPr>
              <w:t xml:space="preserve"> sertifikato, patvirtinančio, kad tiekėjas laikosi reikalaujamos aplinkos apsaugos vadybos sistemos standartų, skaitmeninė kopija.</w:t>
            </w:r>
          </w:p>
          <w:p>
            <w:pPr>
              <w:pStyle w:val="Normal"/>
              <w:spacing w:lineRule="auto" w:line="240"/>
              <w:jc w:val="both"/>
              <w:rPr>
                <w:rFonts w:ascii="Arial" w:hAnsi="Arial" w:cs="Arial"/>
                <w:sz w:val="22"/>
                <w:szCs w:val="22"/>
              </w:rPr>
            </w:pPr>
            <w:r>
              <w:rPr>
                <w:rFonts w:cs="Arial" w:ascii="Arial" w:hAnsi="Arial"/>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pPr>
              <w:pStyle w:val="Normal"/>
              <w:spacing w:lineRule="auto" w:line="240"/>
              <w:jc w:val="both"/>
              <w:rPr>
                <w:rFonts w:ascii="Arial" w:hAnsi="Arial" w:cs="Arial"/>
                <w:sz w:val="22"/>
                <w:szCs w:val="22"/>
              </w:rPr>
            </w:pPr>
            <w:r>
              <w:rPr>
                <w:rFonts w:cs="Arial" w:ascii="Arial" w:hAnsi="Arial"/>
                <w:sz w:val="22"/>
                <w:szCs w:val="22"/>
              </w:rPr>
              <w:t>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pPr>
              <w:pStyle w:val="Standard"/>
              <w:widowControl w:val="false"/>
              <w:jc w:val="both"/>
              <w:rPr>
                <w:rFonts w:ascii="Arial" w:hAnsi="Arial" w:cs="Arial"/>
                <w:sz w:val="22"/>
                <w:szCs w:val="22"/>
              </w:rPr>
            </w:pPr>
            <w:r>
              <w:rPr>
                <w:rFonts w:cs="Arial" w:ascii="Arial" w:hAnsi="Arial"/>
                <w:sz w:val="22"/>
                <w:szCs w:val="22"/>
              </w:rPr>
              <w:t>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601" w:type="dxa"/>
            <w:tcBorders>
              <w:top w:val="single" w:sz="4" w:space="0" w:color="000000"/>
              <w:left w:val="single" w:sz="4" w:space="0" w:color="000000"/>
              <w:bottom w:val="single" w:sz="4" w:space="0" w:color="000000"/>
              <w:right w:val="single" w:sz="4" w:space="0" w:color="000000"/>
            </w:tcBorders>
          </w:tcPr>
          <w:p>
            <w:pPr>
              <w:pStyle w:val="Standard"/>
              <w:widowControl w:val="false"/>
              <w:jc w:val="both"/>
              <w:rPr>
                <w:rFonts w:ascii="Arial" w:hAnsi="Arial" w:cs="Arial"/>
                <w:sz w:val="22"/>
                <w:szCs w:val="22"/>
              </w:rPr>
            </w:pPr>
            <w:r>
              <w:rPr>
                <w:rFonts w:cs="Arial" w:ascii="Arial" w:hAnsi="Arial"/>
                <w:color w:val="000000"/>
                <w:sz w:val="22"/>
                <w:szCs w:val="22"/>
              </w:rPr>
              <w:t>Tiekėjai / Subtiekėjai turi laikytis reikalaujamų aplinkos apsaugos vadybos standarto reikalavimų, atsižvelgiant į jų prisiimamus įsipareigojimus pirkimo sutarčiai vykdyti.</w:t>
            </w:r>
          </w:p>
          <w:p>
            <w:pPr>
              <w:pStyle w:val="Standard"/>
              <w:widowControl w:val="false"/>
              <w:jc w:val="both"/>
              <w:rPr>
                <w:rFonts w:ascii="Arial" w:hAnsi="Arial" w:cs="Arial"/>
                <w:sz w:val="22"/>
                <w:szCs w:val="22"/>
              </w:rPr>
            </w:pPr>
            <w:r>
              <w:rPr>
                <w:rFonts w:cs="Arial" w:ascii="Arial" w:hAnsi="Arial"/>
                <w:color w:val="000000"/>
                <w:sz w:val="22"/>
                <w:szCs w:val="22"/>
              </w:rPr>
              <w:t>Tiekėjas gali remtis kitų ūkio subjektų pajėgumais atsižvelgiant į jų prisiimamus įsipareigojimus pirkimo sutarčiai vykdyti.</w:t>
            </w:r>
          </w:p>
          <w:p>
            <w:pPr>
              <w:pStyle w:val="Standard"/>
              <w:widowControl w:val="false"/>
              <w:jc w:val="both"/>
              <w:rPr>
                <w:rFonts w:ascii="Arial" w:hAnsi="Arial" w:cs="Arial"/>
                <w:sz w:val="22"/>
                <w:szCs w:val="22"/>
              </w:rPr>
            </w:pPr>
            <w:r>
              <w:rPr>
                <w:rFonts w:cs="Arial" w:ascii="Arial" w:hAnsi="Arial"/>
                <w:color w:val="000000"/>
                <w:sz w:val="22"/>
                <w:szCs w:val="22"/>
              </w:rPr>
              <w:t>Jeigu pasiūlymas teikiamas jungtinės veiklos pagrindu, nurodytą standartą taikyti (būti įsidiegęs) ir tai įrodyti turi kiekvienas jungtinės veiklos partneris (pagal prisiimtus įsipareigojimus).</w:t>
            </w:r>
          </w:p>
          <w:p>
            <w:pPr>
              <w:pStyle w:val="Standard"/>
              <w:rPr>
                <w:rFonts w:ascii="Arial" w:hAnsi="Arial" w:cs="Arial"/>
                <w:color w:val="000000"/>
                <w:sz w:val="22"/>
                <w:szCs w:val="22"/>
              </w:rPr>
            </w:pPr>
            <w:r>
              <w:rPr>
                <w:rFonts w:cs="Arial" w:ascii="Arial" w:hAnsi="Arial"/>
                <w:color w:val="000000"/>
                <w:sz w:val="22"/>
                <w:szCs w:val="22"/>
              </w:rPr>
            </w:r>
          </w:p>
          <w:p>
            <w:pPr>
              <w:pStyle w:val="Standard"/>
              <w:widowControl w:val="false"/>
              <w:jc w:val="both"/>
              <w:rPr>
                <w:rFonts w:ascii="Arial" w:hAnsi="Arial" w:cs="Arial"/>
                <w:sz w:val="22"/>
                <w:szCs w:val="22"/>
              </w:rPr>
            </w:pPr>
            <w:r>
              <w:rPr>
                <w:rFonts w:cs="Arial" w:ascii="Arial" w:hAnsi="Arial"/>
                <w:b/>
                <w:bCs/>
                <w:color w:val="000000"/>
                <w:sz w:val="22"/>
                <w:szCs w:val="22"/>
              </w:rPr>
              <w:t>Pastaba:</w:t>
            </w:r>
            <w:r>
              <w:rPr>
                <w:rFonts w:cs="Arial" w:ascii="Arial" w:hAnsi="Arial"/>
                <w:color w:val="000000"/>
                <w:sz w:val="22"/>
                <w:szCs w:val="22"/>
              </w:rPr>
              <w:t xml:space="preserve"> Jeigu Tiekėjas </w:t>
            </w:r>
            <w:r>
              <w:rPr>
                <w:rFonts w:cs="Arial" w:ascii="Arial" w:hAnsi="Arial"/>
                <w:sz w:val="22"/>
                <w:szCs w:val="22"/>
              </w:rPr>
              <w:t>pats atitinka šį reikalavimą, tačiau pasitelkia Subtiekėjus nurodytoms paslaugoms teikti, kurioms yra keliamas šis reikalavimas, tokiu atveju</w:t>
            </w:r>
            <w:r>
              <w:rPr>
                <w:rFonts w:cs="Arial" w:ascii="Arial" w:hAnsi="Arial"/>
                <w:color w:val="000000"/>
                <w:sz w:val="22"/>
                <w:szCs w:val="22"/>
              </w:rPr>
              <w:t xml:space="preserve"> Subtiekėjai turi laikytis reikalaujamo aplinkos apsaugos vadybos standarto reikalavimų, atsižvelgiant į jų prisiimamus įsipareigojimus pirkimo sutarčiai vykdyti.</w:t>
            </w:r>
            <w:bookmarkStart w:id="73" w:name="_Hlk181265656"/>
            <w:bookmarkEnd w:id="73"/>
          </w:p>
        </w:tc>
      </w:tr>
    </w:tbl>
    <w:p>
      <w:pPr>
        <w:pStyle w:val="Standard"/>
        <w:spacing w:lineRule="atLeast" w:line="20"/>
        <w:jc w:val="both"/>
        <w:rPr>
          <w:rFonts w:ascii="Arial" w:hAnsi="Arial" w:eastAsia="Calibri" w:cs="Arial"/>
          <w:b/>
          <w:iCs/>
          <w:sz w:val="20"/>
          <w:szCs w:val="20"/>
          <w:lang w:eastAsia="en-US"/>
        </w:rPr>
      </w:pPr>
      <w:r>
        <w:rPr>
          <w:rFonts w:eastAsia="Calibri" w:cs="Arial" w:ascii="Arial" w:hAnsi="Arial"/>
          <w:b/>
          <w:iCs/>
          <w:sz w:val="20"/>
          <w:szCs w:val="20"/>
          <w:lang w:eastAsia="en-US"/>
        </w:rPr>
      </w:r>
    </w:p>
    <w:p>
      <w:pPr>
        <w:pStyle w:val="Standard"/>
        <w:spacing w:lineRule="atLeast" w:line="20"/>
        <w:jc w:val="both"/>
        <w:rPr>
          <w:rFonts w:ascii="Arial" w:hAnsi="Arial" w:cs="Arial"/>
          <w:b/>
          <w:smallCaps/>
          <w:sz w:val="20"/>
          <w:szCs w:val="20"/>
        </w:rPr>
      </w:pPr>
      <w:r>
        <w:rPr>
          <w:rFonts w:eastAsia="Calibri" w:cs="Arial" w:ascii="Arial" w:hAnsi="Arial"/>
          <w:b/>
          <w:iCs/>
          <w:sz w:val="20"/>
          <w:szCs w:val="20"/>
          <w:lang w:eastAsia="en-US"/>
        </w:rPr>
        <w:t xml:space="preserve">Tiekėjas bet kuriuo sutarties vykdymo metu turi pateikti dokumentus (nepriklausomos įstaigos išduotą sertifikatą), </w:t>
      </w:r>
      <w:r>
        <w:rPr>
          <w:rFonts w:eastAsia="Times New Roman" w:cs="Arial" w:ascii="Arial" w:hAnsi="Arial"/>
          <w:b/>
          <w:color w:val="000000"/>
          <w:sz w:val="20"/>
          <w:szCs w:val="20"/>
        </w:rPr>
        <w:t xml:space="preserve">kurie patvirtintų, kad tiekėjo siūlomos aplinkos apsaugos vadybos užtikrinimo priemonės atitinka reikalaujamus aplinkos apsaugos vadybos sistemos standartus. Dokumentai turi galioti visą Sutarties vykdymo laikotarpį. </w:t>
      </w:r>
    </w:p>
    <w:p>
      <w:pPr>
        <w:pStyle w:val="ListParagraph"/>
        <w:spacing w:lineRule="auto" w:line="240" w:before="0" w:after="0"/>
        <w:ind w:left="851"/>
        <w:contextualSpacing/>
        <w:jc w:val="both"/>
        <w:rPr>
          <w:rFonts w:ascii="Arial" w:hAnsi="Arial" w:cs="Arial"/>
          <w:smallCaps/>
          <w:sz w:val="24"/>
          <w:szCs w:val="24"/>
        </w:rPr>
      </w:pPr>
      <w:r>
        <w:rPr>
          <w:rFonts w:cs="Arial" w:ascii="Arial" w:hAnsi="Arial"/>
          <w:smallCaps/>
          <w:sz w:val="24"/>
          <w:szCs w:val="24"/>
        </w:rPr>
      </w:r>
    </w:p>
    <w:p>
      <w:pPr>
        <w:pStyle w:val="ListParagraph"/>
        <w:spacing w:lineRule="auto" w:line="240" w:before="0" w:after="0"/>
        <w:ind w:left="0"/>
        <w:contextualSpacing/>
        <w:jc w:val="center"/>
        <w:rPr>
          <w:rFonts w:ascii="Arial" w:hAnsi="Arial" w:cs="Arial"/>
          <w:smallCaps/>
          <w:sz w:val="24"/>
          <w:szCs w:val="24"/>
        </w:rPr>
      </w:pPr>
      <w:r>
        <w:rPr>
          <w:rFonts w:cs="Arial" w:ascii="Arial" w:hAnsi="Arial"/>
          <w:smallCaps/>
          <w:sz w:val="24"/>
          <w:szCs w:val="24"/>
        </w:rPr>
        <w:t>_________</w:t>
      </w:r>
    </w:p>
    <w:p>
      <w:pPr>
        <w:pStyle w:val="Normal"/>
        <w:spacing w:lineRule="auto" w:line="240"/>
        <w:rPr>
          <w:rFonts w:ascii="Arial" w:hAnsi="Arial" w:cs="Arial"/>
          <w:smallCaps/>
          <w:sz w:val="24"/>
          <w:szCs w:val="24"/>
        </w:rPr>
      </w:pPr>
      <w:r>
        <w:rPr>
          <w:rFonts w:cs="Arial" w:ascii="Arial" w:hAnsi="Arial"/>
          <w:smallCaps/>
          <w:sz w:val="24"/>
          <w:szCs w:val="24"/>
        </w:rPr>
      </w:r>
      <w:r>
        <w:br w:type="page"/>
      </w:r>
    </w:p>
    <w:p>
      <w:pPr>
        <w:pStyle w:val="Heading2"/>
        <w:spacing w:before="0" w:after="0"/>
        <w:ind w:left="7110"/>
        <w:jc w:val="both"/>
        <w:rPr>
          <w:rFonts w:ascii="Arial" w:hAnsi="Arial" w:cs="Arial"/>
          <w:color w:val="auto"/>
          <w:sz w:val="24"/>
          <w:szCs w:val="24"/>
        </w:rPr>
      </w:pPr>
      <w:bookmarkStart w:id="74" w:name="_Toc187926820"/>
      <w:r>
        <w:rPr>
          <w:rFonts w:eastAsia="Calibri" w:cs="Arial" w:ascii="Arial" w:hAnsi="Arial"/>
          <w:color w:val="auto"/>
          <w:sz w:val="24"/>
          <w:szCs w:val="24"/>
        </w:rPr>
        <w:t>Pirkimo sąlygų 5 priedas „Europos bendrasis viešųjų pirkimų dokumentas“</w:t>
      </w:r>
      <w:bookmarkEnd w:id="74"/>
      <w:r>
        <w:rPr>
          <w:rFonts w:eastAsia="Calibri" w:cs="Arial" w:ascii="Arial" w:hAnsi="Arial"/>
          <w:color w:val="auto"/>
          <w:sz w:val="24"/>
          <w:szCs w:val="24"/>
        </w:rPr>
        <w:t xml:space="preserve"> </w:t>
      </w:r>
      <w:bookmarkEnd w:id="67"/>
      <w:bookmarkEnd w:id="68"/>
      <w:bookmarkEnd w:id="69"/>
      <w:bookmarkEnd w:id="70"/>
    </w:p>
    <w:p>
      <w:pPr>
        <w:pStyle w:val="Normal"/>
        <w:spacing w:lineRule="auto" w:line="240"/>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mallCaps/>
          <w:sz w:val="24"/>
          <w:szCs w:val="24"/>
        </w:rPr>
      </w:pPr>
      <w:r>
        <w:rPr>
          <w:rFonts w:cs="Arial" w:ascii="Arial" w:hAnsi="Arial"/>
          <w:b/>
          <w:bCs/>
          <w:sz w:val="24"/>
          <w:szCs w:val="24"/>
        </w:rPr>
        <w:t>EUROPOS BENDRASIS VIEŠŲJŲ PIRKIMŲ DOKUMENTAS</w:t>
      </w:r>
    </w:p>
    <w:p>
      <w:pPr>
        <w:pStyle w:val="Normal"/>
        <w:spacing w:lineRule="auto" w:line="240" w:before="0" w:after="0"/>
        <w:ind w:firstLine="567"/>
        <w:jc w:val="both"/>
        <w:rPr>
          <w:rFonts w:ascii="Arial" w:hAnsi="Arial" w:cs="Arial"/>
          <w:sz w:val="24"/>
          <w:szCs w:val="24"/>
        </w:rPr>
      </w:pPr>
      <w:r>
        <w:rPr>
          <w:rFonts w:cs="Arial" w:ascii="Arial" w:hAnsi="Arial"/>
          <w:sz w:val="24"/>
          <w:szCs w:val="24"/>
        </w:rPr>
        <w:t>„</w:t>
      </w:r>
      <w:r>
        <w:rPr>
          <w:rFonts w:cs="Arial" w:ascii="Arial" w:hAnsi="Arial"/>
          <w:sz w:val="24"/>
          <w:szCs w:val="24"/>
        </w:rPr>
        <w:t>Europos bendrasis viešųjų pirkimų dokumentas (EBVPD)“ pateikiamas atskiru dokumentu (</w:t>
      </w:r>
      <w:r>
        <w:rPr>
          <w:rFonts w:cs="Arial" w:ascii="Arial" w:hAnsi="Arial"/>
          <w:i/>
          <w:sz w:val="24"/>
          <w:szCs w:val="24"/>
        </w:rPr>
        <w:t>xml ir pdf formatu</w:t>
      </w:r>
      <w:r>
        <w:rPr>
          <w:rFonts w:cs="Arial" w:ascii="Arial" w:hAnsi="Arial"/>
          <w:sz w:val="24"/>
          <w:szCs w:val="24"/>
        </w:rPr>
        <w:t>).</w:t>
      </w:r>
    </w:p>
    <w:p>
      <w:pPr>
        <w:pStyle w:val="Normal"/>
        <w:spacing w:lineRule="auto" w:line="240"/>
        <w:jc w:val="center"/>
        <w:rPr>
          <w:rFonts w:ascii="Arial" w:hAnsi="Arial" w:cs="Arial"/>
          <w:smallCaps/>
          <w:sz w:val="24"/>
          <w:szCs w:val="24"/>
        </w:rPr>
      </w:pPr>
      <w:r>
        <w:rPr>
          <w:rFonts w:cs="Arial" w:ascii="Arial" w:hAnsi="Arial"/>
          <w:smallCaps/>
          <w:sz w:val="24"/>
          <w:szCs w:val="24"/>
        </w:rPr>
        <w:t>__________</w:t>
      </w:r>
    </w:p>
    <w:p>
      <w:pPr>
        <w:pStyle w:val="Normal"/>
        <w:spacing w:lineRule="auto" w:line="240"/>
        <w:rPr>
          <w:rFonts w:ascii="Arial" w:hAnsi="Arial" w:cs="Arial"/>
          <w:b/>
          <w:bCs/>
          <w:smallCaps/>
          <w:sz w:val="24"/>
          <w:szCs w:val="24"/>
        </w:rPr>
      </w:pPr>
      <w:r>
        <w:rPr>
          <w:rFonts w:cs="Arial" w:ascii="Arial" w:hAnsi="Arial"/>
          <w:b/>
          <w:bCs/>
          <w:smallCaps/>
          <w:sz w:val="24"/>
          <w:szCs w:val="24"/>
        </w:rPr>
      </w:r>
      <w:r>
        <w:br w:type="page"/>
      </w:r>
    </w:p>
    <w:p>
      <w:pPr>
        <w:pStyle w:val="Heading2"/>
        <w:spacing w:before="0" w:after="0"/>
        <w:ind w:left="7380"/>
        <w:jc w:val="both"/>
        <w:rPr>
          <w:rFonts w:ascii="Arial" w:hAnsi="Arial" w:eastAsia="Calibri" w:cs="Arial"/>
          <w:color w:val="auto"/>
          <w:sz w:val="24"/>
          <w:szCs w:val="24"/>
        </w:rPr>
      </w:pPr>
      <w:bookmarkStart w:id="75" w:name="_Ref38901392"/>
      <w:bookmarkStart w:id="76" w:name="_Ref38898051"/>
      <w:bookmarkStart w:id="77" w:name="_Ref38540913"/>
      <w:bookmarkStart w:id="78" w:name="_Toc187926821"/>
      <w:r>
        <w:rPr>
          <w:rFonts w:eastAsia="Calibri" w:cs="Arial" w:ascii="Arial" w:hAnsi="Arial"/>
          <w:color w:val="auto"/>
          <w:sz w:val="24"/>
          <w:szCs w:val="24"/>
        </w:rPr>
        <w:t>Pirkimo sąlygų 6 priedas „Pasiūlymo forma“</w:t>
      </w:r>
      <w:bookmarkEnd w:id="75"/>
      <w:bookmarkEnd w:id="76"/>
      <w:bookmarkEnd w:id="77"/>
      <w:bookmarkEnd w:id="78"/>
    </w:p>
    <w:p>
      <w:pPr>
        <w:pStyle w:val="Normal"/>
        <w:spacing w:lineRule="auto" w:line="240" w:before="0" w:after="0"/>
        <w:ind w:right="-178"/>
        <w:jc w:val="center"/>
        <w:rPr>
          <w:rFonts w:ascii="Arial" w:hAnsi="Arial" w:cs="Arial"/>
          <w:sz w:val="24"/>
          <w:szCs w:val="24"/>
        </w:rPr>
      </w:pPr>
      <w:r>
        <w:rPr>
          <w:rFonts w:cs="Arial" w:ascii="Arial" w:hAnsi="Arial"/>
          <w:sz w:val="24"/>
          <w:szCs w:val="24"/>
        </w:rPr>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Herbas arba prekių ženklas</w:t>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(Tiekėjo pavadinimas)</w:t>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widowControl w:val="false"/>
        <w:spacing w:lineRule="auto" w:line="240" w:before="0" w:after="0"/>
        <w:rPr>
          <w:rFonts w:ascii="Arial" w:hAnsi="Arial" w:cs="Arial"/>
          <w:b/>
          <w:bCs/>
          <w:sz w:val="24"/>
          <w:szCs w:val="24"/>
        </w:rPr>
      </w:pPr>
      <w:r>
        <w:rPr>
          <w:rFonts w:cs="Arial" w:ascii="Arial" w:hAnsi="Arial"/>
          <w:b/>
          <w:bCs/>
          <w:sz w:val="24"/>
          <w:szCs w:val="24"/>
        </w:rPr>
      </w:r>
    </w:p>
    <w:p>
      <w:pPr>
        <w:pStyle w:val="Normal"/>
        <w:widowControl w:val="false"/>
        <w:spacing w:lineRule="auto" w:line="240" w:before="0" w:after="0"/>
        <w:rPr>
          <w:rFonts w:ascii="Arial" w:hAnsi="Arial" w:cs="Arial"/>
          <w:b/>
          <w:bCs/>
          <w:sz w:val="24"/>
          <w:szCs w:val="24"/>
        </w:rPr>
      </w:pPr>
      <w:r>
        <w:rPr>
          <w:rFonts w:cs="Arial" w:ascii="Arial" w:hAnsi="Arial"/>
          <w:b/>
          <w:bCs/>
          <w:sz w:val="24"/>
          <w:szCs w:val="24"/>
        </w:rPr>
      </w:r>
    </w:p>
    <w:p>
      <w:pPr>
        <w:pStyle w:val="Normal"/>
        <w:widowControl w:val="false"/>
        <w:spacing w:lineRule="auto" w:line="240" w:before="0" w:after="0"/>
        <w:jc w:val="center"/>
        <w:rPr>
          <w:rFonts w:ascii="Arial" w:hAnsi="Arial" w:cs="Arial"/>
          <w:b/>
          <w:sz w:val="24"/>
          <w:szCs w:val="24"/>
        </w:rPr>
      </w:pPr>
      <w:r>
        <w:rPr>
          <w:rFonts w:cs="Arial" w:ascii="Arial" w:hAnsi="Arial"/>
          <w:b/>
          <w:sz w:val="24"/>
          <w:szCs w:val="24"/>
        </w:rPr>
        <w:t>PASIŪLYMAS</w:t>
      </w:r>
    </w:p>
    <w:p>
      <w:pPr>
        <w:pStyle w:val="Normal"/>
        <w:widowControl w:val="false"/>
        <w:spacing w:lineRule="auto" w:line="240" w:before="0" w:after="0"/>
        <w:jc w:val="center"/>
        <w:rPr/>
      </w:pPr>
      <w:r>
        <w:rPr>
          <w:rFonts w:cs="Arial" w:ascii="Arial" w:hAnsi="Arial"/>
          <w:b/>
          <w:sz w:val="24"/>
          <w:szCs w:val="24"/>
        </w:rPr>
        <w:t xml:space="preserve">DĖL </w:t>
      </w:r>
      <w:r>
        <w:rPr>
          <w:rFonts w:cs="Arial" w:ascii="Arial" w:hAnsi="Arial"/>
          <w:b/>
          <w:bCs/>
          <w:sz w:val="24"/>
          <w:szCs w:val="24"/>
          <w:shd w:fill="FFFFFF" w:val="clear"/>
        </w:rPr>
        <w:t>VEIVERIŲ TOMO ŽILINSKO GIMNAZIJOS KAPITALINIO REMONTO</w:t>
      </w:r>
      <w:r>
        <w:rPr>
          <w:rFonts w:eastAsia="Calibri" w:cs="Arial" w:ascii="Arial" w:hAnsi="Arial"/>
          <w:b/>
          <w:bCs/>
          <w:color w:themeColor="text1" w:val="000000"/>
          <w:sz w:val="24"/>
          <w:szCs w:val="24"/>
          <w:shd w:fill="FFFFFF" w:val="clear"/>
        </w:rPr>
        <w:t xml:space="preserve"> </w:t>
      </w:r>
      <w:r>
        <w:rPr>
          <w:rFonts w:cs="Arial" w:ascii="Arial" w:hAnsi="Arial"/>
          <w:b/>
          <w:bCs/>
          <w:sz w:val="24"/>
          <w:szCs w:val="24"/>
          <w:shd w:fill="FFFFFF" w:val="clear"/>
        </w:rPr>
        <w:t>TECHNINIO DARBO</w:t>
      </w:r>
      <w:r>
        <w:rPr>
          <w:rFonts w:cs="Arial" w:ascii="Arial" w:hAnsi="Arial"/>
          <w:b/>
          <w:color w:val="000000"/>
          <w:sz w:val="24"/>
          <w:szCs w:val="24"/>
        </w:rPr>
        <w:t xml:space="preserve"> PROJEKTO</w:t>
      </w:r>
      <w:r>
        <w:rPr>
          <w:rFonts w:cs="Arial" w:ascii="Arial" w:hAnsi="Arial"/>
          <w:b/>
          <w:sz w:val="24"/>
          <w:szCs w:val="24"/>
        </w:rPr>
        <w:t xml:space="preserve"> PARENGIMO PASLAUGŲ </w:t>
      </w:r>
    </w:p>
    <w:p>
      <w:pPr>
        <w:pStyle w:val="Normal"/>
        <w:widowControl w:val="false"/>
        <w:spacing w:lineRule="auto" w:line="240" w:before="0" w:after="0"/>
        <w:jc w:val="center"/>
        <w:rPr>
          <w:rFonts w:ascii="Arial" w:hAnsi="Arial" w:cs="Arial"/>
          <w:sz w:val="24"/>
          <w:szCs w:val="24"/>
        </w:rPr>
      </w:pPr>
      <w:r>
        <w:rPr>
          <w:rFonts w:cs="Arial" w:ascii="Arial" w:hAnsi="Arial"/>
          <w:sz w:val="24"/>
          <w:szCs w:val="24"/>
        </w:rPr>
        <w:t xml:space="preserve">2025 m. _____________________ d. </w:t>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t xml:space="preserve">Prienų rajono savivaldybės administracijai </w:t>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
        <w:widowControl w:val="false"/>
        <w:spacing w:lineRule="auto" w:line="240" w:before="0" w:after="0"/>
        <w:ind w:firstLine="567"/>
        <w:rPr>
          <w:rFonts w:ascii="Arial" w:hAnsi="Arial" w:cs="Arial"/>
          <w:b/>
          <w:caps/>
          <w:sz w:val="24"/>
          <w:szCs w:val="24"/>
        </w:rPr>
      </w:pPr>
      <w:r>
        <w:rPr>
          <w:rFonts w:cs="Arial" w:ascii="Arial" w:hAnsi="Arial"/>
          <w:b/>
          <w:sz w:val="24"/>
          <w:szCs w:val="24"/>
        </w:rPr>
        <w:t xml:space="preserve">1. Informacija apie tiekėją </w:t>
      </w:r>
    </w:p>
    <w:tbl>
      <w:tblPr>
        <w:tblW w:w="999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489"/>
        <w:gridCol w:w="4500"/>
      </w:tblGrid>
      <w:tr>
        <w:trPr>
          <w:trHeight w:val="195" w:hRule="atLeast"/>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Teikėjo arba ūkio subjektų grupės narių pavadinimas (-ai)</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Tiekėjo arba ūkio subjektų grupės narių juridinio asmens kodas (-ai) (tuo atveju, jei pasiūlymą teikia fizinis asmuo - verslo pažymėjimo Nr. ar pan.)</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PVM mokėtojo kodas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Ūkio subjektų grupės narys, atstovaujantis grupei (pildoma, jei pasiūlymą teikia ūkio subjektų grupė)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Tiekėjo adresas (jeigu dalyvauja ūkio subjektų grupė, surašomi visi dalyvių adresai)</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Atsiskaitomosios sąskaitos numeris, bankas, banko kodas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Įmonės vadovo pareigos, vardas, pavardė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Už pasiūlymą atsakingo asmens pareigos, vardas, pavardė, telefono numeris, el. pašto adresas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Už sutarties vykdymą atsakingo asmens pareigos, vardas, pavardė, telefono numeris, el. pašto adresas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Sutartį Tiekėjas galės pasirašyti elektroniniu parašu (Taip/Ne)</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Sutartį pasirašančio asmens pareigos, vardas, pavardė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bl>
    <w:p>
      <w:pPr>
        <w:pStyle w:val="Normal"/>
        <w:widowControl w:val="false"/>
        <w:spacing w:lineRule="auto" w:line="240" w:before="0" w:after="0"/>
        <w:ind w:firstLine="567"/>
        <w:rPr>
          <w:rFonts w:ascii="Arial" w:hAnsi="Arial" w:cs="Arial"/>
          <w:b/>
          <w:caps/>
          <w:sz w:val="24"/>
          <w:szCs w:val="24"/>
        </w:rPr>
      </w:pPr>
      <w:r>
        <w:rPr>
          <w:rFonts w:cs="Arial" w:ascii="Arial" w:hAnsi="Arial"/>
          <w:b/>
          <w:caps/>
          <w:sz w:val="24"/>
          <w:szCs w:val="24"/>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1.1. Šiuo pasiūlymu pažymime, kad sutinkame su visomis pirkimo sąlygomis, nustatytomis: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1.1.1. skelbime apie pirkimą;</w:t>
      </w:r>
    </w:p>
    <w:p>
      <w:pPr>
        <w:pStyle w:val="Normal"/>
        <w:spacing w:lineRule="auto" w:line="240" w:before="0" w:after="0"/>
        <w:ind w:firstLine="567"/>
        <w:jc w:val="both"/>
        <w:rPr>
          <w:rFonts w:ascii="Arial" w:hAnsi="Arial" w:cs="Arial"/>
          <w:sz w:val="24"/>
          <w:szCs w:val="24"/>
        </w:rPr>
      </w:pPr>
      <w:r>
        <w:rPr>
          <w:rFonts w:cs="Arial" w:ascii="Arial" w:hAnsi="Arial"/>
          <w:sz w:val="24"/>
          <w:szCs w:val="24"/>
        </w:rPr>
        <w:t>1.1.2. skelbiamos apklausos bendrosiose ir specialiosiose sąlygose (kartu su priedais);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1.1.3. dokumentų paaiškinimuose (patikslinimuose), taip pat atsakymuose į tiekėjų klausimus (jei tokių bus);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1.1.4. kituose CVP IS priemonėmis pateiktuose dokumentuose.</w:t>
      </w:r>
    </w:p>
    <w:p>
      <w:pPr>
        <w:pStyle w:val="Normal"/>
        <w:spacing w:lineRule="auto" w:line="240" w:before="0" w:after="0"/>
        <w:ind w:firstLine="567"/>
        <w:jc w:val="both"/>
        <w:rPr>
          <w:rFonts w:ascii="Arial" w:hAnsi="Arial" w:cs="Arial"/>
          <w:sz w:val="24"/>
          <w:szCs w:val="24"/>
        </w:rPr>
      </w:pPr>
      <w:r>
        <w:rPr>
          <w:rFonts w:cs="Arial" w:ascii="Arial" w:hAnsi="Arial"/>
          <w:sz w:val="24"/>
          <w:szCs w:val="24"/>
        </w:rPr>
        <w:t>1.2. Pateikdami CVP IS priemonėmis pasiūlymą, patvirtiname, kad dokumentų skaitmeninės kopijos ir elektroninėmis priemonėmis pateikti duomenys yra tikri.</w:t>
      </w:r>
    </w:p>
    <w:p>
      <w:pPr>
        <w:pStyle w:val="Normal"/>
        <w:spacing w:lineRule="auto" w:line="240" w:before="0" w:after="0"/>
        <w:ind w:firstLine="567"/>
        <w:jc w:val="both"/>
        <w:rPr>
          <w:rFonts w:ascii="Arial" w:hAnsi="Arial" w:cs="Arial"/>
          <w:sz w:val="24"/>
          <w:szCs w:val="24"/>
        </w:rPr>
      </w:pPr>
      <w:r>
        <w:rPr>
          <w:rFonts w:cs="Arial" w:ascii="Arial" w:hAnsi="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Normal"/>
        <w:spacing w:lineRule="auto" w:line="240" w:before="0" w:after="0"/>
        <w:ind w:firstLine="567"/>
        <w:jc w:val="both"/>
        <w:rPr>
          <w:rFonts w:ascii="Arial" w:hAnsi="Arial" w:cs="Arial"/>
          <w:sz w:val="24"/>
          <w:szCs w:val="24"/>
        </w:rPr>
      </w:pPr>
      <w:r>
        <w:rPr>
          <w:rFonts w:cs="Arial" w:ascii="Arial" w:hAnsi="Arial"/>
          <w:sz w:val="24"/>
          <w:szCs w:val="24"/>
        </w:rPr>
        <w:t>1.4. Pasiūlymas galioja ne trumpiau nei 90 kalendorinių dienų nuo paskutinės pasiūlymo pateikimo dienos, šią dieną įskaičiuojant į pasiūlymo galiojimo laikotarpį.</w:t>
      </w:r>
    </w:p>
    <w:p>
      <w:pPr>
        <w:pStyle w:val="Normal"/>
        <w:spacing w:lineRule="auto" w:line="240" w:before="0" w:after="0"/>
        <w:ind w:firstLine="567"/>
        <w:jc w:val="both"/>
        <w:rPr>
          <w:rFonts w:ascii="Arial" w:hAnsi="Arial" w:cs="Arial"/>
          <w:sz w:val="24"/>
          <w:szCs w:val="24"/>
        </w:rPr>
      </w:pPr>
      <w:r>
        <w:rPr>
          <w:rFonts w:cs="Arial" w:ascii="Arial" w:hAnsi="Arial"/>
          <w:sz w:val="24"/>
          <w:szCs w:val="24"/>
        </w:rPr>
        <w:t>1.5. Patvirtiname, kad visa mūsų pasiūlyme pateikta informacija yra teisinga ir kad mes nenuslėpėme jokios informacijos, kurią buvo prašoma pateikti pirkimo dokumentuose.</w:t>
      </w:r>
    </w:p>
    <w:p>
      <w:pPr>
        <w:pStyle w:val="Normal"/>
        <w:spacing w:lineRule="auto" w:line="240" w:before="0" w:after="0"/>
        <w:ind w:firstLine="567"/>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t xml:space="preserve">2. Kokybiniai kriterijai </w:t>
      </w:r>
    </w:p>
    <w:p>
      <w:pPr>
        <w:pStyle w:val="Normal"/>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sz w:val="24"/>
          <w:szCs w:val="24"/>
        </w:rPr>
        <w:t>Siūlomi kokybiniai pasiūlymo vertinimo kriterijai:</w:t>
      </w:r>
    </w:p>
    <w:tbl>
      <w:tblPr>
        <w:tblW w:w="999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19"/>
        <w:gridCol w:w="2970"/>
      </w:tblGrid>
      <w:tr>
        <w:trPr>
          <w:trHeight w:val="600"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sz w:val="22"/>
                <w:szCs w:val="22"/>
              </w:rPr>
            </w:pPr>
            <w:r>
              <w:rPr>
                <w:rFonts w:cs="Arial" w:ascii="Arial" w:hAnsi="Arial"/>
                <w:b/>
                <w:sz w:val="22"/>
                <w:szCs w:val="22"/>
              </w:rPr>
              <w:t>Kokybinis vertinimo kriterijus</w:t>
            </w:r>
          </w:p>
        </w:tc>
        <w:tc>
          <w:tcPr>
            <w:tcW w:w="297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sz w:val="22"/>
                <w:szCs w:val="22"/>
              </w:rPr>
            </w:pPr>
            <w:r>
              <w:rPr>
                <w:rFonts w:cs="Arial" w:ascii="Arial" w:hAnsi="Arial"/>
                <w:b/>
                <w:sz w:val="22"/>
                <w:szCs w:val="22"/>
              </w:rPr>
              <w:t>Siūlomo kriterijaus aprašymas</w:t>
            </w:r>
          </w:p>
        </w:tc>
      </w:tr>
      <w:tr>
        <w:trPr>
          <w:trHeight w:val="611" w:hRule="atLeast"/>
        </w:trPr>
        <w:tc>
          <w:tcPr>
            <w:tcW w:w="9989" w:type="dxa"/>
            <w:gridSpan w:val="2"/>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lineRule="auto" w:line="240" w:before="0" w:after="0"/>
              <w:jc w:val="both"/>
              <w:rPr>
                <w:rFonts w:ascii="Arial" w:hAnsi="Arial" w:cs="Arial"/>
                <w:i/>
                <w:i/>
                <w:iCs/>
                <w:color w:val="FF0000"/>
                <w:sz w:val="22"/>
                <w:szCs w:val="22"/>
              </w:rPr>
            </w:pPr>
            <w:r>
              <w:rPr>
                <w:rFonts w:cs="Arial" w:ascii="Arial" w:hAnsi="Arial"/>
                <w:b/>
                <w:bCs/>
                <w:sz w:val="22"/>
                <w:szCs w:val="22"/>
              </w:rPr>
              <w:t>Mokslo paskirties pastatų (1C2p2, 2C2p ir 4C1p) Veiverių Tomo Žilinsko gimnazijos Kauno g. 29 Veiveriuose, Prienų r. sav. kapitalinio remonto techninis darbo projektas</w:t>
            </w:r>
          </w:p>
        </w:tc>
      </w:tr>
      <w:tr>
        <w:trPr>
          <w:trHeight w:val="1889"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Statinio 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Vertinama s</w:t>
            </w:r>
            <w:r>
              <w:rPr>
                <w:rFonts w:cs="Arial" w:ascii="Arial" w:hAnsi="Arial"/>
                <w:sz w:val="22"/>
                <w:szCs w:val="22"/>
              </w:rPr>
              <w:t>iūlomo statinio projekto vadovo patirtis per pastaruosius 3 metus iki pasiūlymų pateikimo termino pabaigos vykdant projekto vadovo funkcijas.</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objektų (ypatingųjų statinių), kuriuose siūlomas specialistas vykdė statinio projekto vadovo funkcijas ir kuriems buvo išduotas statybos leidimas, skaičius – 3.</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objektų (ypatingųjų  statinių), kuriuose siūlomas specialistas vykdė projekto vadovo funkcijas ir kuriems buvo išduotas statybos leidimas per pastaruosius 3 metus iki pasiūlymų pateikimo termino pabaigos]</w:t>
            </w:r>
          </w:p>
        </w:tc>
      </w:tr>
    </w:tbl>
    <w:p>
      <w:pPr>
        <w:pStyle w:val="Normal"/>
        <w:spacing w:lineRule="auto" w:line="240" w:before="0" w:after="0"/>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t xml:space="preserve">3. Pasiūlymo kaina </w:t>
      </w:r>
    </w:p>
    <w:p>
      <w:pPr>
        <w:pStyle w:val="Normal"/>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 xml:space="preserve">Tiekėjas turi užpildyti tą lentelės dalį, dėl kurios pirkimo objekto dalies teikia pasiūlymą. </w:t>
      </w:r>
    </w:p>
    <w:tbl>
      <w:tblPr>
        <w:tblW w:w="100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32"/>
        <w:gridCol w:w="5403"/>
        <w:gridCol w:w="1350"/>
        <w:gridCol w:w="1166"/>
        <w:gridCol w:w="1624"/>
      </w:tblGrid>
      <w:tr>
        <w:trPr>
          <w:trHeight w:val="552" w:hRule="atLeast"/>
        </w:trPr>
        <w:tc>
          <w:tcPr>
            <w:tcW w:w="53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Eil. Nr.</w:t>
            </w:r>
          </w:p>
        </w:tc>
        <w:tc>
          <w:tcPr>
            <w:tcW w:w="5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Paslaugų pavadinimas</w:t>
            </w:r>
          </w:p>
        </w:tc>
        <w:tc>
          <w:tcPr>
            <w:tcW w:w="13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cs="Arial" w:ascii="Arial" w:hAnsi="Arial"/>
                <w:sz w:val="22"/>
                <w:szCs w:val="22"/>
              </w:rPr>
              <w:t>Kaina, Eur be PVM</w:t>
            </w:r>
          </w:p>
        </w:tc>
        <w:tc>
          <w:tcPr>
            <w:tcW w:w="116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PVM (21%), Eur</w:t>
            </w:r>
          </w:p>
        </w:tc>
        <w:tc>
          <w:tcPr>
            <w:tcW w:w="162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Pasiūlymo kaina, Eur su PVM</w:t>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Style5"/>
              <w:tabs>
                <w:tab w:val="clear" w:pos="1296"/>
                <w:tab w:val="left" w:pos="7545" w:leader="none"/>
              </w:tabs>
              <w:ind w:right="6"/>
              <w:jc w:val="both"/>
              <w:rPr>
                <w:rFonts w:ascii="Arial" w:hAnsi="Arial" w:cs="Arial"/>
                <w:b/>
                <w:sz w:val="22"/>
                <w:szCs w:val="22"/>
              </w:rPr>
            </w:pPr>
            <w:r>
              <w:rPr>
                <w:rFonts w:cs="Arial" w:ascii="Arial" w:hAnsi="Arial"/>
                <w:b/>
                <w:bCs/>
                <w:sz w:val="22"/>
                <w:szCs w:val="22"/>
              </w:rPr>
              <w:t>Mokslo paskirties pastatų (1C2p2, 2C2p ir 4C1p) Veiverių Tomo Žilinsko gimnazijos Kauno g. 29 Veiveriuose, Prienų r. sav. kapitalinio remonto techninis darbo projektas</w:t>
            </w:r>
          </w:p>
        </w:tc>
      </w:tr>
      <w:tr>
        <w:trPr>
          <w:trHeight w:val="305" w:hRule="atLeast"/>
        </w:trPr>
        <w:tc>
          <w:tcPr>
            <w:tcW w:w="53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sz w:val="22"/>
                <w:szCs w:val="22"/>
              </w:rPr>
            </w:pPr>
            <w:r>
              <w:rPr>
                <w:rFonts w:cs="Arial" w:ascii="Arial" w:hAnsi="Arial"/>
                <w:bCs/>
                <w:sz w:val="22"/>
                <w:szCs w:val="22"/>
              </w:rPr>
              <w:t>Mokslo paskirties pastatų (1C2p2, 2C2p ir 4C1p) Veiverių Tomo Žilinsko gimnazijos Kauno g. 29 Veiveriuose, Prienų r. sav. kapitalinio remonto techninio darbo projekto parengimo paslaugos</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6"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4"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bCs/>
                <w:i/>
                <w:i/>
                <w:sz w:val="22"/>
                <w:szCs w:val="22"/>
              </w:rPr>
            </w:pPr>
            <w:r>
              <w:rPr>
                <w:rFonts w:cs="Arial" w:ascii="Arial" w:hAnsi="Arial"/>
                <w:b/>
                <w:bCs/>
                <w:i/>
                <w:sz w:val="22"/>
                <w:szCs w:val="22"/>
              </w:rPr>
              <w:t>Bendra pasiūlymo kaina žodžiais:</w:t>
            </w:r>
          </w:p>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r>
          </w:p>
        </w:tc>
      </w:tr>
    </w:tbl>
    <w:p>
      <w:pPr>
        <w:pStyle w:val="Normal"/>
        <w:spacing w:lineRule="auto" w:line="240" w:before="0" w:after="0"/>
        <w:jc w:val="both"/>
        <w:rPr>
          <w:rFonts w:ascii="Arial" w:hAnsi="Arial" w:cs="Arial"/>
          <w:sz w:val="24"/>
          <w:szCs w:val="24"/>
          <w:u w:val="single"/>
        </w:rPr>
      </w:pPr>
      <w:r>
        <w:rPr>
          <w:rFonts w:cs="Arial" w:ascii="Arial" w:hAnsi="Arial"/>
          <w:sz w:val="24"/>
          <w:szCs w:val="24"/>
        </w:rPr>
        <w:t>Jei tiekėjas yra ne PVM mokėtojas, jis laukelių, kuriuose yra nurodomas PVM, nepildo ir nurodo priežastis, dėl kurių PVM nemoka: _________________________________________</w:t>
      </w:r>
      <w:r>
        <w:rPr>
          <w:rFonts w:cs="Arial" w:ascii="Arial" w:hAnsi="Arial"/>
          <w:sz w:val="24"/>
          <w:szCs w:val="24"/>
          <w:u w:val="single"/>
        </w:rPr>
        <w:t>.</w:t>
      </w:r>
    </w:p>
    <w:p>
      <w:pPr>
        <w:pStyle w:val="Normal"/>
        <w:widowControl w:val="false"/>
        <w:spacing w:lineRule="auto" w:line="240" w:before="0" w:after="0"/>
        <w:ind w:firstLine="567"/>
        <w:jc w:val="both"/>
        <w:rPr>
          <w:rFonts w:ascii="Arial" w:hAnsi="Arial" w:cs="Arial"/>
          <w:b/>
          <w:iCs/>
          <w:sz w:val="24"/>
          <w:szCs w:val="24"/>
        </w:rPr>
      </w:pPr>
      <w:r>
        <w:rPr>
          <w:rFonts w:cs="Arial" w:ascii="Arial" w:hAnsi="Arial"/>
          <w:b/>
          <w:iCs/>
          <w:sz w:val="24"/>
          <w:szCs w:val="24"/>
        </w:rPr>
        <w:t xml:space="preserve"> </w:t>
      </w:r>
    </w:p>
    <w:p>
      <w:pPr>
        <w:pStyle w:val="Normal"/>
        <w:widowControl w:val="false"/>
        <w:spacing w:lineRule="auto" w:line="240" w:before="0" w:after="0"/>
        <w:ind w:firstLine="567"/>
        <w:jc w:val="both"/>
        <w:rPr>
          <w:rFonts w:ascii="Arial" w:hAnsi="Arial" w:cs="Arial"/>
          <w:b/>
          <w:sz w:val="24"/>
          <w:szCs w:val="24"/>
        </w:rPr>
      </w:pPr>
      <w:r>
        <w:rPr>
          <w:rFonts w:cs="Arial" w:ascii="Arial" w:hAnsi="Arial"/>
          <w:b/>
          <w:sz w:val="24"/>
          <w:szCs w:val="24"/>
        </w:rPr>
        <w:t>Teikdami šį pasiūlymą patvirtiname, kad į siūlomą kainą įskaičiuotos visos vykdymo išlaidos ir visi mokesčiai,</w:t>
      </w:r>
      <w:r>
        <w:rPr>
          <w:rFonts w:cs="Arial" w:ascii="Arial" w:hAnsi="Arial"/>
          <w:sz w:val="24"/>
          <w:szCs w:val="24"/>
        </w:rPr>
        <w:t xml:space="preserve"> </w:t>
      </w:r>
      <w:r>
        <w:rPr>
          <w:rFonts w:cs="Arial" w:ascii="Arial" w:hAnsi="Arial"/>
          <w:b/>
          <w:sz w:val="24"/>
          <w:szCs w:val="24"/>
        </w:rPr>
        <w:t>taip pat ir PVM. Prisiimame riziką už visas išlaidas, kurias teikdami pasiūlymą ir laikydamiesi Perkančiosios organizacijos reikalavimų, privalėjome įskaičiuoti į pasiūlymo kainą.</w:t>
      </w:r>
    </w:p>
    <w:p>
      <w:pPr>
        <w:pStyle w:val="Normal"/>
        <w:tabs>
          <w:tab w:val="clear" w:pos="1296"/>
          <w:tab w:val="left" w:pos="720" w:leader="none"/>
        </w:tabs>
        <w:spacing w:lineRule="auto" w:line="240" w:before="0" w:after="0"/>
        <w:ind w:firstLine="567"/>
        <w:rPr>
          <w:rFonts w:ascii="Arial" w:hAnsi="Arial" w:cs="Arial"/>
          <w:b/>
          <w:sz w:val="24"/>
          <w:szCs w:val="24"/>
        </w:rPr>
      </w:pPr>
      <w:r>
        <w:rPr>
          <w:rFonts w:cs="Arial" w:ascii="Arial" w:hAnsi="Arial"/>
          <w:b/>
          <w:sz w:val="24"/>
          <w:szCs w:val="24"/>
        </w:rPr>
      </w:r>
    </w:p>
    <w:p>
      <w:pPr>
        <w:pStyle w:val="Normal"/>
        <w:widowControl w:val="false"/>
        <w:spacing w:lineRule="auto" w:line="240" w:before="0" w:after="0"/>
        <w:ind w:firstLine="567"/>
        <w:rPr>
          <w:rFonts w:ascii="Arial" w:hAnsi="Arial" w:cs="Arial"/>
          <w:b/>
          <w:sz w:val="24"/>
          <w:szCs w:val="24"/>
        </w:rPr>
      </w:pPr>
      <w:r>
        <w:rPr>
          <w:rFonts w:cs="Arial" w:ascii="Arial" w:hAnsi="Arial"/>
          <w:b/>
          <w:sz w:val="24"/>
          <w:szCs w:val="24"/>
        </w:rPr>
        <w:t>3. Kartu su pasiūlymu pateikiami šie dokumentai:</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6789"/>
        <w:gridCol w:w="2588"/>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Pateiktų dokumentų pavadinimas</w:t>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Dokumento puslapių skaičius</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hd w:val="clear" w:color="auto" w:fill="FFFFFF"/>
        <w:spacing w:lineRule="auto" w:line="240" w:before="0" w:after="0"/>
        <w:ind w:firstLine="567"/>
        <w:rPr>
          <w:rFonts w:ascii="Arial" w:hAnsi="Arial" w:cs="Arial"/>
          <w:b/>
          <w:sz w:val="24"/>
          <w:szCs w:val="24"/>
        </w:rPr>
      </w:pPr>
      <w:r>
        <w:rPr>
          <w:rFonts w:cs="Arial" w:ascii="Arial" w:hAnsi="Arial"/>
          <w:b/>
          <w:sz w:val="24"/>
          <w:szCs w:val="24"/>
        </w:rPr>
      </w:r>
    </w:p>
    <w:p>
      <w:pPr>
        <w:pStyle w:val="Normal"/>
        <w:widowControl w:val="false"/>
        <w:shd w:val="clear" w:color="auto" w:fill="FFFFFF"/>
        <w:spacing w:lineRule="auto" w:line="240" w:before="0" w:after="0"/>
        <w:ind w:firstLine="567"/>
        <w:rPr>
          <w:rFonts w:ascii="Arial" w:hAnsi="Arial" w:cs="Arial"/>
          <w:sz w:val="24"/>
          <w:szCs w:val="24"/>
        </w:rPr>
      </w:pPr>
      <w:r>
        <w:rPr>
          <w:rFonts w:cs="Arial" w:ascii="Arial" w:hAnsi="Arial"/>
          <w:b/>
          <w:sz w:val="24"/>
          <w:szCs w:val="24"/>
        </w:rPr>
        <w:t>4. *Vykdant sutartį pasitelksime šiuos subtiekėjus:</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6792"/>
        <w:gridCol w:w="2585"/>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Subtiekėjų pavadinimas</w:t>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Subtiekėjui perduodama dalis (%)</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pacing w:lineRule="auto" w:line="240" w:before="0" w:after="0"/>
        <w:rPr>
          <w:rFonts w:ascii="Arial" w:hAnsi="Arial" w:cs="Arial"/>
          <w:sz w:val="20"/>
          <w:szCs w:val="20"/>
        </w:rPr>
      </w:pPr>
      <w:r>
        <w:rPr>
          <w:rFonts w:cs="Arial" w:ascii="Arial" w:hAnsi="Arial"/>
          <w:sz w:val="20"/>
          <w:szCs w:val="20"/>
        </w:rPr>
        <w:t>*Pildyti tuomet, jei bus sutarties vykdymui bus pasitelkti subtiekėjai.</w:t>
      </w:r>
    </w:p>
    <w:p>
      <w:pPr>
        <w:pStyle w:val="Normal"/>
        <w:widowControl w:val="false"/>
        <w:spacing w:lineRule="auto" w:line="240" w:before="0" w:after="0"/>
        <w:ind w:firstLine="720"/>
        <w:rPr>
          <w:rFonts w:ascii="Arial" w:hAnsi="Arial" w:cs="Arial"/>
          <w:bCs/>
          <w:sz w:val="24"/>
          <w:szCs w:val="24"/>
        </w:rPr>
      </w:pPr>
      <w:r>
        <w:rPr>
          <w:rFonts w:cs="Arial" w:ascii="Arial" w:hAnsi="Arial"/>
          <w:bCs/>
          <w:sz w:val="24"/>
          <w:szCs w:val="24"/>
        </w:rPr>
      </w:r>
    </w:p>
    <w:p>
      <w:pPr>
        <w:pStyle w:val="Normal"/>
        <w:widowControl w:val="false"/>
        <w:spacing w:lineRule="auto" w:line="240" w:before="0" w:after="0"/>
        <w:ind w:firstLine="567"/>
        <w:rPr>
          <w:rFonts w:ascii="Arial" w:hAnsi="Arial" w:cs="Arial"/>
          <w:b/>
          <w:sz w:val="24"/>
          <w:szCs w:val="24"/>
        </w:rPr>
      </w:pPr>
      <w:r>
        <w:rPr>
          <w:rFonts w:cs="Arial" w:ascii="Arial" w:hAnsi="Arial"/>
          <w:b/>
          <w:sz w:val="24"/>
          <w:szCs w:val="24"/>
        </w:rPr>
        <w:t>5. *Šiame pasiūlyme yra pateikta ir konfidenciali informacija:</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9376"/>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Pateikto dokumento pavadinimas</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 Pildyti tuomet, jei bus pateikta konfidenciali informacija. Visas tiekėjo pasiūlymas ir paraiška negali būti laikomi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1) jeigu tai pažeistų įstatymus, nustatančius informacijos atskleidimo ar teisės gauti informaciją reikalavimus, ir šių įstatymų įgyvendinamuosius teisės aktus;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4) informacija apie pasitelktus ūkio subjektus, kurių pajėgumais remiasi tiekėjas, ir subtiekėjus – tuo atveju, kai ši informacija reikalinga tiekėjui jo teisėtiems interesams ginti.</w:t>
      </w:r>
    </w:p>
    <w:p>
      <w:pPr>
        <w:pStyle w:val="Normal"/>
        <w:widowControl w:val="false"/>
        <w:spacing w:lineRule="auto" w:line="240" w:before="0" w:after="0"/>
        <w:jc w:val="both"/>
        <w:rPr>
          <w:rFonts w:ascii="Arial" w:hAnsi="Arial" w:cs="Arial"/>
          <w:sz w:val="20"/>
          <w:szCs w:val="20"/>
        </w:rPr>
      </w:pPr>
      <w:r>
        <w:rPr>
          <w:rFonts w:cs="Arial" w:ascii="Arial" w:hAnsi="Arial"/>
          <w:sz w:val="20"/>
          <w:szCs w:val="20"/>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Pasirašydami šį pasiūlymą tvirtiname, kad:</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1)</w:t>
        <w:tab/>
        <w:t>pasiūlymas galioja 90 kalendorių dienų nuo pasiūlymų pateikimo termino pabaigos;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2)</w:t>
        <w:tab/>
        <w:t>sutinkame su visomis pirkimo dokumentuose, jų paaiškinimuose, papildymuose nustatytomis sąlygomis;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3)</w:t>
        <w:tab/>
        <w:t>visa pasiūlyme pateikta informacija yra teisinga ir nenuslėpėme jokios informacijos, kurią buvo prašoma pateikti pirkimo dokumentuose;</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4)</w:t>
        <w:tab/>
        <w:t>suprantame, kad išaiškėjus 3 punkte nurodytoms aplinkybėms, būsime pašalinti iš šio pirkimo ir mūsų pateiktas pasiūlymas bus atmestas.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________________________________          ___________</w:t>
        <w:tab/>
        <w:t xml:space="preserve">      _________________</w:t>
      </w:r>
    </w:p>
    <w:p>
      <w:pPr>
        <w:pStyle w:val="Normal"/>
        <w:spacing w:lineRule="auto" w:line="240" w:before="0" w:after="0"/>
        <w:rPr>
          <w:rFonts w:ascii="Arial" w:hAnsi="Arial" w:cs="Arial"/>
          <w:sz w:val="20"/>
          <w:szCs w:val="20"/>
        </w:rPr>
      </w:pPr>
      <w:r>
        <w:rPr>
          <w:rFonts w:cs="Arial" w:ascii="Arial" w:hAnsi="Arial"/>
          <w:sz w:val="20"/>
          <w:szCs w:val="20"/>
        </w:rPr>
        <w:t>(Tiekėjo arba jo įgalioto asmens</w:t>
        <w:tab/>
        <w:tab/>
        <w:t>(Parašas)</w:t>
        <w:tab/>
        <w:t xml:space="preserve">        (Vardas ir pavardė)</w:t>
      </w:r>
    </w:p>
    <w:p>
      <w:pPr>
        <w:pStyle w:val="Normal"/>
        <w:spacing w:lineRule="auto" w:line="240" w:before="0" w:after="0"/>
        <w:rPr>
          <w:rFonts w:ascii="Arial" w:hAnsi="Arial" w:cs="Arial"/>
          <w:sz w:val="20"/>
          <w:szCs w:val="20"/>
        </w:rPr>
      </w:pPr>
      <w:r>
        <w:rPr>
          <w:rFonts w:cs="Arial" w:ascii="Arial" w:hAnsi="Arial"/>
          <w:sz w:val="20"/>
          <w:szCs w:val="20"/>
        </w:rPr>
        <w:t>pareigų pavadinimas)</w:t>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bookmarkStart w:id="79" w:name="_Ref40278562"/>
      <w:bookmarkStart w:id="80" w:name="_Ref39484039"/>
      <w:bookmarkStart w:id="81" w:name="_Ref40278562"/>
      <w:bookmarkStart w:id="82" w:name="_Ref39484039"/>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t xml:space="preserve">Pirkimo sąlygų 7 priedas </w:t>
      </w:r>
    </w:p>
    <w:p>
      <w:pPr>
        <w:pStyle w:val="Normal"/>
        <w:spacing w:lineRule="auto" w:line="240" w:before="0" w:after="0"/>
        <w:ind w:left="7200"/>
        <w:rPr>
          <w:rFonts w:ascii="Arial" w:hAnsi="Arial" w:cs="Arial"/>
          <w:b/>
          <w:bCs/>
          <w:smallCaps/>
          <w:sz w:val="24"/>
          <w:szCs w:val="24"/>
        </w:rPr>
      </w:pPr>
      <w:r>
        <w:rPr>
          <w:rFonts w:eastAsia="Calibri" w:cs="Arial" w:ascii="Arial" w:hAnsi="Arial"/>
          <w:sz w:val="24"/>
          <w:szCs w:val="24"/>
        </w:rPr>
        <w:t>„</w:t>
      </w:r>
      <w:r>
        <w:rPr>
          <w:rFonts w:eastAsia="Calibri" w:cs="Arial" w:ascii="Arial" w:hAnsi="Arial"/>
          <w:sz w:val="24"/>
          <w:szCs w:val="24"/>
        </w:rPr>
        <w:t>Pasiūlymų vertinimo kriterijai ir sąlygos“</w:t>
      </w:r>
      <w:bookmarkEnd w:id="81"/>
      <w:bookmarkEnd w:id="82"/>
    </w:p>
    <w:p>
      <w:pPr>
        <w:pStyle w:val="Normal"/>
        <w:spacing w:lineRule="auto" w:line="240" w:before="0" w:after="0"/>
        <w:jc w:val="center"/>
        <w:rPr>
          <w:rFonts w:ascii="Arial" w:hAnsi="Arial" w:cs="Arial"/>
          <w:b/>
          <w:sz w:val="24"/>
          <w:szCs w:val="24"/>
        </w:rPr>
      </w:pPr>
      <w:r>
        <w:rPr>
          <w:rFonts w:cs="Arial" w:ascii="Arial" w:hAnsi="Arial"/>
          <w:b/>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t>PASIŪLYMŲ VERTINIMO KRITERIJAI IR SĄLYGOS</w:t>
      </w:r>
    </w:p>
    <w:p>
      <w:pPr>
        <w:pStyle w:val="Normal"/>
        <w:spacing w:lineRule="auto" w:line="240" w:before="0" w:after="0"/>
        <w:rPr>
          <w:rFonts w:ascii="Arial" w:hAnsi="Arial" w:cs="Arial"/>
          <w:b/>
          <w:bCs/>
          <w:sz w:val="24"/>
          <w:szCs w:val="24"/>
        </w:rPr>
      </w:pPr>
      <w:r>
        <w:rPr>
          <w:rFonts w:cs="Arial" w:ascii="Arial" w:hAnsi="Arial"/>
          <w:b/>
          <w:bCs/>
          <w:sz w:val="24"/>
          <w:szCs w:val="24"/>
        </w:rPr>
      </w:r>
    </w:p>
    <w:p>
      <w:pPr>
        <w:pStyle w:val="ListParagraph"/>
        <w:numPr>
          <w:ilvl w:val="0"/>
          <w:numId w:val="26"/>
        </w:numPr>
        <w:spacing w:lineRule="auto" w:line="240" w:before="0" w:after="0"/>
        <w:ind w:firstLine="567" w:left="0"/>
        <w:contextualSpacing/>
        <w:jc w:val="both"/>
        <w:rPr>
          <w:rFonts w:ascii="Arial" w:hAnsi="Arial" w:eastAsia="Calibri" w:cs="Arial"/>
          <w:bCs/>
          <w:sz w:val="24"/>
          <w:szCs w:val="24"/>
        </w:rPr>
      </w:pPr>
      <w:r>
        <w:rPr>
          <w:rFonts w:eastAsia="Calibri" w:cs="Arial" w:ascii="Arial" w:hAnsi="Arial"/>
          <w:color w:themeColor="text1" w:val="000000"/>
          <w:sz w:val="24"/>
          <w:szCs w:val="24"/>
        </w:rPr>
        <w:t xml:space="preserve">Šiame pirkime ekonomiškai naudingiausias pasiūlymas bus išrenkamas </w:t>
      </w:r>
      <w:r>
        <w:rPr>
          <w:rFonts w:eastAsia="Calibri" w:cs="Arial" w:ascii="Arial" w:hAnsi="Arial"/>
          <w:b/>
          <w:bCs/>
          <w:color w:themeColor="text1" w:val="000000"/>
          <w:sz w:val="24"/>
          <w:szCs w:val="24"/>
        </w:rPr>
        <w:t>pagal kainos ir kokybės santykį.</w:t>
      </w:r>
      <w:r>
        <w:rPr>
          <w:rFonts w:eastAsia="Calibri" w:cs="Arial" w:ascii="Arial" w:hAnsi="Arial"/>
          <w:bCs/>
          <w:sz w:val="24"/>
          <w:szCs w:val="24"/>
        </w:rPr>
        <w:t xml:space="preserve"> Duomenys, kuriuos savo pasiūlyme turi pateikti tiekėjas, vertinimo kriterijai ir tvarka, pagal kurią vertinami tiekėjo pateikti duomenys, pateikiama pirkimo sąlygų 6 priede.</w:t>
      </w:r>
    </w:p>
    <w:p>
      <w:pPr>
        <w:pStyle w:val="ListParagraph"/>
        <w:numPr>
          <w:ilvl w:val="0"/>
          <w:numId w:val="26"/>
        </w:numPr>
        <w:spacing w:lineRule="auto" w:line="240" w:before="0" w:after="0"/>
        <w:ind w:firstLine="567" w:left="0"/>
        <w:contextualSpacing/>
        <w:jc w:val="both"/>
        <w:rPr>
          <w:rFonts w:ascii="Arial" w:hAnsi="Arial" w:eastAsia="Calibri" w:cs="Arial"/>
          <w:b/>
          <w:bCs/>
          <w:sz w:val="24"/>
          <w:szCs w:val="24"/>
        </w:rPr>
      </w:pPr>
      <w:r>
        <w:rPr>
          <w:rFonts w:eastAsia="Calibri" w:cs="Arial" w:ascii="Arial" w:hAnsi="Arial"/>
          <w:bCs/>
          <w:sz w:val="24"/>
          <w:szCs w:val="24"/>
        </w:rPr>
        <w:t>Pasiūlymo ekonominio naudingumo vertinimo kriterijai yra tokie:</w:t>
      </w:r>
    </w:p>
    <w:tbl>
      <w:tblPr>
        <w:tblStyle w:val="Lentelstinklelis11"/>
        <w:tblW w:w="990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26"/>
        <w:gridCol w:w="6574"/>
        <w:gridCol w:w="2700"/>
      </w:tblGrid>
      <w:tr>
        <w:trPr>
          <w:trHeight w:val="777" w:hRule="atLeast"/>
        </w:trPr>
        <w:tc>
          <w:tcPr>
            <w:tcW w:w="626"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Eil. Nr.</w:t>
            </w:r>
          </w:p>
        </w:tc>
        <w:tc>
          <w:tcPr>
            <w:tcW w:w="6574"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Vertinimo kriterijai</w:t>
            </w:r>
          </w:p>
        </w:tc>
        <w:tc>
          <w:tcPr>
            <w:tcW w:w="2700"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Vertinimo kriterijaus lyginamasis svoris ekonominio naudingumo įvertinime</w:t>
            </w:r>
          </w:p>
        </w:tc>
      </w:tr>
      <w:tr>
        <w:trPr>
          <w:trHeight w:val="483" w:hRule="atLeast"/>
        </w:trPr>
        <w:tc>
          <w:tcPr>
            <w:tcW w:w="626" w:type="dxa"/>
            <w:tcBorders/>
            <w:vAlign w:val="center"/>
          </w:tcPr>
          <w:p>
            <w:pPr>
              <w:pStyle w:val="Normal"/>
              <w:widowControl/>
              <w:suppressAutoHyphens w:val="true"/>
              <w:spacing w:lineRule="auto" w:line="240" w:before="0" w:after="0"/>
              <w:jc w:val="left"/>
              <w:rPr>
                <w:rFonts w:ascii="Arial" w:hAnsi="Arial" w:eastAsia="Calibri" w:cs="Arial"/>
                <w:sz w:val="22"/>
                <w:szCs w:val="22"/>
              </w:rPr>
            </w:pPr>
            <w:r>
              <w:rPr>
                <w:rFonts w:eastAsia="Calibri" w:cs="Arial" w:ascii="Arial" w:hAnsi="Arial"/>
                <w:kern w:val="0"/>
                <w:sz w:val="22"/>
                <w:szCs w:val="22"/>
                <w:lang w:val="lt-LT" w:eastAsia="lt-LT" w:bidi="ar-SA"/>
              </w:rPr>
              <w:t>1.</w:t>
            </w:r>
          </w:p>
        </w:tc>
        <w:tc>
          <w:tcPr>
            <w:tcW w:w="6574" w:type="dxa"/>
            <w:tcBorders/>
            <w:vAlign w:val="center"/>
          </w:tcPr>
          <w:p>
            <w:pPr>
              <w:pStyle w:val="Normal"/>
              <w:widowControl/>
              <w:suppressAutoHyphens w:val="true"/>
              <w:spacing w:lineRule="auto" w:line="240" w:before="0" w:after="0"/>
              <w:jc w:val="both"/>
              <w:rPr>
                <w:rFonts w:ascii="Arial" w:hAnsi="Arial" w:eastAsia="Calibri" w:cs="Arial"/>
                <w:bCs/>
                <w:sz w:val="22"/>
                <w:szCs w:val="22"/>
              </w:rPr>
            </w:pPr>
            <w:r>
              <w:rPr>
                <w:rFonts w:eastAsia="Calibri" w:cs="Arial" w:ascii="Arial" w:hAnsi="Arial"/>
                <w:b/>
                <w:bCs/>
                <w:i/>
                <w:kern w:val="0"/>
                <w:sz w:val="22"/>
                <w:szCs w:val="22"/>
                <w:lang w:val="lt-LT" w:eastAsia="lt-LT" w:bidi="ar-SA"/>
              </w:rPr>
              <w:t>Kriterijus (C) – pasiūlymo kaina</w:t>
            </w:r>
            <w:r>
              <w:rPr>
                <w:rFonts w:eastAsia="Calibri" w:cs="Arial" w:ascii="Arial" w:hAnsi="Arial"/>
                <w:bCs/>
                <w:kern w:val="0"/>
                <w:sz w:val="22"/>
                <w:szCs w:val="22"/>
                <w:lang w:val="lt-LT" w:eastAsia="lt-LT" w:bidi="ar-SA"/>
              </w:rPr>
              <w:t>, Eur (su PVM). Geriausia laikoma mažiausia reikšmė.</w:t>
            </w:r>
          </w:p>
        </w:tc>
        <w:tc>
          <w:tcPr>
            <w:tcW w:w="2700" w:type="dxa"/>
            <w:tcBorders/>
            <w:vAlign w:val="center"/>
          </w:tcPr>
          <w:p>
            <w:pPr>
              <w:pStyle w:val="Normal"/>
              <w:widowControl/>
              <w:suppressAutoHyphens w:val="true"/>
              <w:spacing w:lineRule="auto" w:line="240" w:before="0" w:after="0"/>
              <w:jc w:val="center"/>
              <w:rPr>
                <w:rFonts w:ascii="Arial" w:hAnsi="Arial" w:eastAsia="Calibri" w:cs="Arial"/>
                <w:sz w:val="22"/>
                <w:szCs w:val="22"/>
              </w:rPr>
            </w:pPr>
            <w:r>
              <w:rPr>
                <w:rFonts w:eastAsia="Calibri" w:cs="Arial" w:ascii="Arial" w:hAnsi="Arial"/>
                <w:kern w:val="0"/>
                <w:sz w:val="22"/>
                <w:szCs w:val="22"/>
                <w:lang w:val="lt-LT" w:eastAsia="lt-LT" w:bidi="ar-SA"/>
              </w:rPr>
              <w:t>X = 70</w:t>
            </w:r>
          </w:p>
        </w:tc>
      </w:tr>
      <w:tr>
        <w:trPr>
          <w:trHeight w:val="725" w:hRule="atLeast"/>
        </w:trPr>
        <w:tc>
          <w:tcPr>
            <w:tcW w:w="626" w:type="dxa"/>
            <w:tcBorders/>
            <w:vAlign w:val="center"/>
          </w:tcPr>
          <w:p>
            <w:pPr>
              <w:pStyle w:val="Normal"/>
              <w:widowControl/>
              <w:suppressAutoHyphens w:val="true"/>
              <w:spacing w:lineRule="auto" w:line="240" w:before="0" w:after="0"/>
              <w:jc w:val="left"/>
              <w:rPr>
                <w:rFonts w:ascii="Arial" w:hAnsi="Arial" w:eastAsia="Calibri" w:cs="Arial"/>
                <w:sz w:val="22"/>
                <w:szCs w:val="22"/>
              </w:rPr>
            </w:pPr>
            <w:r>
              <w:rPr>
                <w:rFonts w:eastAsia="Calibri" w:cs="Arial" w:ascii="Arial" w:hAnsi="Arial"/>
                <w:kern w:val="0"/>
                <w:sz w:val="22"/>
                <w:szCs w:val="22"/>
                <w:lang w:val="lt-LT" w:eastAsia="lt-LT" w:bidi="ar-SA"/>
              </w:rPr>
              <w:t>2.</w:t>
            </w:r>
          </w:p>
        </w:tc>
        <w:tc>
          <w:tcPr>
            <w:tcW w:w="6574" w:type="dxa"/>
            <w:tcBorders/>
            <w:vAlign w:val="center"/>
          </w:tcPr>
          <w:p>
            <w:pPr>
              <w:pStyle w:val="Normal"/>
              <w:widowControl/>
              <w:suppressAutoHyphens w:val="true"/>
              <w:spacing w:lineRule="auto" w:line="240" w:before="0" w:after="0"/>
              <w:jc w:val="both"/>
              <w:rPr>
                <w:rFonts w:ascii="Arial" w:hAnsi="Arial" w:cs="Arial"/>
                <w:b/>
                <w:i/>
                <w:i/>
                <w:color w:val="000000"/>
                <w:sz w:val="22"/>
                <w:szCs w:val="22"/>
              </w:rPr>
            </w:pPr>
            <w:r>
              <w:rPr>
                <w:rFonts w:eastAsia="Times New Roman" w:cs="Arial" w:ascii="Arial" w:hAnsi="Arial"/>
                <w:b/>
                <w:i/>
                <w:color w:val="000000"/>
                <w:kern w:val="0"/>
                <w:sz w:val="22"/>
                <w:szCs w:val="22"/>
                <w:lang w:val="lt-LT" w:eastAsia="lt-LT" w:bidi="ar-SA"/>
              </w:rPr>
              <w:t>Statinio projekto vadovo patirtis (T).</w:t>
            </w:r>
          </w:p>
          <w:p>
            <w:pPr>
              <w:pStyle w:val="Normal"/>
              <w:widowControl/>
              <w:suppressAutoHyphens w:val="true"/>
              <w:spacing w:lineRule="auto" w:line="240" w:before="0" w:after="0"/>
              <w:jc w:val="both"/>
              <w:rPr>
                <w:rFonts w:ascii="Arial" w:hAnsi="Arial" w:cs="Arial"/>
                <w:sz w:val="22"/>
                <w:szCs w:val="22"/>
              </w:rPr>
            </w:pPr>
            <w:r>
              <w:rPr>
                <w:rFonts w:eastAsia="Times New Roman" w:cs="Arial" w:ascii="Arial" w:hAnsi="Arial"/>
                <w:bCs/>
                <w:kern w:val="0"/>
                <w:sz w:val="22"/>
                <w:szCs w:val="22"/>
                <w:lang w:val="lt-LT" w:eastAsia="lt-LT" w:bidi="ar-SA"/>
              </w:rPr>
              <w:t>Vertinama s</w:t>
            </w:r>
            <w:r>
              <w:rPr>
                <w:rFonts w:eastAsia="Times New Roman" w:cs="Arial" w:ascii="Arial" w:hAnsi="Arial"/>
                <w:kern w:val="0"/>
                <w:sz w:val="22"/>
                <w:szCs w:val="22"/>
                <w:lang w:val="lt-LT" w:eastAsia="lt-LT" w:bidi="ar-SA"/>
              </w:rPr>
              <w:t>iūlomo statinio projekto vadovo patirtis per pastaruosius 3 metus iki pasiūlymų pateikimo termino pabaigos, vykdant projekto vadovo funkcijas.</w:t>
            </w:r>
          </w:p>
          <w:p>
            <w:pPr>
              <w:pStyle w:val="Normal"/>
              <w:widowControl/>
              <w:suppressAutoHyphens w:val="true"/>
              <w:spacing w:lineRule="auto" w:line="240" w:before="0" w:after="0"/>
              <w:jc w:val="both"/>
              <w:rPr>
                <w:rFonts w:ascii="Arial" w:hAnsi="Arial" w:cs="Arial"/>
                <w:bCs/>
                <w:sz w:val="22"/>
                <w:szCs w:val="22"/>
              </w:rPr>
            </w:pPr>
            <w:r>
              <w:rPr>
                <w:rFonts w:eastAsia="Times New Roman" w:cs="Arial" w:ascii="Arial" w:hAnsi="Arial"/>
                <w:bCs/>
                <w:kern w:val="0"/>
                <w:sz w:val="22"/>
                <w:szCs w:val="22"/>
                <w:lang w:val="lt-LT" w:eastAsia="lt-LT" w:bidi="ar-SA"/>
              </w:rPr>
              <w:t xml:space="preserve">Kriterijaus reikšmė – objektų (ypatingųjų statinių), </w:t>
            </w:r>
            <w:r>
              <w:rPr>
                <w:rFonts w:eastAsia="Times New Roman" w:cs="Arial" w:ascii="Arial" w:hAnsi="Arial"/>
                <w:kern w:val="0"/>
                <w:sz w:val="22"/>
                <w:szCs w:val="22"/>
                <w:lang w:val="lt-LT" w:eastAsia="lt-LT" w:bidi="ar-SA"/>
              </w:rPr>
              <w:t>kuriuose siūlomas specialistas vykdė statinio projekto vadovo funkcijas ir kuriems buvo išduotas statybos leidimas, skaičius (vnt).</w:t>
            </w:r>
          </w:p>
          <w:p>
            <w:pPr>
              <w:pStyle w:val="Normal"/>
              <w:widowControl/>
              <w:suppressAutoHyphens w:val="true"/>
              <w:spacing w:lineRule="auto" w:line="240" w:before="0" w:after="0"/>
              <w:jc w:val="both"/>
              <w:rPr>
                <w:rFonts w:ascii="Arial" w:hAnsi="Arial" w:cs="Arial"/>
                <w:bCs/>
                <w:sz w:val="22"/>
                <w:szCs w:val="22"/>
              </w:rPr>
            </w:pPr>
            <w:r>
              <w:rPr>
                <w:rFonts w:eastAsia="Times New Roman" w:cs="Arial" w:ascii="Arial" w:hAnsi="Arial"/>
                <w:bCs/>
                <w:kern w:val="0"/>
                <w:sz w:val="22"/>
                <w:szCs w:val="22"/>
                <w:lang w:val="lt-LT" w:eastAsia="lt-LT" w:bidi="ar-SA"/>
              </w:rPr>
              <w:t>Geriausia laikoma didžiausia reikšmė. Maksimali vertinama reikšmė yra 3 (t. y. jeigu tiekėjo nurodyta kriterijaus reikšmė bus didesnė negu 3, apskaičiuojant tiekėjo kriterijaus T balus, bus taikoma maksimali reikšmė „3“).</w:t>
            </w:r>
          </w:p>
          <w:p>
            <w:pPr>
              <w:pStyle w:val="Normal"/>
              <w:widowControl/>
              <w:suppressAutoHyphens w:val="true"/>
              <w:spacing w:lineRule="auto" w:line="240" w:before="0" w:after="0"/>
              <w:jc w:val="both"/>
              <w:rPr>
                <w:rFonts w:ascii="Arial" w:hAnsi="Arial" w:cs="Arial"/>
                <w:bCs/>
                <w:i/>
                <w:i/>
                <w:iCs/>
                <w:sz w:val="22"/>
                <w:szCs w:val="22"/>
                <w:vertAlign w:val="subscript"/>
              </w:rPr>
            </w:pPr>
            <w:r>
              <w:rPr>
                <w:rFonts w:eastAsia="Times New Roman" w:cs="Arial" w:ascii="Arial" w:hAnsi="Arial"/>
                <w:bCs/>
                <w:kern w:val="0"/>
                <w:sz w:val="22"/>
                <w:szCs w:val="22"/>
                <w:lang w:val="lt-LT" w:eastAsia="lt-LT" w:bidi="ar-SA"/>
              </w:rPr>
              <w:t xml:space="preserve">Šiam kriterijui įvertinti tiekėjas kartu su pasiūlymu turi pateikti dokumentus pagal pirkimo sąlygų </w:t>
            </w:r>
            <w:r>
              <w:rPr>
                <w:rFonts w:eastAsia="Times New Roman" w:cs="Arial" w:ascii="Arial" w:hAnsi="Arial"/>
                <w:b/>
                <w:bCs/>
                <w:kern w:val="0"/>
                <w:sz w:val="22"/>
                <w:szCs w:val="22"/>
                <w:lang w:val="lt-LT" w:eastAsia="lt-LT" w:bidi="ar-SA"/>
              </w:rPr>
              <w:t>7 priedo</w:t>
            </w:r>
            <w:r>
              <w:rPr>
                <w:rFonts w:eastAsia="Times New Roman" w:cs="Arial" w:ascii="Arial" w:hAnsi="Arial"/>
                <w:bCs/>
                <w:kern w:val="0"/>
                <w:sz w:val="22"/>
                <w:szCs w:val="22"/>
                <w:lang w:val="lt-LT" w:eastAsia="lt-LT" w:bidi="ar-SA"/>
              </w:rPr>
              <w:t xml:space="preserve"> 6 punktą.</w:t>
            </w:r>
          </w:p>
        </w:tc>
        <w:tc>
          <w:tcPr>
            <w:tcW w:w="2700" w:type="dxa"/>
            <w:tcBorders/>
            <w:vAlign w:val="center"/>
          </w:tcPr>
          <w:p>
            <w:pPr>
              <w:pStyle w:val="Normal"/>
              <w:widowControl/>
              <w:suppressAutoHyphens w:val="true"/>
              <w:spacing w:lineRule="auto" w:line="240" w:before="0" w:after="0"/>
              <w:jc w:val="center"/>
              <w:rPr>
                <w:rFonts w:ascii="Arial" w:hAnsi="Arial" w:eastAsia="Calibri" w:cs="Arial"/>
                <w:sz w:val="22"/>
                <w:szCs w:val="22"/>
              </w:rPr>
            </w:pPr>
            <w:r>
              <w:rPr>
                <w:rFonts w:eastAsia="Calibri" w:cs="Arial" w:ascii="Arial" w:hAnsi="Arial"/>
                <w:kern w:val="0"/>
                <w:sz w:val="22"/>
                <w:szCs w:val="22"/>
                <w:lang w:val="lt-LT" w:eastAsia="lt-LT" w:bidi="ar-SA"/>
              </w:rPr>
              <w:t>Y=30</w:t>
            </w:r>
          </w:p>
        </w:tc>
      </w:tr>
    </w:tbl>
    <w:p>
      <w:pPr>
        <w:pStyle w:val="ListParagraph"/>
        <w:spacing w:lineRule="auto" w:line="240"/>
        <w:ind w:left="0" w:right="72"/>
        <w:jc w:val="both"/>
        <w:rPr>
          <w:rFonts w:ascii="Arial" w:hAnsi="Arial" w:cs="Arial"/>
          <w:sz w:val="20"/>
          <w:szCs w:val="20"/>
        </w:rPr>
      </w:pPr>
      <w:r>
        <w:rPr>
          <w:rFonts w:cs="Arial" w:ascii="Arial" w:hAnsi="Arial"/>
          <w:b/>
          <w:sz w:val="20"/>
          <w:szCs w:val="20"/>
          <w:u w:val="single"/>
        </w:rPr>
        <w:t>Pastaba.</w:t>
      </w:r>
      <w:r>
        <w:rPr>
          <w:rFonts w:cs="Arial" w:ascii="Arial" w:hAnsi="Arial"/>
          <w:sz w:val="20"/>
          <w:szCs w:val="20"/>
        </w:rPr>
        <w:t xml:space="preserve"> Kadangi projekto vadovo patirtis yra ekonominio naudingumo vertinimo kriterijus ir pirkimo dokumentuose </w:t>
      </w:r>
      <w:r>
        <w:rPr>
          <w:rFonts w:cs="Arial" w:ascii="Arial" w:hAnsi="Arial"/>
          <w:b/>
          <w:sz w:val="20"/>
          <w:szCs w:val="20"/>
          <w:u w:val="single"/>
        </w:rPr>
        <w:t>tiekėjo pateiktų dokumentų tikslinimas nėra galimas</w:t>
      </w:r>
      <w:r>
        <w:rPr>
          <w:rFonts w:cs="Arial" w:ascii="Arial" w:hAnsi="Arial"/>
          <w:sz w:val="20"/>
          <w:szCs w:val="20"/>
        </w:rPr>
        <w:t>, kriterijų vertinimas bus atliekamas pagal tiekėjų pasiūlymuose pateiktą informaciją ir ją patvirtinančius dokumentus. Nepateikus kartu su pasiūlymu reikalaujamų patvirtinančių dokumentų balai nebus skiriami. Kiekvienas objektas, kuriam vadovo siūlomas projekto vadovas ir kuriam buvo išduotas statybos leidimas, yra vertas 10 balų. Maksimali galima surinkti balų suma – 30 balų.</w:t>
      </w:r>
    </w:p>
    <w:p>
      <w:pPr>
        <w:pStyle w:val="ListParagraph"/>
        <w:ind w:left="-142" w:right="191"/>
        <w:jc w:val="both"/>
        <w:rPr>
          <w:rFonts w:ascii="Arial" w:hAnsi="Arial" w:cs="Arial"/>
          <w:sz w:val="24"/>
          <w:szCs w:val="24"/>
        </w:rPr>
      </w:pPr>
      <w:r>
        <w:rPr>
          <w:rFonts w:cs="Arial" w:ascii="Arial" w:hAnsi="Arial"/>
          <w:sz w:val="24"/>
          <w:szCs w:val="24"/>
        </w:rPr>
      </w:r>
    </w:p>
    <w:p>
      <w:pPr>
        <w:pStyle w:val="ListParagraph"/>
        <w:ind w:firstLine="567" w:left="0" w:right="191"/>
        <w:jc w:val="both"/>
        <w:rPr>
          <w:rFonts w:ascii="Arial" w:hAnsi="Arial" w:cs="Arial"/>
          <w:sz w:val="24"/>
          <w:szCs w:val="24"/>
        </w:rPr>
      </w:pPr>
      <w:r>
        <w:rPr>
          <w:rFonts w:cs="Arial" w:ascii="Arial" w:hAnsi="Arial"/>
          <w:sz w:val="24"/>
          <w:szCs w:val="24"/>
        </w:rPr>
        <w:t>3. Ekonominis naudingumas (S) apskaičiuojamas sudedant tiekėjo pasiūlymo vertinimo kriterijų – kainos (C) ir kokybinio kriterijaus (T) – balus:</w:t>
      </w:r>
    </w:p>
    <w:p>
      <w:pPr>
        <w:pStyle w:val="ListParagraph"/>
        <w:spacing w:lineRule="auto" w:line="240" w:before="0" w:after="0"/>
        <w:ind w:left="0"/>
        <w:contextualSpacing/>
        <w:jc w:val="center"/>
        <w:rPr>
          <w:rFonts w:ascii="Arial" w:hAnsi="Arial" w:eastAsia="Calibri" w:cs="Arial"/>
          <w:sz w:val="28"/>
          <w:szCs w:val="28"/>
        </w:rPr>
      </w:pPr>
      <w:r>
        <w:rPr/>
      </w:r>
      <m:oMathPara xmlns:m="http://schemas.openxmlformats.org/officeDocument/2006/math">
        <m:oMathParaPr>
          <m:jc m:val="center"/>
        </m:oMathParaPr>
        <m:oMath>
          <m:r>
            <w:rPr>
              <w:rFonts w:ascii="Cambria Math" w:hAnsi="Cambria Math"/>
            </w:rPr>
            <m:t xml:space="preserve">S</m:t>
          </m:r>
          <m:r>
            <w:rPr>
              <w:rFonts w:ascii="Cambria Math" w:hAnsi="Cambria Math"/>
            </w:rPr>
            <m:t xml:space="preserve">=</m:t>
          </m:r>
          <m:r>
            <w:rPr>
              <w:rFonts w:ascii="Cambria Math" w:hAnsi="Cambria Math"/>
            </w:rPr>
            <m:t xml:space="preserve">C</m:t>
          </m:r>
          <m:r>
            <w:rPr>
              <w:rFonts w:ascii="Cambria Math" w:hAnsi="Cambria Math"/>
            </w:rPr>
            <m:t xml:space="preserve">+</m:t>
          </m:r>
          <m:r>
            <w:rPr>
              <w:rFonts w:ascii="Cambria Math" w:hAnsi="Cambria Math"/>
            </w:rPr>
            <m:t xml:space="preserve">T</m:t>
          </m:r>
        </m:oMath>
      </m:oMathPara>
    </w:p>
    <w:p>
      <w:pPr>
        <w:pStyle w:val="ListParagraph"/>
        <w:spacing w:lineRule="auto" w:line="240" w:before="0" w:after="0"/>
        <w:ind w:left="0"/>
        <w:contextualSpacing/>
        <w:jc w:val="both"/>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firstLine="567"/>
        <w:jc w:val="both"/>
        <w:rPr>
          <w:rFonts w:ascii="Arial" w:hAnsi="Arial" w:eastAsia="Calibri" w:cs="Arial"/>
          <w:sz w:val="24"/>
          <w:szCs w:val="24"/>
        </w:rPr>
      </w:pPr>
      <w:r>
        <w:rPr>
          <w:rFonts w:eastAsia="Calibri" w:cs="Arial" w:ascii="Arial" w:hAnsi="Arial"/>
          <w:sz w:val="24"/>
          <w:szCs w:val="24"/>
        </w:rPr>
        <w:t xml:space="preserve">4. Pasiūlymo kainos (C) balai apskaičiuojami </w:t>
      </w:r>
      <w:bookmarkStart w:id="83" w:name="_Hlk130461458"/>
      <w:r>
        <w:rPr>
          <w:rFonts w:eastAsia="Calibri" w:cs="Arial" w:ascii="Arial" w:hAnsi="Arial"/>
          <w:sz w:val="24"/>
          <w:szCs w:val="24"/>
        </w:rPr>
        <w:t>mažiausios iš pateiktų pasiūlymų kainos (C</w:t>
      </w:r>
      <w:r>
        <w:rPr>
          <w:rFonts w:eastAsia="Calibri" w:cs="Arial" w:ascii="Arial" w:hAnsi="Arial"/>
          <w:sz w:val="24"/>
          <w:szCs w:val="24"/>
          <w:vertAlign w:val="subscript"/>
        </w:rPr>
        <w:t>min</w:t>
      </w:r>
      <w:r>
        <w:rPr>
          <w:rFonts w:eastAsia="Calibri" w:cs="Arial" w:ascii="Arial" w:hAnsi="Arial"/>
          <w:sz w:val="24"/>
          <w:szCs w:val="24"/>
        </w:rPr>
        <w:t>) ir vertinamo pasiūlymo kainos  (C</w:t>
      </w:r>
      <w:r>
        <w:rPr>
          <w:rFonts w:eastAsia="Calibri" w:cs="Arial" w:ascii="Arial" w:hAnsi="Arial"/>
          <w:sz w:val="24"/>
          <w:szCs w:val="24"/>
          <w:vertAlign w:val="subscript"/>
        </w:rPr>
        <w:t>p</w:t>
      </w:r>
      <w:r>
        <w:rPr>
          <w:rFonts w:eastAsia="Calibri" w:cs="Arial" w:ascii="Arial" w:hAnsi="Arial"/>
          <w:sz w:val="24"/>
          <w:szCs w:val="24"/>
        </w:rPr>
        <w:t>) santykį padauginant iš kainos lyginamojo svorio (X):</w:t>
      </w:r>
    </w:p>
    <w:p>
      <w:pPr>
        <w:pStyle w:val="Normal"/>
        <w:spacing w:lineRule="auto" w:line="240" w:before="0" w:after="0"/>
        <w:ind w:firstLine="567"/>
        <w:jc w:val="both"/>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firstLine="567"/>
        <w:jc w:val="center"/>
        <w:rPr>
          <w:rFonts w:ascii="Arial" w:hAnsi="Arial" w:eastAsia="Calibri" w:cs="Arial"/>
          <w:sz w:val="28"/>
          <w:szCs w:val="28"/>
        </w:rPr>
      </w:pPr>
      <w:r>
        <w:rPr/>
      </w:r>
      <m:oMathPara xmlns:m="http://schemas.openxmlformats.org/officeDocument/2006/math">
        <m:oMathParaPr>
          <m:jc m:val="center"/>
        </m:oMathParaPr>
        <m:oMath>
          <m:r>
            <w:rPr>
              <w:rFonts w:ascii="Cambria Math" w:hAnsi="Cambria Math"/>
            </w:rPr>
            <m:t xml:space="preserve">C</m:t>
          </m:r>
          <m:r>
            <w:rPr>
              <w:rFonts w:ascii="Cambria Math" w:hAnsi="Cambria Math"/>
            </w:rPr>
            <m:t xml:space="preserve">=</m:t>
          </m:r>
          <m:d>
            <m:dPr>
              <m:begChr m:val="("/>
              <m:endChr m:val=")"/>
            </m:dPr>
            <m:e>
              <m:f>
                <m:num>
                  <m:sSub>
                    <m:e>
                      <m:r>
                        <w:rPr>
                          <w:rFonts w:ascii="Cambria Math" w:hAnsi="Cambria Math"/>
                        </w:rPr>
                        <m:t xml:space="preserve">C</m:t>
                      </m:r>
                    </m:e>
                    <m:sub>
                      <m:r>
                        <w:rPr>
                          <w:rFonts w:ascii="Cambria Math" w:hAnsi="Cambria Math"/>
                        </w:rPr>
                        <m:t xml:space="preserve">min</m:t>
                      </m:r>
                    </m:sub>
                  </m:sSub>
                </m:num>
                <m:den>
                  <m:sSub>
                    <m:e>
                      <m:r>
                        <w:rPr>
                          <w:rFonts w:ascii="Cambria Math" w:hAnsi="Cambria Math"/>
                        </w:rPr>
                        <m:t xml:space="preserve">C</m:t>
                      </m:r>
                    </m:e>
                    <m:sub>
                      <m:r>
                        <w:rPr>
                          <w:rFonts w:ascii="Cambria Math" w:hAnsi="Cambria Math"/>
                        </w:rPr>
                        <m:t xml:space="preserve">p</m:t>
                      </m:r>
                    </m:sub>
                  </m:sSub>
                </m:den>
              </m:f>
            </m:e>
          </m:d>
          <m:r>
            <w:rPr>
              <w:rFonts w:ascii="Cambria Math" w:hAnsi="Cambria Math"/>
            </w:rPr>
            <m:t xml:space="preserve">∗</m:t>
          </m:r>
          <m:r>
            <w:rPr>
              <w:rFonts w:ascii="Cambria Math" w:hAnsi="Cambria Math"/>
            </w:rPr>
            <m:t xml:space="preserve">X</m:t>
          </m:r>
        </m:oMath>
      </m:oMathPara>
    </w:p>
    <w:p>
      <w:pPr>
        <w:pStyle w:val="ListParagraph"/>
        <w:spacing w:lineRule="auto" w:line="240" w:before="0" w:after="0"/>
        <w:ind w:left="567"/>
        <w:contextualSpacing/>
        <w:jc w:val="both"/>
        <w:rPr>
          <w:rFonts w:ascii="Arial" w:hAnsi="Arial" w:eastAsia="Times New Roman" w:cs="Arial"/>
          <w:sz w:val="24"/>
          <w:szCs w:val="24"/>
        </w:rPr>
      </w:pPr>
      <w:r>
        <w:rPr>
          <w:rFonts w:eastAsia="Times New Roman" w:cs="Arial" w:ascii="Arial" w:hAnsi="Arial"/>
          <w:sz w:val="24"/>
          <w:szCs w:val="24"/>
        </w:rPr>
      </w:r>
    </w:p>
    <w:p>
      <w:pPr>
        <w:pStyle w:val="ListParagraph"/>
        <w:spacing w:lineRule="auto" w:line="240" w:before="0" w:after="0"/>
        <w:ind w:firstLine="567" w:left="0"/>
        <w:contextualSpacing/>
        <w:jc w:val="both"/>
        <w:rPr>
          <w:rFonts w:ascii="Arial" w:hAnsi="Arial" w:eastAsia="Times New Roman" w:cs="Arial"/>
          <w:sz w:val="24"/>
          <w:szCs w:val="24"/>
        </w:rPr>
      </w:pPr>
      <w:r>
        <w:rPr>
          <w:rFonts w:eastAsia="Times New Roman" w:cs="Arial" w:ascii="Arial" w:hAnsi="Arial"/>
          <w:sz w:val="24"/>
          <w:szCs w:val="24"/>
        </w:rPr>
        <w:t>5. Kokybinio vertinimo kriterijaus reikšmė (T) apskaičiuojama vertinamo pasiūlymo kriterijaus reikšmės (T</w:t>
      </w:r>
      <w:r>
        <w:rPr>
          <w:rFonts w:eastAsia="Times New Roman" w:cs="Arial" w:ascii="Arial" w:hAnsi="Arial"/>
          <w:sz w:val="24"/>
          <w:szCs w:val="24"/>
          <w:vertAlign w:val="subscript"/>
        </w:rPr>
        <w:t>p</w:t>
      </w:r>
      <w:r>
        <w:rPr>
          <w:rFonts w:eastAsia="Times New Roman" w:cs="Arial" w:ascii="Arial" w:hAnsi="Arial"/>
          <w:sz w:val="24"/>
          <w:szCs w:val="24"/>
        </w:rPr>
        <w:t>) ir didžiausios iš pateiktų pasiūlymų kriterijaus reikšmės (T</w:t>
      </w:r>
      <w:r>
        <w:rPr>
          <w:rFonts w:eastAsia="Times New Roman" w:cs="Arial" w:ascii="Arial" w:hAnsi="Arial"/>
          <w:sz w:val="24"/>
          <w:szCs w:val="24"/>
          <w:vertAlign w:val="subscript"/>
        </w:rPr>
        <w:t>max</w:t>
      </w:r>
      <w:r>
        <w:rPr>
          <w:rFonts w:eastAsia="Times New Roman" w:cs="Arial" w:ascii="Arial" w:hAnsi="Arial"/>
          <w:sz w:val="24"/>
          <w:szCs w:val="24"/>
        </w:rPr>
        <w:t>) santykį padauginant iš kriterijaus lyginamojo svorio (Y):</w:t>
      </w:r>
    </w:p>
    <w:p>
      <w:pPr>
        <w:pStyle w:val="ListParagraph"/>
        <w:spacing w:lineRule="auto" w:line="240" w:before="0" w:after="0"/>
        <w:ind w:firstLine="567" w:left="0"/>
        <w:contextualSpacing/>
        <w:jc w:val="both"/>
        <w:rPr>
          <w:rFonts w:ascii="Arial" w:hAnsi="Arial" w:eastAsia="Times New Roman" w:cs="Arial"/>
          <w:sz w:val="24"/>
          <w:szCs w:val="24"/>
        </w:rPr>
      </w:pPr>
      <w:r>
        <w:rPr>
          <w:rFonts w:eastAsia="Times New Roman" w:cs="Arial" w:ascii="Arial" w:hAnsi="Arial"/>
          <w:sz w:val="24"/>
          <w:szCs w:val="24"/>
        </w:rPr>
      </w:r>
    </w:p>
    <w:p>
      <w:pPr>
        <w:pStyle w:val="ListParagraph"/>
        <w:spacing w:lineRule="auto" w:line="240" w:before="0" w:after="0"/>
        <w:ind w:left="0"/>
        <w:contextualSpacing/>
        <w:jc w:val="center"/>
        <w:rPr>
          <w:rFonts w:ascii="Arial" w:hAnsi="Arial" w:eastAsia="Times New Roman" w:cs="Arial"/>
          <w:sz w:val="28"/>
          <w:szCs w:val="28"/>
        </w:rPr>
      </w:pPr>
      <w:r>
        <w:rPr/>
      </w:r>
      <m:oMathPara xmlns:m="http://schemas.openxmlformats.org/officeDocument/2006/math">
        <m:oMathParaPr>
          <m:jc m:val="center"/>
        </m:oMathParaPr>
        <m:oMath>
          <m:r>
            <w:rPr>
              <w:rFonts w:ascii="Cambria Math" w:hAnsi="Cambria Math"/>
            </w:rPr>
            <m:t xml:space="preserve">T</m:t>
          </m:r>
          <m:r>
            <w:rPr>
              <w:rFonts w:ascii="Cambria Math" w:hAnsi="Cambria Math"/>
            </w:rPr>
            <m:t xml:space="preserve">=</m:t>
          </m:r>
          <m:d>
            <m:dPr>
              <m:begChr m:val="("/>
              <m:endChr m:val=")"/>
            </m:dPr>
            <m:e>
              <m:f>
                <m:num>
                  <m:sSub>
                    <m:e>
                      <m:r>
                        <w:rPr>
                          <w:rFonts w:ascii="Cambria Math" w:hAnsi="Cambria Math"/>
                        </w:rPr>
                        <m:t xml:space="preserve">T</m:t>
                      </m:r>
                    </m:e>
                    <m:sub>
                      <m:r>
                        <w:rPr>
                          <w:rFonts w:ascii="Cambria Math" w:hAnsi="Cambria Math"/>
                        </w:rPr>
                        <m:t xml:space="preserve">p</m:t>
                      </m:r>
                    </m:sub>
                  </m:sSub>
                </m:num>
                <m:den>
                  <m:sSub>
                    <m:e>
                      <m:r>
                        <w:rPr>
                          <w:rFonts w:ascii="Cambria Math" w:hAnsi="Cambria Math"/>
                        </w:rPr>
                        <m:t xml:space="preserve">T</m:t>
                      </m:r>
                    </m:e>
                    <m:sub>
                      <m:r>
                        <w:rPr>
                          <w:rFonts w:ascii="Cambria Math" w:hAnsi="Cambria Math"/>
                        </w:rPr>
                        <m:t xml:space="preserve">max</m:t>
                      </m:r>
                    </m:sub>
                  </m:sSub>
                </m:den>
              </m:f>
            </m:e>
          </m:d>
          <m:r>
            <w:rPr>
              <w:rFonts w:ascii="Cambria Math" w:hAnsi="Cambria Math"/>
            </w:rPr>
            <m:t xml:space="preserve">∗</m:t>
          </m:r>
          <m:r>
            <w:rPr>
              <w:rFonts w:ascii="Cambria Math" w:hAnsi="Cambria Math"/>
            </w:rPr>
            <m:t xml:space="preserve">Y</m:t>
          </m:r>
        </m:oMath>
      </m:oMathPara>
      <w:bookmarkEnd w:id="83"/>
    </w:p>
    <w:p>
      <w:pPr>
        <w:pStyle w:val="ListParagraph"/>
        <w:spacing w:lineRule="auto" w:line="240" w:before="0" w:after="0"/>
        <w:ind w:left="567"/>
        <w:contextualSpacing/>
        <w:jc w:val="both"/>
        <w:rPr>
          <w:rFonts w:ascii="Arial" w:hAnsi="Arial" w:eastAsia="Times New Roman" w:cs="Arial"/>
          <w:sz w:val="24"/>
          <w:szCs w:val="24"/>
        </w:rPr>
      </w:pPr>
      <w:r>
        <w:rPr>
          <w:rFonts w:eastAsia="Times New Roman" w:cs="Arial" w:ascii="Arial" w:hAnsi="Arial"/>
          <w:sz w:val="24"/>
          <w:szCs w:val="24"/>
        </w:rPr>
      </w:r>
    </w:p>
    <w:p>
      <w:pPr>
        <w:pStyle w:val="Normal"/>
        <w:spacing w:lineRule="auto" w:line="240" w:before="0" w:after="0"/>
        <w:ind w:firstLine="567"/>
        <w:jc w:val="both"/>
        <w:rPr>
          <w:rFonts w:ascii="Arial" w:hAnsi="Arial" w:cs="Arial"/>
          <w:spacing w:val="-2"/>
          <w:sz w:val="24"/>
          <w:szCs w:val="24"/>
        </w:rPr>
      </w:pPr>
      <w:r>
        <w:rPr>
          <w:rFonts w:eastAsia="Calibri" w:cs="Arial" w:ascii="Arial" w:hAnsi="Arial"/>
          <w:sz w:val="24"/>
          <w:szCs w:val="24"/>
        </w:rPr>
        <w:t xml:space="preserve">6. </w:t>
      </w:r>
      <w:r>
        <w:rPr>
          <w:rFonts w:cs="Arial" w:ascii="Arial" w:hAnsi="Arial"/>
          <w:sz w:val="24"/>
          <w:szCs w:val="24"/>
        </w:rPr>
        <w:t xml:space="preserve">Tiekėjas, siekiantis gauti ekonominio naudingumo balus pagal kriterijų T, </w:t>
      </w:r>
      <w:r>
        <w:rPr>
          <w:rFonts w:cs="Arial" w:ascii="Arial" w:hAnsi="Arial"/>
          <w:b/>
          <w:sz w:val="24"/>
          <w:szCs w:val="24"/>
          <w:u w:val="single"/>
        </w:rPr>
        <w:t>su pasiūlymu pateikia</w:t>
      </w:r>
      <w:r>
        <w:rPr>
          <w:rFonts w:cs="Arial" w:ascii="Arial" w:hAnsi="Arial"/>
          <w:sz w:val="24"/>
          <w:szCs w:val="24"/>
        </w:rPr>
        <w:t xml:space="preserve"> </w:t>
      </w:r>
      <w:r>
        <w:rPr>
          <w:rFonts w:cs="Arial" w:ascii="Arial" w:hAnsi="Arial"/>
          <w:b/>
          <w:sz w:val="24"/>
          <w:szCs w:val="24"/>
        </w:rPr>
        <w:t>(</w:t>
      </w:r>
      <w:r>
        <w:rPr>
          <w:rFonts w:cs="Arial" w:ascii="Arial" w:hAnsi="Arial"/>
          <w:b/>
          <w:sz w:val="24"/>
          <w:szCs w:val="24"/>
          <w:u w:val="single"/>
        </w:rPr>
        <w:t>n</w:t>
      </w:r>
      <w:r>
        <w:rPr>
          <w:rFonts w:cs="Arial" w:ascii="Arial" w:hAnsi="Arial"/>
          <w:b/>
          <w:spacing w:val="-2"/>
          <w:sz w:val="24"/>
          <w:szCs w:val="24"/>
          <w:u w:val="single"/>
        </w:rPr>
        <w:t>epateikus šių dokumentų kartu su pasiūlymu ar pateikus juos nepilna sudėtimi bus skiriama 0 balų</w:t>
      </w:r>
      <w:r>
        <w:rPr>
          <w:rFonts w:cs="Arial" w:ascii="Arial" w:hAnsi="Arial"/>
          <w:spacing w:val="-2"/>
          <w:sz w:val="24"/>
          <w:szCs w:val="24"/>
          <w:u w:val="single"/>
        </w:rPr>
        <w:t>)</w:t>
      </w:r>
      <w:r>
        <w:rPr>
          <w:rFonts w:cs="Arial" w:ascii="Arial" w:hAnsi="Arial"/>
          <w:spacing w:val="-2"/>
          <w:sz w:val="24"/>
          <w:szCs w:val="24"/>
        </w:rPr>
        <w:t>:</w:t>
      </w:r>
    </w:p>
    <w:p>
      <w:pPr>
        <w:pStyle w:val="Normal"/>
        <w:spacing w:lineRule="auto" w:line="240" w:before="0" w:after="0"/>
        <w:ind w:firstLine="567"/>
        <w:jc w:val="both"/>
        <w:rPr>
          <w:rFonts w:ascii="Arial" w:hAnsi="Arial" w:cs="Arial"/>
          <w:sz w:val="24"/>
          <w:szCs w:val="24"/>
        </w:rPr>
      </w:pPr>
      <w:r>
        <w:rPr>
          <w:rFonts w:cs="Arial" w:ascii="Arial" w:hAnsi="Arial"/>
          <w:spacing w:val="-2"/>
          <w:sz w:val="24"/>
          <w:szCs w:val="24"/>
        </w:rPr>
        <w:t xml:space="preserve">6.1. objektų (ypatingųjų statinių), </w:t>
      </w:r>
      <w:r>
        <w:rPr>
          <w:rFonts w:cs="Arial" w:ascii="Arial" w:hAnsi="Arial"/>
          <w:sz w:val="24"/>
          <w:szCs w:val="24"/>
        </w:rPr>
        <w:t xml:space="preserve">kuriuose siūlomas specialistas vykdė statinio projekto vadovo funkcijas ir kuriems buvo išduotas statybos leidimas, sąrašą pagal pirkimo sąlygų </w:t>
      </w:r>
      <w:r>
        <w:rPr>
          <w:rFonts w:cs="Arial" w:ascii="Arial" w:hAnsi="Arial"/>
          <w:b/>
          <w:sz w:val="24"/>
          <w:szCs w:val="24"/>
        </w:rPr>
        <w:t>11 priedą</w:t>
      </w:r>
      <w:r>
        <w:rPr>
          <w:rFonts w:cs="Arial" w:ascii="Arial" w:hAnsi="Arial"/>
          <w:sz w:val="24"/>
          <w:szCs w:val="24"/>
        </w:rPr>
        <w:t>, kuriame būtų nurodytas konkretus objektas, paslaugų teikimo terminas, užsakovas, statybos leidimo data ir numeris;</w:t>
      </w:r>
    </w:p>
    <w:p>
      <w:pPr>
        <w:pStyle w:val="Normal"/>
        <w:spacing w:lineRule="auto" w:line="240" w:before="0" w:after="0"/>
        <w:ind w:firstLine="567"/>
        <w:jc w:val="both"/>
        <w:rPr>
          <w:rFonts w:ascii="Arial" w:hAnsi="Arial" w:cs="Arial"/>
          <w:sz w:val="24"/>
          <w:szCs w:val="24"/>
        </w:rPr>
      </w:pPr>
      <w:r>
        <w:rPr>
          <w:rFonts w:cs="Arial" w:ascii="Arial" w:hAnsi="Arial"/>
          <w:sz w:val="24"/>
          <w:szCs w:val="24"/>
        </w:rPr>
        <w:t xml:space="preserve">6.2. Užsakovų pažymas ar kitus dokumentus, patvirtinančius, kad siūlomi(-as) specialistai(-as) atliko 6.1 punkte nurodytas paslaugas. </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7. Kokybinio </w:t>
      </w:r>
      <w:r>
        <w:rPr>
          <w:rFonts w:cs="Arial" w:ascii="Arial" w:hAnsi="Arial"/>
          <w:bCs/>
          <w:iCs/>
          <w:sz w:val="24"/>
          <w:szCs w:val="24"/>
        </w:rPr>
        <w:t xml:space="preserve">kriterijaus </w:t>
      </w:r>
      <w:r>
        <w:rPr>
          <w:rFonts w:cs="Arial" w:ascii="Arial" w:hAnsi="Arial"/>
          <w:bCs/>
          <w:i/>
          <w:iCs/>
          <w:sz w:val="24"/>
          <w:szCs w:val="24"/>
        </w:rPr>
        <w:t xml:space="preserve">(T) </w:t>
      </w:r>
      <w:r>
        <w:rPr>
          <w:rFonts w:eastAsia="Calibri" w:cs="Arial" w:ascii="Arial" w:hAnsi="Arial"/>
          <w:bCs/>
          <w:sz w:val="24"/>
          <w:szCs w:val="24"/>
        </w:rPr>
        <w:t>b</w:t>
      </w:r>
      <w:r>
        <w:rPr>
          <w:rFonts w:cs="Arial" w:ascii="Arial" w:hAnsi="Arial"/>
          <w:sz w:val="24"/>
          <w:szCs w:val="24"/>
        </w:rPr>
        <w:t xml:space="preserve">alas nustatomas lentelėje nustatyta tvarka. </w:t>
      </w:r>
    </w:p>
    <w:tbl>
      <w:tblPr>
        <w:tblStyle w:val="Lentelstinklelis"/>
        <w:tblW w:w="9764"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05"/>
        <w:gridCol w:w="6857"/>
        <w:gridCol w:w="2302"/>
      </w:tblGrid>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Eil. Nr.</w:t>
            </w:r>
          </w:p>
        </w:tc>
        <w:tc>
          <w:tcPr>
            <w:tcW w:w="6857" w:type="dxa"/>
            <w:tcBorders/>
          </w:tcPr>
          <w:p>
            <w:pPr>
              <w:pStyle w:val="Normal"/>
              <w:widowControl/>
              <w:suppressAutoHyphens w:val="true"/>
              <w:spacing w:lineRule="auto" w:line="240" w:before="0" w:after="0"/>
              <w:jc w:val="both"/>
              <w:rPr>
                <w:rFonts w:ascii="Arial" w:hAnsi="Arial" w:cs="Arial"/>
                <w:b/>
                <w:i/>
                <w:i/>
                <w:color w:val="000000"/>
                <w:sz w:val="22"/>
                <w:szCs w:val="22"/>
              </w:rPr>
            </w:pPr>
            <w:r>
              <w:rPr>
                <w:rFonts w:eastAsia="DengXian" w:cs="Arial" w:ascii="Arial" w:hAnsi="Arial"/>
                <w:b/>
                <w:i/>
                <w:color w:val="000000"/>
                <w:kern w:val="0"/>
                <w:sz w:val="22"/>
                <w:szCs w:val="22"/>
                <w:lang w:val="lt-LT" w:eastAsia="en-US" w:bidi="ar-SA"/>
              </w:rPr>
              <w:t>S</w:t>
            </w:r>
            <w:r>
              <w:rPr>
                <w:rFonts w:eastAsia="Times New Roman" w:cs="Arial" w:ascii="Arial" w:hAnsi="Arial"/>
                <w:b/>
                <w:i/>
                <w:color w:val="000000"/>
                <w:kern w:val="0"/>
                <w:sz w:val="22"/>
                <w:szCs w:val="22"/>
                <w:lang w:val="lt-LT" w:eastAsia="en-US" w:bidi="ar-SA"/>
              </w:rPr>
              <w:t>tatinio projekto vadovo patirtis (T)</w:t>
            </w:r>
          </w:p>
          <w:p>
            <w:pPr>
              <w:pStyle w:val="Normal"/>
              <w:widowControl/>
              <w:suppressAutoHyphens w:val="true"/>
              <w:spacing w:lineRule="auto" w:line="240" w:before="0" w:after="0"/>
              <w:jc w:val="both"/>
              <w:rPr>
                <w:rFonts w:ascii="Arial" w:hAnsi="Arial" w:cs="Arial"/>
                <w:bCs/>
                <w:sz w:val="22"/>
                <w:szCs w:val="22"/>
              </w:rPr>
            </w:pPr>
            <w:r>
              <w:rPr>
                <w:rFonts w:eastAsia="DengXian" w:cs="Arial" w:ascii="Arial" w:hAnsi="Arial"/>
                <w:bCs/>
                <w:kern w:val="0"/>
                <w:sz w:val="22"/>
                <w:szCs w:val="22"/>
                <w:lang w:val="lt-LT" w:eastAsia="en-US" w:bidi="ar-SA"/>
              </w:rPr>
              <w:t xml:space="preserve">Objektų (ypatingųjų statinių), </w:t>
            </w:r>
            <w:r>
              <w:rPr>
                <w:rFonts w:eastAsia="DengXian" w:cs="Arial" w:ascii="Arial" w:hAnsi="Arial"/>
                <w:kern w:val="0"/>
                <w:sz w:val="22"/>
                <w:szCs w:val="22"/>
                <w:lang w:val="lt-LT" w:eastAsia="en-US" w:bidi="ar-SA"/>
              </w:rPr>
              <w:t>kuriuose siūlomas specialistas vykdė statinio projekto vadovo funkcijas ir kuriems buvo išduotas statybos leidimas, skaičius (vnt).</w:t>
            </w:r>
          </w:p>
        </w:tc>
        <w:tc>
          <w:tcPr>
            <w:tcW w:w="2302"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Skiriami balai</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1.</w:t>
            </w:r>
          </w:p>
        </w:tc>
        <w:tc>
          <w:tcPr>
            <w:tcW w:w="6857"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1</w:t>
            </w:r>
          </w:p>
        </w:tc>
        <w:tc>
          <w:tcPr>
            <w:tcW w:w="2302"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10</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2.</w:t>
            </w:r>
          </w:p>
        </w:tc>
        <w:tc>
          <w:tcPr>
            <w:tcW w:w="6857"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2</w:t>
            </w:r>
          </w:p>
        </w:tc>
        <w:tc>
          <w:tcPr>
            <w:tcW w:w="2302"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20</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3.</w:t>
            </w:r>
          </w:p>
        </w:tc>
        <w:tc>
          <w:tcPr>
            <w:tcW w:w="6857"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3</w:t>
            </w:r>
          </w:p>
        </w:tc>
        <w:tc>
          <w:tcPr>
            <w:tcW w:w="2302"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30</w:t>
            </w:r>
          </w:p>
        </w:tc>
      </w:tr>
    </w:tbl>
    <w:p>
      <w:pPr>
        <w:pStyle w:val="ListParagraph"/>
        <w:spacing w:lineRule="auto" w:line="240" w:before="0" w:after="0"/>
        <w:ind w:left="0"/>
        <w:contextualSpacing/>
        <w:jc w:val="both"/>
        <w:rPr>
          <w:rFonts w:ascii="Arial" w:hAnsi="Arial" w:cs="Arial"/>
          <w:b/>
          <w:i/>
          <w:i/>
          <w:iCs/>
          <w:sz w:val="24"/>
          <w:szCs w:val="24"/>
          <w:u w:val="single"/>
        </w:rPr>
      </w:pPr>
      <w:r>
        <w:rPr>
          <w:rFonts w:cs="Arial" w:ascii="Arial" w:hAnsi="Arial"/>
          <w:b/>
          <w:i/>
          <w:iCs/>
          <w:sz w:val="24"/>
          <w:szCs w:val="24"/>
          <w:u w:val="single"/>
        </w:rPr>
      </w:r>
    </w:p>
    <w:p>
      <w:pPr>
        <w:pStyle w:val="ListParagraph"/>
        <w:spacing w:lineRule="auto" w:line="240" w:before="0" w:after="0"/>
        <w:ind w:left="0"/>
        <w:contextualSpacing/>
        <w:jc w:val="both"/>
        <w:rPr>
          <w:rFonts w:ascii="Arial" w:hAnsi="Arial" w:cs="Arial"/>
          <w:sz w:val="24"/>
          <w:szCs w:val="24"/>
        </w:rPr>
      </w:pPr>
      <w:r>
        <w:rPr>
          <w:rFonts w:cs="Arial" w:ascii="Arial" w:hAnsi="Arial"/>
          <w:b/>
          <w:i/>
          <w:iCs/>
          <w:sz w:val="24"/>
          <w:szCs w:val="24"/>
          <w:u w:val="single"/>
        </w:rPr>
        <w:t>PASTABA</w:t>
      </w:r>
      <w:r>
        <w:rPr>
          <w:rFonts w:cs="Arial" w:ascii="Arial" w:hAnsi="Arial"/>
          <w:i/>
          <w:iCs/>
          <w:sz w:val="24"/>
          <w:szCs w:val="24"/>
        </w:rPr>
        <w:t xml:space="preserve">. </w:t>
      </w:r>
      <w:r>
        <w:rPr>
          <w:rFonts w:cs="Arial" w:ascii="Arial" w:hAnsi="Arial"/>
          <w:sz w:val="24"/>
          <w:szCs w:val="24"/>
        </w:rPr>
        <w:t>Tiekėjui pasiūlyme nenurodžius siūlomo specialisto (per pastaruosius 3 metus iki pasiūlymų pateikimo termino pabaigos) patirties apie objektus, kuriuose jis vykdė statinio projekto vadovo funkcijas ir kuriems buvo išduotas statybos leidimas, T</w:t>
      </w:r>
      <w:r>
        <w:rPr>
          <w:rFonts w:cs="Arial" w:ascii="Arial" w:hAnsi="Arial"/>
          <w:sz w:val="24"/>
          <w:szCs w:val="24"/>
          <w:vertAlign w:val="subscript"/>
        </w:rPr>
        <w:t xml:space="preserve"> </w:t>
      </w:r>
      <w:r>
        <w:rPr>
          <w:rFonts w:cs="Arial" w:ascii="Arial" w:hAnsi="Arial"/>
          <w:sz w:val="24"/>
          <w:szCs w:val="24"/>
        </w:rPr>
        <w:t>kriterijaus</w:t>
      </w:r>
      <w:r>
        <w:rPr>
          <w:rFonts w:cs="Arial" w:ascii="Arial" w:hAnsi="Arial"/>
          <w:sz w:val="24"/>
          <w:szCs w:val="24"/>
          <w:vertAlign w:val="subscript"/>
        </w:rPr>
        <w:t xml:space="preserve"> </w:t>
      </w:r>
      <w:r>
        <w:rPr>
          <w:rFonts w:cs="Arial" w:ascii="Arial" w:hAnsi="Arial"/>
          <w:sz w:val="24"/>
          <w:szCs w:val="24"/>
        </w:rPr>
        <w:t xml:space="preserve">balai bus prilyginami 0 arba, jei tik dalis pateiktų dokumentų atitiks reikalavimus, balai bus suteikiami tik už tinkamai įrodytą patirties dalį. </w:t>
      </w:r>
    </w:p>
    <w:p>
      <w:pPr>
        <w:pStyle w:val="ListParagraph"/>
        <w:spacing w:lineRule="auto" w:line="240" w:before="0" w:after="0"/>
        <w:ind w:left="0"/>
        <w:contextualSpacing/>
        <w:jc w:val="both"/>
        <w:rPr>
          <w:rFonts w:ascii="Arial" w:hAnsi="Arial" w:cs="Arial"/>
          <w:sz w:val="24"/>
          <w:szCs w:val="24"/>
        </w:rPr>
      </w:pPr>
      <w:r>
        <w:rPr>
          <w:rFonts w:cs="Arial" w:ascii="Arial" w:hAnsi="Arial"/>
          <w:sz w:val="24"/>
          <w:szCs w:val="24"/>
        </w:rPr>
      </w:r>
    </w:p>
    <w:p>
      <w:pPr>
        <w:pStyle w:val="ListParagraph"/>
        <w:spacing w:lineRule="auto" w:line="240" w:before="0" w:after="0"/>
        <w:ind w:firstLine="567" w:left="0"/>
        <w:contextualSpacing/>
        <w:jc w:val="both"/>
        <w:rPr>
          <w:rFonts w:ascii="Arial" w:hAnsi="Arial" w:eastAsia="Calibri" w:cs="Arial"/>
          <w:sz w:val="24"/>
          <w:szCs w:val="24"/>
        </w:rPr>
      </w:pPr>
      <w:r>
        <w:rPr>
          <w:rFonts w:cs="Arial" w:ascii="Arial" w:hAnsi="Arial"/>
          <w:sz w:val="24"/>
          <w:szCs w:val="24"/>
        </w:rPr>
        <w:t xml:space="preserve">8. </w:t>
      </w:r>
      <w:r>
        <w:rPr>
          <w:rFonts w:eastAsia="Calibri" w:cs="Arial" w:ascii="Arial" w:hAnsi="Arial"/>
          <w:sz w:val="24"/>
          <w:szCs w:val="24"/>
        </w:rPr>
        <w:t xml:space="preserve">Visi apskaičiuoti balai apvalinami matematiškai </w:t>
      </w:r>
      <w:r>
        <w:rPr>
          <w:rFonts w:eastAsia="Calibri" w:cs="Arial" w:ascii="Arial" w:hAnsi="Arial"/>
          <w:b/>
          <w:sz w:val="24"/>
          <w:szCs w:val="24"/>
        </w:rPr>
        <w:t>dviejų skaičių</w:t>
      </w:r>
      <w:r>
        <w:rPr>
          <w:rFonts w:eastAsia="Calibri" w:cs="Arial" w:ascii="Arial" w:hAnsi="Arial"/>
          <w:sz w:val="24"/>
          <w:szCs w:val="24"/>
        </w:rPr>
        <w:t xml:space="preserve"> po kablelio tikslumu.</w:t>
      </w:r>
    </w:p>
    <w:p>
      <w:pPr>
        <w:pStyle w:val="ListParagraph"/>
        <w:spacing w:lineRule="auto" w:line="240" w:before="0" w:after="0"/>
        <w:ind w:firstLine="567" w:left="0"/>
        <w:contextualSpacing/>
        <w:jc w:val="both"/>
        <w:rPr>
          <w:rFonts w:eastAsia="Calibri" w:cs="Calibri" w:cstheme="minorHAnsi"/>
        </w:rPr>
      </w:pPr>
      <w:r>
        <w:rPr>
          <w:rFonts w:eastAsia="Calibri" w:cs="Calibri" w:cstheme="minorHAnsi"/>
        </w:rPr>
      </w:r>
    </w:p>
    <w:p>
      <w:pPr>
        <w:pStyle w:val="Normal"/>
        <w:spacing w:lineRule="auto" w:line="240"/>
        <w:jc w:val="center"/>
        <w:rPr>
          <w:rFonts w:ascii="Arial" w:hAnsi="Arial" w:cs="Arial"/>
        </w:rPr>
      </w:pPr>
      <w:r>
        <w:rPr>
          <w:rFonts w:cs="Arial" w:ascii="Arial" w:hAnsi="Arial"/>
          <w:bCs/>
          <w:smallCaps/>
          <w:sz w:val="24"/>
          <w:szCs w:val="24"/>
        </w:rPr>
        <w:t>_____________</w:t>
      </w:r>
      <w:r>
        <w:br w:type="page"/>
      </w:r>
    </w:p>
    <w:p>
      <w:pPr>
        <w:pStyle w:val="Normal"/>
        <w:spacing w:lineRule="auto" w:line="240" w:before="0" w:after="0"/>
        <w:ind w:left="7200"/>
        <w:rPr>
          <w:rFonts w:ascii="Arial" w:hAnsi="Arial" w:eastAsia="Times New Roman" w:cs="Arial"/>
          <w:i/>
          <w:i/>
        </w:rPr>
      </w:pPr>
      <w:r>
        <w:rPr>
          <w:rFonts w:eastAsia="Times New Roman" w:cs="Arial" w:ascii="Arial" w:hAnsi="Arial"/>
          <w:sz w:val="24"/>
          <w:szCs w:val="24"/>
        </w:rPr>
        <w:t>Pirkimo sąlygų 8 priedas „Tiekėjo deklaracija“</w:t>
        <w:tab/>
        <w:tab/>
        <w:tab/>
        <w:tab/>
      </w:r>
    </w:p>
    <w:p>
      <w:pPr>
        <w:pStyle w:val="Normal"/>
        <w:spacing w:lineRule="auto" w:line="240" w:before="0" w:after="0"/>
        <w:rPr>
          <w:rFonts w:ascii="Arial" w:hAnsi="Arial" w:eastAsia="Times New Roman" w:cs="Arial"/>
        </w:rPr>
      </w:pPr>
      <w:r>
        <w:rPr>
          <w:rFonts w:eastAsia="Times New Roman" w:cs="Arial" w:ascii="Arial" w:hAnsi="Arial"/>
        </w:rPr>
      </w:r>
    </w:p>
    <w:p>
      <w:pPr>
        <w:pStyle w:val="Normal"/>
        <w:spacing w:lineRule="auto" w:line="240" w:before="0" w:after="0"/>
        <w:jc w:val="center"/>
        <w:rPr>
          <w:rFonts w:ascii="Arial" w:hAnsi="Arial" w:eastAsia="Times New Roman" w:cs="Arial"/>
          <w:color w:val="000000"/>
          <w:u w:val="single"/>
        </w:rPr>
      </w:pPr>
      <w:r>
        <w:rPr>
          <w:rFonts w:eastAsia="Times New Roman" w:cs="Arial" w:ascii="Arial" w:hAnsi="Arial"/>
          <w:color w:val="000000"/>
          <w:u w:val="single"/>
        </w:rPr>
        <w:t>___________________________________</w:t>
      </w:r>
    </w:p>
    <w:p>
      <w:pPr>
        <w:pStyle w:val="Normal"/>
        <w:spacing w:lineRule="auto" w:line="240" w:before="0" w:after="0"/>
        <w:jc w:val="center"/>
        <w:rPr>
          <w:rFonts w:ascii="Arial" w:hAnsi="Arial" w:eastAsia="Times New Roman" w:cs="Arial"/>
          <w:sz w:val="18"/>
          <w:szCs w:val="18"/>
        </w:rPr>
      </w:pPr>
      <w:r>
        <w:rPr>
          <w:rFonts w:eastAsia="Times New Roman" w:cs="Arial" w:ascii="Arial" w:hAnsi="Arial"/>
          <w:color w:val="000000"/>
          <w:sz w:val="18"/>
          <w:szCs w:val="18"/>
        </w:rPr>
        <w:t> </w:t>
      </w:r>
      <w:r>
        <w:rPr>
          <w:rFonts w:eastAsia="Times New Roman" w:cs="Arial" w:ascii="Arial" w:hAnsi="Arial"/>
          <w:color w:val="000000"/>
          <w:sz w:val="18"/>
          <w:szCs w:val="18"/>
        </w:rPr>
        <w:t>(Tiekėjo/subtiekėjo pavadinimas)</w:t>
      </w:r>
    </w:p>
    <w:p>
      <w:pPr>
        <w:pStyle w:val="Normal"/>
        <w:spacing w:lineRule="auto" w:line="240" w:before="0" w:after="0"/>
        <w:rPr>
          <w:rFonts w:ascii="Arial" w:hAnsi="Arial" w:eastAsia="Times New Roman" w:cs="Arial"/>
        </w:rPr>
      </w:pPr>
      <w:r>
        <w:rPr>
          <w:rFonts w:eastAsia="Times New Roman" w:cs="Arial" w:ascii="Arial" w:hAnsi="Arial"/>
        </w:rPr>
      </w:r>
    </w:p>
    <w:p>
      <w:pPr>
        <w:pStyle w:val="Normal"/>
        <w:spacing w:lineRule="auto" w:line="240" w:before="0" w:after="0"/>
        <w:rPr>
          <w:rFonts w:ascii="Arial" w:hAnsi="Arial" w:eastAsia="Times New Roman" w:cs="Arial"/>
        </w:rPr>
      </w:pPr>
      <w:r>
        <w:rPr>
          <w:rFonts w:eastAsia="Times New Roman" w:cs="Arial" w:ascii="Arial" w:hAnsi="Arial"/>
        </w:rPr>
      </w:r>
    </w:p>
    <w:p>
      <w:pPr>
        <w:pStyle w:val="Normal"/>
        <w:spacing w:lineRule="auto" w:line="240" w:before="0" w:after="0"/>
        <w:rPr>
          <w:rFonts w:ascii="Arial" w:hAnsi="Arial" w:eastAsia="Times New Roman" w:cs="Arial"/>
          <w:color w:val="000000"/>
        </w:rPr>
      </w:pPr>
      <w:r>
        <w:rPr>
          <w:rFonts w:eastAsia="Times New Roman" w:cs="Arial" w:ascii="Arial" w:hAnsi="Arial"/>
          <w:color w:val="000000"/>
        </w:rPr>
        <w:t>___________________________________</w:t>
      </w:r>
    </w:p>
    <w:p>
      <w:pPr>
        <w:pStyle w:val="Normal"/>
        <w:spacing w:lineRule="auto" w:line="240" w:before="0" w:after="0"/>
        <w:rPr>
          <w:rFonts w:ascii="Arial" w:hAnsi="Arial" w:eastAsia="Times New Roman" w:cs="Arial"/>
          <w:color w:val="000000"/>
          <w:sz w:val="18"/>
          <w:szCs w:val="18"/>
        </w:rPr>
      </w:pPr>
      <w:r>
        <w:rPr>
          <w:rFonts w:eastAsia="Times New Roman" w:cs="Arial" w:ascii="Arial" w:hAnsi="Arial"/>
          <w:color w:val="000000"/>
          <w:sz w:val="18"/>
          <w:szCs w:val="18"/>
        </w:rPr>
        <w:t xml:space="preserve"> </w:t>
      </w:r>
      <w:r>
        <w:rPr>
          <w:rFonts w:eastAsia="Times New Roman" w:cs="Arial" w:ascii="Arial" w:hAnsi="Arial"/>
          <w:color w:val="000000"/>
          <w:sz w:val="18"/>
          <w:szCs w:val="18"/>
        </w:rPr>
        <w:t>(Pirkimo vykdytojo pavadinimas)</w:t>
      </w:r>
    </w:p>
    <w:p>
      <w:pPr>
        <w:pStyle w:val="Normal"/>
        <w:spacing w:lineRule="auto" w:line="240" w:before="0" w:after="0"/>
        <w:jc w:val="center"/>
        <w:rPr>
          <w:rFonts w:ascii="Arial" w:hAnsi="Arial" w:eastAsia="Times New Roman" w:cs="Arial"/>
          <w:b/>
          <w:bCs/>
          <w:smallCaps/>
          <w:color w:val="000000"/>
          <w:sz w:val="24"/>
          <w:szCs w:val="24"/>
        </w:rPr>
      </w:pPr>
      <w:r>
        <w:rPr>
          <w:rFonts w:eastAsia="Times New Roman" w:cs="Arial" w:ascii="Arial" w:hAnsi="Arial"/>
          <w:b/>
          <w:bCs/>
          <w:smallCaps/>
          <w:color w:val="000000"/>
          <w:sz w:val="24"/>
          <w:szCs w:val="24"/>
        </w:rPr>
      </w:r>
    </w:p>
    <w:p>
      <w:pPr>
        <w:pStyle w:val="Normal"/>
        <w:spacing w:lineRule="auto" w:line="240" w:before="0" w:after="0"/>
        <w:jc w:val="center"/>
        <w:rPr>
          <w:rFonts w:ascii="Arial" w:hAnsi="Arial" w:eastAsia="Times New Roman" w:cs="Arial"/>
          <w:b/>
          <w:bCs/>
          <w:smallCaps/>
          <w:color w:val="000000"/>
          <w:sz w:val="24"/>
          <w:szCs w:val="24"/>
        </w:rPr>
      </w:pPr>
      <w:r>
        <w:rPr>
          <w:rFonts w:eastAsia="Times New Roman" w:cs="Arial" w:ascii="Arial" w:hAnsi="Arial"/>
          <w:b/>
          <w:bCs/>
          <w:smallCaps/>
          <w:color w:val="000000"/>
          <w:sz w:val="24"/>
          <w:szCs w:val="24"/>
        </w:rPr>
      </w:r>
    </w:p>
    <w:p>
      <w:pPr>
        <w:pStyle w:val="Normal"/>
        <w:spacing w:lineRule="auto" w:line="240" w:before="0" w:after="0"/>
        <w:jc w:val="center"/>
        <w:rPr>
          <w:rFonts w:ascii="Arial" w:hAnsi="Arial" w:eastAsia="Times New Roman" w:cs="Arial"/>
          <w:sz w:val="24"/>
          <w:szCs w:val="24"/>
        </w:rPr>
      </w:pPr>
      <w:r>
        <w:rPr>
          <w:rFonts w:eastAsia="Times New Roman" w:cs="Arial" w:ascii="Arial" w:hAnsi="Arial"/>
          <w:b/>
          <w:bCs/>
          <w:smallCaps/>
          <w:color w:val="000000"/>
          <w:sz w:val="24"/>
          <w:szCs w:val="24"/>
        </w:rPr>
        <w:t>TIEKĖJO/ SUBTIEKĖJO  DEKLARACIJA</w:t>
      </w:r>
    </w:p>
    <w:p>
      <w:pPr>
        <w:pStyle w:val="Normal"/>
        <w:shd w:val="clear" w:color="auto" w:fill="FFFFFF"/>
        <w:spacing w:lineRule="auto" w:line="240" w:before="0" w:after="0"/>
        <w:jc w:val="center"/>
        <w:rPr>
          <w:rFonts w:ascii="Arial" w:hAnsi="Arial" w:eastAsia="Times New Roman" w:cs="Arial"/>
        </w:rPr>
      </w:pPr>
      <w:r>
        <w:rPr>
          <w:rFonts w:eastAsia="Times New Roman" w:cs="Arial" w:ascii="Arial" w:hAnsi="Arial"/>
        </w:rPr>
        <w:t> </w:t>
      </w:r>
      <w:r>
        <w:rPr>
          <w:rFonts w:eastAsia="Times New Roman" w:cs="Arial" w:ascii="Arial" w:hAnsi="Arial"/>
          <w:color w:val="000000"/>
        </w:rPr>
        <w:t>__________________</w:t>
      </w:r>
    </w:p>
    <w:p>
      <w:pPr>
        <w:pStyle w:val="Normal"/>
        <w:spacing w:lineRule="auto" w:line="240" w:before="0" w:after="0"/>
        <w:jc w:val="center"/>
        <w:rPr>
          <w:rFonts w:ascii="Arial" w:hAnsi="Arial" w:eastAsia="Times New Roman" w:cs="Arial"/>
          <w:sz w:val="18"/>
          <w:szCs w:val="18"/>
        </w:rPr>
      </w:pPr>
      <w:r>
        <w:rPr>
          <w:rFonts w:eastAsia="Times New Roman" w:cs="Arial" w:ascii="Arial" w:hAnsi="Arial"/>
          <w:color w:val="000000"/>
          <w:sz w:val="18"/>
          <w:szCs w:val="18"/>
        </w:rPr>
        <w:t>(Data)</w:t>
      </w:r>
    </w:p>
    <w:p>
      <w:pPr>
        <w:pStyle w:val="Normal"/>
        <w:spacing w:lineRule="auto" w:line="240" w:before="0" w:after="0"/>
        <w:rPr>
          <w:rFonts w:ascii="Arial" w:hAnsi="Arial" w:eastAsia="Times New Roman" w:cs="Arial"/>
        </w:rPr>
      </w:pPr>
      <w:r>
        <w:rPr>
          <w:rFonts w:eastAsia="Times New Roman" w:cs="Arial" w:ascii="Arial" w:hAnsi="Arial"/>
        </w:rPr>
      </w:r>
    </w:p>
    <w:p>
      <w:pPr>
        <w:pStyle w:val="Normal"/>
        <w:spacing w:lineRule="auto" w:line="240" w:before="0" w:after="150"/>
        <w:jc w:val="both"/>
        <w:rPr>
          <w:rFonts w:ascii="Arial" w:hAnsi="Arial" w:eastAsia="Times New Roman" w:cs="Arial"/>
          <w:color w:val="000000"/>
          <w:sz w:val="24"/>
          <w:szCs w:val="24"/>
        </w:rPr>
      </w:pPr>
      <w:r>
        <w:rPr>
          <w:rFonts w:eastAsia="Times New Roman" w:cs="Arial" w:ascii="Arial" w:hAnsi="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Pr>
          <w:rFonts w:eastAsia="Times New Roman" w:cs="Arial" w:ascii="Arial" w:hAnsi="Arial"/>
          <w:color w:val="000000"/>
        </w:rPr>
        <w:t xml:space="preserve"> </w:t>
      </w:r>
      <w:r>
        <w:rPr>
          <w:rFonts w:eastAsia="Times New Roman" w:cs="Arial" w:ascii="Arial" w:hAnsi="Arial"/>
          <w:color w:val="000000"/>
          <w:sz w:val="24"/>
          <w:szCs w:val="24"/>
        </w:rPr>
        <w:t>nustatytas ribas t. y.:</w:t>
      </w:r>
    </w:p>
    <w:p>
      <w:pPr>
        <w:pStyle w:val="Normal"/>
        <w:spacing w:lineRule="auto" w:line="240" w:before="0" w:after="150"/>
        <w:jc w:val="both"/>
        <w:rPr>
          <w:rFonts w:ascii="Arial" w:hAnsi="Arial" w:eastAsia="Times New Roman" w:cs="Arial"/>
          <w:color w:val="000000"/>
          <w:sz w:val="24"/>
          <w:szCs w:val="24"/>
        </w:rPr>
      </w:pPr>
      <w:r>
        <w:rPr>
          <w:rFonts w:eastAsia="Times New Roman" w:cs="Arial" w:ascii="Arial" w:hAnsi="Arial"/>
          <w:color w:themeColor="text1" w:val="000000"/>
          <w:sz w:val="24"/>
          <w:szCs w:val="24"/>
        </w:rPr>
        <w:t xml:space="preserve">(a) mano atstovaujamas </w:t>
      </w:r>
      <w:r>
        <w:rPr>
          <w:rFonts w:eastAsia="Times New Roman" w:cs="Arial" w:ascii="Arial" w:hAnsi="Arial"/>
          <w:color w:val="000000"/>
          <w:sz w:val="24"/>
          <w:szCs w:val="24"/>
        </w:rPr>
        <w:t>tiekėjas/subtiekėjas</w:t>
      </w:r>
      <w:r>
        <w:rPr>
          <w:rFonts w:eastAsia="Times New Roman" w:cs="Arial" w:ascii="Arial" w:hAnsi="Arial"/>
          <w:color w:themeColor="text1" w:val="000000"/>
          <w:sz w:val="24"/>
          <w:szCs w:val="24"/>
        </w:rPr>
        <w:t xml:space="preserve"> (ir nė vienas iš tiekėjų grupės narių) nėra Rusijos pilietis arba Rusijoje įsisteigęs fizinis ar juridinis asmuo, subjektas ar įstaiga;</w:t>
      </w:r>
    </w:p>
    <w:p>
      <w:pPr>
        <w:pStyle w:val="Normal"/>
        <w:spacing w:lineRule="auto" w:line="240" w:before="0" w:after="150"/>
        <w:jc w:val="both"/>
        <w:rPr>
          <w:rFonts w:ascii="Arial" w:hAnsi="Arial" w:eastAsia="Times New Roman" w:cs="Arial"/>
          <w:color w:val="000000"/>
          <w:sz w:val="24"/>
          <w:szCs w:val="24"/>
        </w:rPr>
      </w:pPr>
      <w:r>
        <w:rPr>
          <w:rFonts w:eastAsia="Times New Roman" w:cs="Arial" w:ascii="Arial" w:hAnsi="Arial"/>
          <w:color w:themeColor="text1" w:val="000000"/>
          <w:sz w:val="24"/>
          <w:szCs w:val="24"/>
        </w:rPr>
        <w:t xml:space="preserve">(b) mano atstovaujamas </w:t>
      </w:r>
      <w:r>
        <w:rPr>
          <w:rFonts w:eastAsia="Times New Roman" w:cs="Arial" w:ascii="Arial" w:hAnsi="Arial"/>
          <w:color w:val="000000"/>
          <w:sz w:val="24"/>
          <w:szCs w:val="24"/>
        </w:rPr>
        <w:t>tiekėjas/subtiekėjas</w:t>
      </w:r>
      <w:r>
        <w:rPr>
          <w:rFonts w:eastAsia="Times New Roman" w:cs="Arial" w:ascii="Arial" w:hAnsi="Arial"/>
          <w:color w:themeColor="text1" w:val="000000"/>
          <w:sz w:val="24"/>
          <w:szCs w:val="24"/>
        </w:rPr>
        <w:t xml:space="preserve"> (ir nė vienas iš tiekėjų grupės narių) nėra juridinis asmuo, subjektas ar įstaiga, kurio nuosavybės teisės tiesiogiai ar netiesiogiai daugiau kaip 50 % priklauso šios dalies a) punkte nurodytam subjektui;</w:t>
      </w:r>
    </w:p>
    <w:p>
      <w:pPr>
        <w:pStyle w:val="Normal"/>
        <w:spacing w:lineRule="auto" w:line="240" w:before="0" w:after="150"/>
        <w:jc w:val="both"/>
        <w:rPr>
          <w:rFonts w:ascii="Arial" w:hAnsi="Arial" w:eastAsia="Times New Roman" w:cs="Arial"/>
          <w:color w:val="000000"/>
          <w:sz w:val="24"/>
          <w:szCs w:val="24"/>
        </w:rPr>
      </w:pPr>
      <w:r>
        <w:rPr>
          <w:rFonts w:eastAsia="Times New Roman" w:cs="Arial" w:ascii="Arial" w:hAnsi="Arial"/>
          <w:color w:val="000000"/>
          <w:sz w:val="24"/>
          <w:szCs w:val="24"/>
        </w:rPr>
        <w:t>(c) nei aš, nei mano atstovaujama bendrovė nėra fizinis ar juridinis asmuo, subjektas ar įstaiga, veikianti a) arba b) punkte nurodyto subjekto vardu ar jo nurodymu;</w:t>
      </w:r>
    </w:p>
    <w:p>
      <w:pPr>
        <w:pStyle w:val="Normal"/>
        <w:spacing w:lineRule="auto" w:line="240" w:before="0" w:after="150"/>
        <w:jc w:val="both"/>
        <w:rPr>
          <w:rFonts w:ascii="Arial" w:hAnsi="Arial" w:eastAsia="Times New Roman" w:cs="Arial"/>
          <w:color w:val="000000"/>
          <w:sz w:val="24"/>
          <w:szCs w:val="24"/>
        </w:rPr>
      </w:pPr>
      <w:r>
        <w:rPr>
          <w:rFonts w:eastAsia="Times New Roman" w:cs="Arial" w:ascii="Arial" w:hAnsi="Arial"/>
          <w:color w:val="000000"/>
          <w:sz w:val="24"/>
          <w:szCs w:val="24"/>
        </w:rPr>
        <w:t>(d) a)-c) punktuose išvardyti subjektai nedalyvauja subtiekėjais, tiekėjais ar subjektais, kurių pajėgumais remiasi mano atstovaujamas tiekėjas, tais atvejais kai jiems tenka daugiau kaip 10 % sutarties vertės.</w:t>
      </w:r>
    </w:p>
    <w:p>
      <w:pPr>
        <w:pStyle w:val="Normal"/>
        <w:spacing w:lineRule="auto" w:line="240" w:before="0" w:after="0"/>
        <w:jc w:val="both"/>
        <w:rPr>
          <w:rStyle w:val="Normaltextrun"/>
          <w:rFonts w:ascii="Arial" w:hAnsi="Arial" w:cs="Arial"/>
          <w:color w:val="000000"/>
          <w:sz w:val="24"/>
          <w:szCs w:val="24"/>
          <w:shd w:fill="FFFFFF" w:val="clear"/>
        </w:rPr>
      </w:pPr>
      <w:r>
        <w:rPr>
          <w:rFonts w:eastAsia="Times New Roman" w:cs="Arial" w:ascii="Arial" w:hAnsi="Arial"/>
          <w:color w:val="000000"/>
          <w:sz w:val="24"/>
          <w:szCs w:val="24"/>
        </w:rPr>
        <w:t xml:space="preserve">Patvirtinu, kad tiekėjui/subtiekėjui kuriuos esu pasitelkęs ar pasitelksiu ateityje, </w:t>
      </w:r>
      <w:r>
        <w:rPr>
          <w:rFonts w:cs="Arial" w:ascii="Arial" w:hAnsi="Arial"/>
          <w:sz w:val="24"/>
          <w:szCs w:val="24"/>
        </w:rPr>
        <w:t xml:space="preserve">ūkio subjektams, kurių pajėgumais remiuosi ar (ir) remsiuosi, prekių (ir jų sudedamųjų dalių) gamintojams </w:t>
      </w:r>
      <w:r>
        <w:rPr>
          <w:rFonts w:eastAsia="Times New Roman" w:cs="Arial" w:ascii="Arial" w:hAnsi="Arial"/>
          <w:color w:val="000000"/>
          <w:sz w:val="24"/>
          <w:szCs w:val="24"/>
        </w:rPr>
        <w:t>netaikomos</w:t>
      </w:r>
      <w:r>
        <w:rPr>
          <w:rFonts w:cs="Arial" w:ascii="Arial" w:hAnsi="Arial"/>
          <w:sz w:val="24"/>
          <w:szCs w:val="24"/>
        </w:rPr>
        <w:t xml:space="preserve"> Lietuvos Respublikoje įgyvendinamos tarptautinės sankcijos, kaip tai apibrėžta Lietuvos Respublikos tarptautinių sankcijų įstatyme.</w:t>
      </w:r>
    </w:p>
    <w:p>
      <w:pPr>
        <w:pStyle w:val="Normal"/>
        <w:tabs>
          <w:tab w:val="clear" w:pos="1296"/>
          <w:tab w:val="left" w:pos="284" w:leader="none"/>
          <w:tab w:val="left" w:pos="426" w:leader="none"/>
        </w:tabs>
        <w:spacing w:lineRule="auto" w:line="240" w:before="0" w:after="150"/>
        <w:jc w:val="both"/>
        <w:rPr>
          <w:rFonts w:ascii="Arial" w:hAnsi="Arial" w:eastAsia="Times New Roman" w:cs="Arial"/>
          <w:color w:val="000000"/>
          <w:sz w:val="24"/>
          <w:szCs w:val="24"/>
        </w:rPr>
      </w:pPr>
      <w:r>
        <w:rPr>
          <w:rFonts w:eastAsia="Times New Roman" w:cs="Arial" w:ascii="Arial" w:hAnsi="Arial"/>
          <w:color w:val="000000"/>
          <w:sz w:val="24"/>
          <w:szCs w:val="24"/>
        </w:rPr>
      </w:r>
    </w:p>
    <w:p>
      <w:pPr>
        <w:pStyle w:val="Normal"/>
        <w:tabs>
          <w:tab w:val="clear" w:pos="1296"/>
          <w:tab w:val="left" w:pos="284" w:leader="none"/>
          <w:tab w:val="left" w:pos="426" w:leader="none"/>
        </w:tabs>
        <w:spacing w:lineRule="auto" w:line="240" w:before="0" w:after="150"/>
        <w:jc w:val="both"/>
        <w:rPr>
          <w:rFonts w:ascii="Arial" w:hAnsi="Arial" w:eastAsia="Times New Roman" w:cs="Arial"/>
          <w:color w:val="000000"/>
          <w:sz w:val="24"/>
          <w:szCs w:val="24"/>
        </w:rPr>
      </w:pPr>
      <w:r>
        <w:rPr>
          <w:rFonts w:eastAsia="Times New Roman" w:cs="Arial" w:ascii="Arial" w:hAnsi="Arial"/>
          <w:color w:val="000000"/>
          <w:sz w:val="24"/>
          <w:szCs w:val="24"/>
        </w:rPr>
        <w:t xml:space="preserve">Deklaruojamoms aplinkybėms pasikeitus, įsipareigoju nedelsiant apie tai informuoti Pirkimo vykdytoją. </w:t>
      </w:r>
    </w:p>
    <w:tbl>
      <w:tblPr>
        <w:tblW w:w="976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783"/>
        <w:gridCol w:w="235"/>
        <w:gridCol w:w="236"/>
        <w:gridCol w:w="238"/>
        <w:gridCol w:w="4161"/>
        <w:gridCol w:w="2109"/>
      </w:tblGrid>
      <w:tr>
        <w:trPr/>
        <w:tc>
          <w:tcPr>
            <w:tcW w:w="9762" w:type="dxa"/>
            <w:gridSpan w:val="6"/>
            <w:tcBorders/>
          </w:tcPr>
          <w:p>
            <w:pPr>
              <w:pStyle w:val="Normal"/>
              <w:tabs>
                <w:tab w:val="clear" w:pos="1296"/>
                <w:tab w:val="left" w:pos="284" w:leader="none"/>
                <w:tab w:val="left" w:pos="426" w:leader="none"/>
              </w:tabs>
              <w:spacing w:lineRule="auto" w:line="240" w:before="0" w:after="150"/>
              <w:jc w:val="both"/>
              <w:rPr>
                <w:rFonts w:ascii="Arial" w:hAnsi="Arial" w:eastAsia="Times New Roman" w:cs="Arial"/>
                <w:color w:val="000000"/>
              </w:rPr>
            </w:pPr>
            <w:r>
              <w:rPr>
                <w:rFonts w:eastAsia="Times New Roman" w:cs="Arial" w:ascii="Arial" w:hAnsi="Arial"/>
                <w:color w:val="000000"/>
              </w:rPr>
            </w:r>
          </w:p>
        </w:tc>
      </w:tr>
      <w:tr>
        <w:trPr>
          <w:trHeight w:val="285" w:hRule="exact"/>
        </w:trPr>
        <w:tc>
          <w:tcPr>
            <w:tcW w:w="2783" w:type="dxa"/>
            <w:tcBorders>
              <w:bottom w:val="single" w:sz="4" w:space="0" w:color="000000"/>
            </w:tcBorders>
          </w:tcPr>
          <w:p>
            <w:pPr>
              <w:pStyle w:val="Normal"/>
              <w:spacing w:lineRule="auto" w:line="240" w:before="0" w:after="0"/>
              <w:rPr>
                <w:rFonts w:ascii="Arial" w:hAnsi="Arial" w:eastAsia="Times New Roman" w:cs="Arial"/>
              </w:rPr>
            </w:pPr>
            <w:r>
              <w:rPr>
                <w:rFonts w:eastAsia="Times New Roman" w:cs="Arial" w:ascii="Arial" w:hAnsi="Arial"/>
              </w:rPr>
            </w:r>
          </w:p>
        </w:tc>
        <w:tc>
          <w:tcPr>
            <w:tcW w:w="235" w:type="dxa"/>
            <w:tcBorders/>
          </w:tcPr>
          <w:p>
            <w:pPr>
              <w:pStyle w:val="Normal"/>
              <w:spacing w:lineRule="auto" w:line="240" w:before="0" w:after="0"/>
              <w:rPr>
                <w:rFonts w:ascii="Arial" w:hAnsi="Arial" w:eastAsia="Times New Roman" w:cs="Arial"/>
              </w:rPr>
            </w:pPr>
            <w:r>
              <w:rPr>
                <w:rFonts w:eastAsia="Times New Roman" w:cs="Arial" w:ascii="Arial" w:hAnsi="Arial"/>
              </w:rPr>
            </w:r>
          </w:p>
        </w:tc>
        <w:tc>
          <w:tcPr>
            <w:tcW w:w="236" w:type="dxa"/>
            <w:tcBorders/>
          </w:tcPr>
          <w:p>
            <w:pPr>
              <w:pStyle w:val="Normal"/>
              <w:spacing w:lineRule="auto" w:line="240" w:before="0" w:after="0"/>
              <w:rPr>
                <w:rFonts w:ascii="Arial" w:hAnsi="Arial" w:eastAsia="Times New Roman" w:cs="Arial"/>
              </w:rPr>
            </w:pPr>
            <w:r>
              <w:rPr>
                <w:rFonts w:eastAsia="Times New Roman" w:cs="Arial" w:ascii="Arial" w:hAnsi="Arial"/>
              </w:rPr>
            </w:r>
          </w:p>
        </w:tc>
        <w:tc>
          <w:tcPr>
            <w:tcW w:w="238" w:type="dxa"/>
            <w:tcBorders/>
          </w:tcPr>
          <w:p>
            <w:pPr>
              <w:pStyle w:val="Normal"/>
              <w:spacing w:lineRule="auto" w:line="240" w:before="0" w:after="0"/>
              <w:rPr>
                <w:rFonts w:ascii="Arial" w:hAnsi="Arial" w:eastAsia="Times New Roman" w:cs="Arial"/>
              </w:rPr>
            </w:pPr>
            <w:r>
              <w:rPr>
                <w:rFonts w:eastAsia="Times New Roman" w:cs="Arial" w:ascii="Arial" w:hAnsi="Arial"/>
              </w:rPr>
            </w:r>
          </w:p>
        </w:tc>
        <w:tc>
          <w:tcPr>
            <w:tcW w:w="4161" w:type="dxa"/>
            <w:tcBorders>
              <w:bottom w:val="single" w:sz="4" w:space="0" w:color="000000"/>
            </w:tcBorders>
          </w:tcPr>
          <w:p>
            <w:pPr>
              <w:pStyle w:val="Normal"/>
              <w:spacing w:lineRule="auto" w:line="240" w:before="0" w:after="0"/>
              <w:rPr>
                <w:rFonts w:ascii="Arial" w:hAnsi="Arial" w:eastAsia="Times New Roman" w:cs="Arial"/>
              </w:rPr>
            </w:pPr>
            <w:r>
              <w:rPr>
                <w:rFonts w:eastAsia="Times New Roman" w:cs="Arial" w:ascii="Arial" w:hAnsi="Arial"/>
              </w:rPr>
            </w:r>
          </w:p>
        </w:tc>
        <w:tc>
          <w:tcPr>
            <w:tcW w:w="2109" w:type="dxa"/>
            <w:tcBorders/>
          </w:tcPr>
          <w:p>
            <w:pPr>
              <w:pStyle w:val="Normal"/>
              <w:spacing w:lineRule="auto" w:line="240" w:before="0" w:after="0"/>
              <w:rPr>
                <w:rFonts w:ascii="Arial" w:hAnsi="Arial" w:eastAsia="Times New Roman" w:cs="Arial"/>
              </w:rPr>
            </w:pPr>
            <w:r>
              <w:rPr>
                <w:rFonts w:eastAsia="Times New Roman" w:cs="Arial" w:ascii="Arial" w:hAnsi="Arial"/>
              </w:rPr>
            </w:r>
          </w:p>
        </w:tc>
      </w:tr>
      <w:tr>
        <w:trPr>
          <w:trHeight w:val="186" w:hRule="atLeast"/>
        </w:trPr>
        <w:tc>
          <w:tcPr>
            <w:tcW w:w="2783" w:type="dxa"/>
            <w:tcBorders>
              <w:top w:val="single" w:sz="4" w:space="0" w:color="000000"/>
            </w:tcBorders>
          </w:tcPr>
          <w:p>
            <w:pPr>
              <w:pStyle w:val="Normal"/>
              <w:spacing w:lineRule="auto" w:line="240" w:before="0" w:after="150"/>
              <w:rPr>
                <w:rFonts w:ascii="Arial" w:hAnsi="Arial" w:eastAsia="Times New Roman" w:cs="Arial"/>
                <w:sz w:val="18"/>
                <w:szCs w:val="18"/>
              </w:rPr>
            </w:pPr>
            <w:r>
              <w:rPr>
                <w:rFonts w:eastAsia="Times New Roman" w:cs="Arial" w:ascii="Arial" w:hAnsi="Arial"/>
                <w:color w:val="000000"/>
                <w:sz w:val="18"/>
                <w:szCs w:val="18"/>
              </w:rPr>
              <w:t>(Parašas)</w:t>
            </w:r>
          </w:p>
        </w:tc>
        <w:tc>
          <w:tcPr>
            <w:tcW w:w="235" w:type="dxa"/>
            <w:tcBorders/>
          </w:tcPr>
          <w:p>
            <w:pPr>
              <w:pStyle w:val="Normal"/>
              <w:spacing w:lineRule="auto" w:line="240" w:before="0" w:after="0"/>
              <w:rPr>
                <w:rFonts w:ascii="Arial" w:hAnsi="Arial" w:eastAsia="Times New Roman" w:cs="Arial"/>
                <w:sz w:val="18"/>
                <w:szCs w:val="18"/>
              </w:rPr>
            </w:pPr>
            <w:r>
              <w:rPr>
                <w:rFonts w:eastAsia="Times New Roman" w:cs="Arial" w:ascii="Arial" w:hAnsi="Arial"/>
                <w:sz w:val="18"/>
                <w:szCs w:val="18"/>
              </w:rPr>
            </w:r>
          </w:p>
        </w:tc>
        <w:tc>
          <w:tcPr>
            <w:tcW w:w="236" w:type="dxa"/>
            <w:tcBorders/>
          </w:tcPr>
          <w:p>
            <w:pPr>
              <w:pStyle w:val="Normal"/>
              <w:spacing w:lineRule="auto" w:line="240" w:before="0" w:after="0"/>
              <w:rPr>
                <w:rFonts w:ascii="Arial" w:hAnsi="Arial" w:eastAsia="Times New Roman" w:cs="Arial"/>
                <w:sz w:val="18"/>
                <w:szCs w:val="18"/>
              </w:rPr>
            </w:pPr>
            <w:r>
              <w:rPr>
                <w:rFonts w:eastAsia="Times New Roman" w:cs="Arial" w:ascii="Arial" w:hAnsi="Arial"/>
                <w:sz w:val="18"/>
                <w:szCs w:val="18"/>
              </w:rPr>
            </w:r>
          </w:p>
        </w:tc>
        <w:tc>
          <w:tcPr>
            <w:tcW w:w="238" w:type="dxa"/>
            <w:tcBorders/>
          </w:tcPr>
          <w:p>
            <w:pPr>
              <w:pStyle w:val="Normal"/>
              <w:spacing w:lineRule="auto" w:line="240" w:before="0" w:after="0"/>
              <w:rPr>
                <w:rFonts w:ascii="Arial" w:hAnsi="Arial" w:eastAsia="Times New Roman" w:cs="Arial"/>
                <w:sz w:val="18"/>
                <w:szCs w:val="18"/>
              </w:rPr>
            </w:pPr>
            <w:r>
              <w:rPr>
                <w:rFonts w:eastAsia="Times New Roman" w:cs="Arial" w:ascii="Arial" w:hAnsi="Arial"/>
                <w:sz w:val="18"/>
                <w:szCs w:val="18"/>
              </w:rPr>
            </w:r>
          </w:p>
        </w:tc>
        <w:tc>
          <w:tcPr>
            <w:tcW w:w="4161" w:type="dxa"/>
            <w:tcBorders>
              <w:top w:val="single" w:sz="4" w:space="0" w:color="000000"/>
            </w:tcBorders>
          </w:tcPr>
          <w:p>
            <w:pPr>
              <w:pStyle w:val="Normal"/>
              <w:spacing w:lineRule="auto" w:line="240" w:before="0" w:after="150"/>
              <w:rPr>
                <w:rFonts w:ascii="Arial" w:hAnsi="Arial" w:eastAsia="Times New Roman" w:cs="Arial"/>
                <w:sz w:val="18"/>
                <w:szCs w:val="18"/>
              </w:rPr>
            </w:pPr>
            <w:r>
              <w:rPr>
                <w:rFonts w:eastAsia="Times New Roman" w:cs="Arial" w:ascii="Arial" w:hAnsi="Arial"/>
                <w:color w:val="000000"/>
                <w:sz w:val="18"/>
                <w:szCs w:val="18"/>
              </w:rPr>
              <w:t>(Vardas, pavardė, pareigos)</w:t>
            </w:r>
          </w:p>
        </w:tc>
        <w:tc>
          <w:tcPr>
            <w:tcW w:w="2109" w:type="dxa"/>
            <w:tcBorders/>
          </w:tcPr>
          <w:p>
            <w:pPr>
              <w:pStyle w:val="Normal"/>
              <w:spacing w:lineRule="auto" w:line="240" w:before="0" w:after="0"/>
              <w:rPr>
                <w:rFonts w:ascii="Arial" w:hAnsi="Arial" w:eastAsia="Times New Roman" w:cs="Arial"/>
                <w:sz w:val="18"/>
                <w:szCs w:val="18"/>
              </w:rPr>
            </w:pPr>
            <w:r>
              <w:rPr>
                <w:rFonts w:eastAsia="Times New Roman" w:cs="Arial" w:ascii="Arial" w:hAnsi="Arial"/>
                <w:sz w:val="18"/>
                <w:szCs w:val="18"/>
              </w:rPr>
            </w:r>
          </w:p>
        </w:tc>
      </w:tr>
    </w:tbl>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r>
    </w:p>
    <w:p>
      <w:pPr>
        <w:pStyle w:val="Heading2"/>
        <w:spacing w:before="0" w:after="0"/>
        <w:ind w:firstLine="27" w:left="7110"/>
        <w:rPr>
          <w:rFonts w:ascii="Arial" w:hAnsi="Arial" w:cs="Arial"/>
          <w:color w:val="auto"/>
          <w:sz w:val="24"/>
          <w:szCs w:val="24"/>
        </w:rPr>
      </w:pPr>
      <w:bookmarkStart w:id="84" w:name="_Toc187926822"/>
      <w:r>
        <w:rPr>
          <w:rFonts w:cs="Arial" w:ascii="Arial" w:hAnsi="Arial"/>
          <w:color w:val="auto"/>
          <w:sz w:val="24"/>
          <w:szCs w:val="24"/>
        </w:rPr>
        <w:t>Pirkimo sąlygų 9 priedas</w:t>
      </w:r>
      <w:bookmarkEnd w:id="84"/>
      <w:r>
        <w:rPr>
          <w:rFonts w:cs="Arial" w:ascii="Arial" w:hAnsi="Arial"/>
          <w:color w:val="auto"/>
          <w:sz w:val="24"/>
          <w:szCs w:val="24"/>
        </w:rPr>
        <w:t xml:space="preserve"> </w:t>
      </w:r>
    </w:p>
    <w:p>
      <w:pPr>
        <w:pStyle w:val="Heading2"/>
        <w:spacing w:before="0" w:after="0"/>
        <w:ind w:firstLine="27" w:left="7110"/>
        <w:rPr>
          <w:rFonts w:ascii="Arial" w:hAnsi="Arial" w:cs="Arial"/>
          <w:color w:val="auto"/>
          <w:sz w:val="24"/>
          <w:szCs w:val="24"/>
        </w:rPr>
      </w:pPr>
      <w:bookmarkStart w:id="85" w:name="_Toc187926823"/>
      <w:r>
        <w:rPr>
          <w:rFonts w:cs="Arial" w:ascii="Arial" w:hAnsi="Arial"/>
          <w:color w:val="auto"/>
          <w:sz w:val="24"/>
          <w:szCs w:val="24"/>
        </w:rPr>
        <w:t>„</w:t>
      </w:r>
      <w:r>
        <w:rPr>
          <w:rFonts w:cs="Arial" w:ascii="Arial" w:hAnsi="Arial"/>
          <w:color w:val="auto"/>
          <w:sz w:val="24"/>
          <w:szCs w:val="24"/>
        </w:rPr>
        <w:t>Sutarties projektas“</w:t>
      </w:r>
      <w:bookmarkEnd w:id="85"/>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t>Paslaugų pirkimo–pardavimo sutarties bendrosios ir specialiosios sąlygos pateikiamos kaip atskiri priedai ir skelbiamas viešai kartu su kitais pirkimo dokumentais.</w:t>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jc w:val="both"/>
        <w:rPr>
          <w:rFonts w:ascii="Arial" w:hAnsi="Arial" w:cs="Arial"/>
          <w:sz w:val="20"/>
          <w:szCs w:val="20"/>
          <w:shd w:fill="FFFFFF" w:val="clear"/>
        </w:rPr>
      </w:pPr>
      <w:r>
        <w:rPr>
          <w:rFonts w:cs="Arial" w:ascii="Arial" w:hAnsi="Arial"/>
          <w:sz w:val="20"/>
          <w:szCs w:val="20"/>
          <w:shd w:fill="FFFFFF" w:val="clear"/>
        </w:rPr>
      </w:r>
    </w:p>
    <w:p>
      <w:pPr>
        <w:pStyle w:val="Heading2"/>
        <w:ind w:left="6570"/>
        <w:rPr>
          <w:rFonts w:ascii="Arial" w:hAnsi="Arial" w:cs="Arial"/>
          <w:color w:val="auto"/>
          <w:sz w:val="24"/>
          <w:szCs w:val="24"/>
        </w:rPr>
      </w:pPr>
      <w:bookmarkStart w:id="86" w:name="_Toc173876890"/>
      <w:bookmarkStart w:id="87" w:name="_Toc187926824"/>
      <w:r>
        <w:rPr>
          <w:rFonts w:cs="Arial" w:ascii="Arial" w:hAnsi="Arial"/>
          <w:color w:val="auto"/>
          <w:sz w:val="24"/>
          <w:szCs w:val="24"/>
        </w:rPr>
        <w:t>Pirkimo sąlygų 10 priedas „Siūlomų specialistų sąrašas“</w:t>
      </w:r>
      <w:bookmarkEnd w:id="86"/>
      <w:bookmarkEnd w:id="87"/>
    </w:p>
    <w:p>
      <w:pPr>
        <w:pStyle w:val="Normal"/>
        <w:shd w:val="clear" w:color="auto" w:fill="FFFFFF"/>
        <w:spacing w:before="0" w:after="200"/>
        <w:jc w:val="center"/>
        <w:rPr>
          <w:rFonts w:ascii="Arial" w:hAnsi="Arial" w:eastAsia="Times New Roman" w:cs="Arial"/>
          <w:b/>
          <w:sz w:val="22"/>
          <w:szCs w:val="22"/>
          <w:lang w:eastAsia="en-US"/>
        </w:rPr>
      </w:pPr>
      <w:r>
        <w:rPr>
          <w:rFonts w:eastAsia="Times New Roman" w:cs="Arial" w:ascii="Arial" w:hAnsi="Arial"/>
          <w:b/>
          <w:sz w:val="22"/>
          <w:szCs w:val="22"/>
          <w:lang w:eastAsia="en-US"/>
        </w:rPr>
      </w:r>
    </w:p>
    <w:p>
      <w:pPr>
        <w:pStyle w:val="Normal"/>
        <w:shd w:val="clear" w:color="auto" w:fill="FFFFFF"/>
        <w:spacing w:before="0" w:after="200"/>
        <w:jc w:val="center"/>
        <w:rPr>
          <w:rFonts w:ascii="Arial" w:hAnsi="Arial" w:eastAsia="Times New Roman" w:cs="Arial"/>
          <w:b/>
          <w:sz w:val="22"/>
          <w:szCs w:val="22"/>
          <w:lang w:eastAsia="en-US"/>
        </w:rPr>
      </w:pPr>
      <w:r>
        <w:rPr>
          <w:rFonts w:eastAsia="Times New Roman" w:cs="Arial" w:ascii="Arial" w:hAnsi="Arial"/>
          <w:b/>
          <w:sz w:val="22"/>
          <w:szCs w:val="22"/>
          <w:lang w:eastAsia="en-US"/>
        </w:rPr>
        <w:t>Siūlomų specialistų sąrašo forma</w:t>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rPr>
      </w:pPr>
      <w:r>
        <w:rPr>
          <w:rFonts w:eastAsia="Calibri" w:cs="Arial" w:ascii="Arial" w:hAnsi="Arial"/>
          <w:b/>
          <w:color w:themeColor="text1" w:val="000000"/>
          <w:sz w:val="24"/>
          <w:szCs w:val="24"/>
        </w:rPr>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highlight w:val="yellow"/>
        </w:rPr>
      </w:pPr>
      <w:r>
        <w:rPr>
          <w:rFonts w:eastAsia="Calibri" w:cs="Arial" w:ascii="Arial" w:hAnsi="Arial"/>
          <w:b/>
          <w:color w:themeColor="text1" w:val="000000"/>
          <w:sz w:val="24"/>
          <w:szCs w:val="24"/>
        </w:rPr>
        <w:t xml:space="preserve">MOKSLO PASKIRTIES PASTATŲ (1C2P2, 2C2P IR 4C1P) VEIVERIŲ TOMO ŽILINSKO GIMNAZIJOS KAUNO G. 29 VEIVERIUOSE, PRIENŲ R. SAV. KAPITALINIO REMONTO TECHNINIO DARBO PROJEKTO PARENGIMO PASLAUGOS </w:t>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highlight w:val="yellow"/>
        </w:rPr>
      </w:pPr>
      <w:r>
        <w:rPr>
          <w:rFonts w:eastAsia="Calibri" w:cs="Arial" w:ascii="Arial" w:hAnsi="Arial"/>
          <w:b/>
          <w:color w:themeColor="text1" w:val="000000"/>
          <w:sz w:val="24"/>
          <w:szCs w:val="24"/>
          <w:highlight w:val="yellow"/>
        </w:rPr>
      </w:r>
    </w:p>
    <w:tbl>
      <w:tblPr>
        <w:tblW w:w="990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1707"/>
        <w:gridCol w:w="2344"/>
        <w:gridCol w:w="2788"/>
        <w:gridCol w:w="3060"/>
      </w:tblGrid>
      <w:tr>
        <w:trPr/>
        <w:tc>
          <w:tcPr>
            <w:tcW w:w="17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Pareigos, kurioms siūlomas specialistas</w:t>
            </w:r>
          </w:p>
        </w:tc>
        <w:tc>
          <w:tcPr>
            <w:tcW w:w="23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Siūlomo specialisto vardas, pavardė</w:t>
            </w:r>
          </w:p>
        </w:tc>
        <w:tc>
          <w:tcPr>
            <w:tcW w:w="27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Tiekėjas, pas kurį dirba specialistas/planuojama įdarbinti ar planuoja dirbti kitais pagrindais</w:t>
            </w:r>
          </w:p>
        </w:tc>
        <w:tc>
          <w:tcPr>
            <w:tcW w:w="30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sz w:val="20"/>
                <w:szCs w:val="20"/>
              </w:rPr>
              <w:t>Santykių su tiekėju forma (įdarbintas/ sudaryta autorinė sutartis/ pasirašyta preliminari sutartis/ ketinimų protokolas ar pan.)</w:t>
            </w:r>
          </w:p>
        </w:tc>
      </w:tr>
      <w:tr>
        <w:trPr>
          <w:trHeight w:val="769" w:hRule="atLeast"/>
        </w:trPr>
        <w:tc>
          <w:tcPr>
            <w:tcW w:w="17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t>Statinio projekto vadovas</w:t>
            </w:r>
          </w:p>
        </w:tc>
        <w:tc>
          <w:tcPr>
            <w:tcW w:w="234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bl>
    <w:p>
      <w:pPr>
        <w:pStyle w:val="Normal"/>
        <w:spacing w:lineRule="auto" w:line="240" w:before="0" w:after="0"/>
        <w:jc w:val="both"/>
        <w:rPr>
          <w:rFonts w:ascii="Arial" w:hAnsi="Arial" w:cs="Arial"/>
          <w:sz w:val="18"/>
          <w:szCs w:val="18"/>
        </w:rPr>
      </w:pPr>
      <w:r>
        <w:rPr>
          <w:rFonts w:cs="Arial" w:ascii="Arial" w:hAnsi="Arial"/>
          <w:b/>
          <w:sz w:val="18"/>
          <w:szCs w:val="18"/>
        </w:rPr>
        <w:t xml:space="preserve">Pastabos: </w:t>
      </w:r>
    </w:p>
    <w:p>
      <w:pPr>
        <w:pStyle w:val="Normal"/>
        <w:spacing w:lineRule="auto" w:line="240" w:before="0" w:after="0"/>
        <w:jc w:val="both"/>
        <w:rPr>
          <w:rFonts w:ascii="Arial" w:hAnsi="Arial" w:cs="Arial"/>
          <w:sz w:val="20"/>
          <w:szCs w:val="20"/>
        </w:rPr>
      </w:pPr>
      <w:r>
        <w:rPr>
          <w:rFonts w:cs="Arial" w:ascii="Arial" w:hAnsi="Arial"/>
          <w:sz w:val="20"/>
          <w:szCs w:val="20"/>
        </w:rPr>
        <w:t>1. Pasiūlymas atmetamas, jei tiekėjas apie nustatytų reikalavimų atitikimą pateikia melagingą informaciją, kurią perkančioji organizacija gali įrodyti bet kokiomis teisėtomis priemonėmis.</w:t>
      </w:r>
    </w:p>
    <w:p>
      <w:pPr>
        <w:pStyle w:val="Normal"/>
        <w:spacing w:lineRule="auto" w:line="240" w:before="0" w:after="0"/>
        <w:jc w:val="both"/>
        <w:rPr>
          <w:rFonts w:ascii="Arial" w:hAnsi="Arial" w:cs="Arial"/>
          <w:sz w:val="20"/>
          <w:szCs w:val="20"/>
        </w:rPr>
      </w:pPr>
      <w:r>
        <w:rPr>
          <w:rFonts w:cs="Arial" w:ascii="Arial" w:hAnsi="Arial"/>
          <w:sz w:val="20"/>
          <w:szCs w:val="20"/>
        </w:rPr>
        <w:t>2. Specialistų sąrašas turi būti pateiktas kiekvienai pirkimo daliai atskirai (jeigu pasiūlymas teikiamas daugiau nei vienai pirkimo daliai).</w:t>
      </w:r>
    </w:p>
    <w:p>
      <w:pPr>
        <w:pStyle w:val="Normal"/>
        <w:spacing w:lineRule="auto" w:line="240" w:before="0" w:after="0"/>
        <w:jc w:val="both"/>
        <w:rPr>
          <w:rFonts w:ascii="Arial" w:hAnsi="Arial" w:cs="Arial"/>
          <w:sz w:val="20"/>
          <w:szCs w:val="20"/>
        </w:rPr>
      </w:pPr>
      <w:r>
        <w:rPr>
          <w:rFonts w:cs="Arial" w:ascii="Arial" w:hAnsi="Arial"/>
          <w:sz w:val="20"/>
          <w:szCs w:val="20"/>
        </w:rPr>
      </w:r>
    </w:p>
    <w:p>
      <w:pPr>
        <w:pStyle w:val="Normal"/>
        <w:jc w:val="center"/>
        <w:rPr>
          <w:rFonts w:ascii="Arial" w:hAnsi="Arial" w:cs="Arial"/>
        </w:rPr>
      </w:pPr>
      <w:r>
        <w:rPr>
          <w:rFonts w:cs="Arial" w:ascii="Arial" w:hAnsi="Arial"/>
        </w:rPr>
        <w:t>_______________</w:t>
      </w:r>
    </w:p>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2"/>
        <w:ind w:left="5103"/>
        <w:rPr>
          <w:rFonts w:ascii="Arial" w:hAnsi="Arial" w:cs="Arial"/>
          <w:color w:val="auto"/>
          <w:sz w:val="24"/>
          <w:szCs w:val="24"/>
        </w:rPr>
      </w:pPr>
      <w:bookmarkStart w:id="88" w:name="_Toc173876891"/>
      <w:bookmarkStart w:id="89" w:name="_Toc187926825"/>
      <w:r>
        <w:rPr>
          <w:rFonts w:cs="Arial" w:ascii="Arial" w:hAnsi="Arial"/>
          <w:color w:val="auto"/>
          <w:sz w:val="24"/>
          <w:szCs w:val="24"/>
        </w:rPr>
        <w:t>Pirkimo sąlygų 11 priedas „</w:t>
      </w:r>
      <w:r>
        <w:rPr>
          <w:rFonts w:eastAsia="Calibri" w:cs="Arial" w:ascii="Arial" w:hAnsi="Arial"/>
          <w:color w:val="auto"/>
          <w:sz w:val="24"/>
          <w:szCs w:val="24"/>
        </w:rPr>
        <w:t>Objektų, kuriuose siūlomas specialistas vykdė statinio projekto vadovo funkcijas ir kuriems buvo išduotas statybos leidimas, sąrašas“</w:t>
      </w:r>
      <w:bookmarkEnd w:id="88"/>
      <w:bookmarkEnd w:id="89"/>
    </w:p>
    <w:p>
      <w:pPr>
        <w:pStyle w:val="Normal"/>
        <w:rPr>
          <w:rFonts w:ascii="Arial" w:hAnsi="Arial" w:cs="Arial"/>
        </w:rPr>
      </w:pPr>
      <w:r>
        <w:rPr>
          <w:rFonts w:cs="Arial" w:ascii="Arial" w:hAnsi="Arial"/>
        </w:rPr>
      </w:r>
    </w:p>
    <w:p>
      <w:pPr>
        <w:pStyle w:val="Normal"/>
        <w:spacing w:lineRule="auto" w:line="240" w:before="0" w:after="0"/>
        <w:jc w:val="center"/>
        <w:rPr>
          <w:rFonts w:ascii="Arial" w:hAnsi="Arial" w:cs="Arial"/>
          <w:b/>
          <w:lang w:eastAsia="ar-SA"/>
        </w:rPr>
      </w:pPr>
      <w:r>
        <w:rPr>
          <w:rFonts w:cs="Arial" w:ascii="Arial" w:hAnsi="Arial"/>
          <w:b/>
          <w:lang w:eastAsia="ar-SA"/>
        </w:rPr>
      </w:r>
    </w:p>
    <w:p>
      <w:pPr>
        <w:pStyle w:val="Normal"/>
        <w:jc w:val="center"/>
        <w:rPr>
          <w:rFonts w:ascii="Arial" w:hAnsi="Arial" w:cs="Arial"/>
          <w:b/>
          <w:sz w:val="24"/>
          <w:szCs w:val="24"/>
        </w:rPr>
      </w:pPr>
      <w:r>
        <w:rPr>
          <w:rFonts w:cs="Arial" w:ascii="Arial" w:hAnsi="Arial"/>
          <w:b/>
          <w:sz w:val="24"/>
          <w:szCs w:val="24"/>
        </w:rPr>
        <w:t xml:space="preserve">OBJEKTŲ, KURIUOSE SIŪLOMAS SPECIALISTAS PER PASTARUOSIUS 3 (TREJUS) METUS IKI PASIŪLYMŲ PATEIKIMO TERMINO PABAIGOS VYKDĖ STATINIO PROJEKTO VADOVO FUNKCIJAS IR KURIEMS BUVO IŠDUOTAS STATYBOS LEIDIMAS, SĄRAŠAS </w:t>
      </w:r>
    </w:p>
    <w:p>
      <w:pPr>
        <w:pStyle w:val="Normal"/>
        <w:spacing w:lineRule="auto" w:line="240" w:before="0" w:after="0"/>
        <w:rPr>
          <w:rFonts w:ascii="Arial" w:hAnsi="Arial" w:cs="Arial"/>
          <w:b/>
          <w:bCs/>
          <w:sz w:val="24"/>
          <w:szCs w:val="24"/>
        </w:rPr>
      </w:pPr>
      <w:r>
        <w:rPr>
          <w:rFonts w:cs="Arial" w:ascii="Arial" w:hAnsi="Arial"/>
          <w:b/>
          <w:bCs/>
          <w:sz w:val="24"/>
          <w:szCs w:val="24"/>
        </w:rPr>
      </w:r>
    </w:p>
    <w:p>
      <w:pPr>
        <w:pStyle w:val="Normal"/>
        <w:spacing w:lineRule="auto" w:line="240" w:before="0" w:after="0"/>
        <w:rPr>
          <w:rFonts w:ascii="Arial" w:hAnsi="Arial" w:cs="Arial"/>
          <w:bCs/>
          <w:sz w:val="24"/>
          <w:szCs w:val="24"/>
          <w:vertAlign w:val="subscript"/>
        </w:rPr>
      </w:pPr>
      <w:r>
        <w:rPr>
          <w:rFonts w:cs="Arial" w:ascii="Arial" w:hAnsi="Arial"/>
          <w:b/>
          <w:bCs/>
          <w:sz w:val="24"/>
          <w:szCs w:val="24"/>
        </w:rPr>
        <w:t xml:space="preserve">Siūlomas projekto vadovas  </w:t>
      </w:r>
      <w:r>
        <w:rPr>
          <w:rFonts w:cs="Arial" w:ascii="Arial" w:hAnsi="Arial"/>
          <w:bCs/>
          <w:sz w:val="24"/>
          <w:szCs w:val="24"/>
        </w:rPr>
        <w:t>–  ______________________________________</w:t>
      </w:r>
    </w:p>
    <w:p>
      <w:pPr>
        <w:pStyle w:val="Normal"/>
        <w:spacing w:lineRule="auto" w:line="240" w:before="0" w:after="0"/>
        <w:rPr>
          <w:rFonts w:ascii="Arial" w:hAnsi="Arial" w:cs="Arial"/>
          <w:sz w:val="24"/>
          <w:szCs w:val="24"/>
          <w:vertAlign w:val="superscript"/>
        </w:rPr>
      </w:pPr>
      <w:r>
        <w:rPr>
          <w:rFonts w:cs="Arial" w:ascii="Arial" w:hAnsi="Arial"/>
          <w:sz w:val="24"/>
          <w:szCs w:val="24"/>
          <w:vertAlign w:val="subscript"/>
        </w:rPr>
        <w:t xml:space="preserve">                                                                                                                </w:t>
      </w:r>
      <w:r>
        <w:rPr>
          <w:rFonts w:cs="Arial" w:ascii="Arial" w:hAnsi="Arial"/>
          <w:sz w:val="24"/>
          <w:szCs w:val="24"/>
          <w:vertAlign w:val="subscript"/>
        </w:rPr>
        <w:tab/>
      </w:r>
      <w:r>
        <w:rPr>
          <w:rFonts w:cs="Arial" w:ascii="Arial" w:hAnsi="Arial"/>
          <w:sz w:val="24"/>
          <w:szCs w:val="24"/>
          <w:vertAlign w:val="superscript"/>
        </w:rPr>
        <w:t xml:space="preserve">      (Vardas ir pavardė)</w:t>
      </w:r>
    </w:p>
    <w:p>
      <w:pPr>
        <w:pStyle w:val="Normal"/>
        <w:rPr>
          <w:rFonts w:ascii="Arial" w:hAnsi="Arial" w:cs="Arial"/>
          <w:b/>
          <w:bCs/>
        </w:rPr>
      </w:pPr>
      <w:r>
        <w:rPr>
          <w:rFonts w:cs="Arial" w:ascii="Arial" w:hAnsi="Arial"/>
          <w:b/>
          <w:bCs/>
        </w:rPr>
        <w:tab/>
      </w:r>
    </w:p>
    <w:tbl>
      <w:tblPr>
        <w:tblW w:w="971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535"/>
        <w:gridCol w:w="3014"/>
        <w:gridCol w:w="1842"/>
        <w:gridCol w:w="2700"/>
        <w:gridCol w:w="1619"/>
      </w:tblGrid>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jc w:val="center"/>
              <w:rPr>
                <w:rFonts w:ascii="Arial" w:hAnsi="Arial" w:cs="Arial"/>
                <w:b/>
              </w:rPr>
            </w:pPr>
            <w:r>
              <w:rPr>
                <w:rFonts w:cs="Arial" w:ascii="Arial" w:hAnsi="Arial"/>
                <w:b/>
              </w:rPr>
              <w:t>Eil. Nr.</w:t>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b/>
              </w:rPr>
            </w:pPr>
            <w:r>
              <w:rPr>
                <w:rFonts w:cs="Arial" w:ascii="Arial" w:hAnsi="Arial"/>
                <w:b/>
              </w:rPr>
              <w:t>Sutarties objektas (paslaugos aprašymas)</w:t>
            </w:r>
          </w:p>
        </w:tc>
        <w:tc>
          <w:tcPr>
            <w:tcW w:w="1842" w:type="dxa"/>
            <w:tcBorders>
              <w:top w:val="single" w:sz="4" w:space="0" w:color="000000"/>
              <w:left w:val="single" w:sz="4" w:space="0" w:color="000000"/>
              <w:bottom w:val="single" w:sz="4" w:space="0" w:color="000000"/>
            </w:tcBorders>
          </w:tcPr>
          <w:p>
            <w:pPr>
              <w:pStyle w:val="Normal"/>
              <w:spacing w:lineRule="auto" w:line="240" w:before="0" w:after="0"/>
              <w:jc w:val="center"/>
              <w:rPr>
                <w:rFonts w:ascii="Arial" w:hAnsi="Arial" w:cs="Arial"/>
                <w:b/>
              </w:rPr>
            </w:pPr>
            <w:r>
              <w:rPr>
                <w:rFonts w:cs="Arial" w:ascii="Arial" w:hAnsi="Arial"/>
                <w:b/>
              </w:rPr>
              <w:t>Paslaugos suteikimo data (nuo–iki)</w:t>
            </w:r>
          </w:p>
        </w:tc>
        <w:tc>
          <w:tcPr>
            <w:tcW w:w="2700" w:type="dxa"/>
            <w:tcBorders>
              <w:top w:val="single" w:sz="4" w:space="0" w:color="000000"/>
              <w:left w:val="single" w:sz="4" w:space="0" w:color="000000"/>
              <w:bottom w:val="single" w:sz="4" w:space="0" w:color="000000"/>
            </w:tcBorders>
          </w:tcPr>
          <w:p>
            <w:pPr>
              <w:pStyle w:val="Normal"/>
              <w:spacing w:lineRule="auto" w:line="240" w:before="0" w:after="0"/>
              <w:jc w:val="center"/>
              <w:rPr>
                <w:rFonts w:ascii="Arial" w:hAnsi="Arial" w:cs="Arial"/>
                <w:b/>
              </w:rPr>
            </w:pPr>
            <w:r>
              <w:rPr>
                <w:rFonts w:cs="Arial" w:ascii="Arial" w:hAnsi="Arial"/>
                <w:b/>
              </w:rPr>
              <w:t>Užsakovo (paslaugų gavėjo) pavadinimas, kontaktiniai duomenys</w:t>
            </w:r>
          </w:p>
        </w:tc>
        <w:tc>
          <w:tcPr>
            <w:tcW w:w="16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b/>
              </w:rPr>
            </w:pPr>
            <w:r>
              <w:rPr>
                <w:rFonts w:cs="Arial" w:ascii="Arial" w:hAnsi="Arial"/>
                <w:b/>
              </w:rPr>
              <w:t>Statybos leidimo data ir numeris</w:t>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b/>
                <w:i/>
                <w:i/>
              </w:rPr>
            </w:pPr>
            <w:r>
              <w:rPr>
                <w:rFonts w:cs="Arial" w:ascii="Arial" w:hAnsi="Arial"/>
                <w:b/>
                <w:i/>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2700"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16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2700"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16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2700"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16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2700"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16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2700"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16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2700"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rPr>
            </w:pPr>
            <w:r>
              <w:rPr>
                <w:rFonts w:cs="Arial" w:ascii="Arial" w:hAnsi="Arial"/>
              </w:rPr>
            </w:r>
          </w:p>
        </w:tc>
        <w:tc>
          <w:tcPr>
            <w:tcW w:w="16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rPr>
            </w:pPr>
            <w:r>
              <w:rPr>
                <w:rFonts w:cs="Arial" w:ascii="Arial" w:hAnsi="Arial"/>
              </w:rPr>
            </w:r>
          </w:p>
        </w:tc>
      </w:tr>
    </w:tbl>
    <w:p>
      <w:pPr>
        <w:pStyle w:val="Normal"/>
        <w:rPr>
          <w:rFonts w:ascii="Arial" w:hAnsi="Arial" w:cs="Arial"/>
        </w:rPr>
      </w:pPr>
      <w:r>
        <w:rPr>
          <w:rFonts w:cs="Arial" w:ascii="Arial" w:hAnsi="Arial"/>
        </w:rPr>
      </w:r>
    </w:p>
    <w:tbl>
      <w:tblPr>
        <w:tblW w:w="974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682"/>
        <w:gridCol w:w="587"/>
        <w:gridCol w:w="1923"/>
        <w:gridCol w:w="680"/>
        <w:gridCol w:w="2869"/>
      </w:tblGrid>
      <w:tr>
        <w:trPr>
          <w:trHeight w:val="275" w:hRule="atLeast"/>
        </w:trPr>
        <w:tc>
          <w:tcPr>
            <w:tcW w:w="3682" w:type="dxa"/>
            <w:tcBorders>
              <w:bottom w:val="single" w:sz="4" w:space="0" w:color="000000"/>
            </w:tcBorders>
          </w:tcPr>
          <w:p>
            <w:pPr>
              <w:pStyle w:val="Normal"/>
              <w:spacing w:before="0" w:after="160"/>
              <w:rPr>
                <w:rFonts w:ascii="Arial" w:hAnsi="Arial" w:cs="Arial"/>
              </w:rPr>
            </w:pPr>
            <w:r>
              <w:rPr>
                <w:rFonts w:cs="Arial" w:ascii="Arial" w:hAnsi="Arial"/>
              </w:rPr>
            </w:r>
          </w:p>
        </w:tc>
        <w:tc>
          <w:tcPr>
            <w:tcW w:w="587" w:type="dxa"/>
            <w:tcBorders/>
          </w:tcPr>
          <w:p>
            <w:pPr>
              <w:pStyle w:val="Normal"/>
              <w:spacing w:before="0" w:after="160"/>
              <w:rPr>
                <w:rFonts w:ascii="Arial" w:hAnsi="Arial" w:cs="Arial"/>
              </w:rPr>
            </w:pPr>
            <w:r>
              <w:rPr>
                <w:rFonts w:cs="Arial" w:ascii="Arial" w:hAnsi="Arial"/>
              </w:rPr>
            </w:r>
          </w:p>
        </w:tc>
        <w:tc>
          <w:tcPr>
            <w:tcW w:w="1923" w:type="dxa"/>
            <w:tcBorders>
              <w:bottom w:val="single" w:sz="4" w:space="0" w:color="000000"/>
            </w:tcBorders>
          </w:tcPr>
          <w:p>
            <w:pPr>
              <w:pStyle w:val="Normal"/>
              <w:spacing w:before="0" w:after="160"/>
              <w:rPr>
                <w:rFonts w:ascii="Arial" w:hAnsi="Arial" w:cs="Arial"/>
              </w:rPr>
            </w:pPr>
            <w:r>
              <w:rPr>
                <w:rFonts w:cs="Arial" w:ascii="Arial" w:hAnsi="Arial"/>
              </w:rPr>
            </w:r>
          </w:p>
        </w:tc>
        <w:tc>
          <w:tcPr>
            <w:tcW w:w="680" w:type="dxa"/>
            <w:tcBorders/>
          </w:tcPr>
          <w:p>
            <w:pPr>
              <w:pStyle w:val="Normal"/>
              <w:spacing w:before="0" w:after="160"/>
              <w:rPr>
                <w:rFonts w:ascii="Arial" w:hAnsi="Arial" w:cs="Arial"/>
              </w:rPr>
            </w:pPr>
            <w:r>
              <w:rPr>
                <w:rFonts w:cs="Arial" w:ascii="Arial" w:hAnsi="Arial"/>
              </w:rPr>
            </w:r>
          </w:p>
        </w:tc>
        <w:tc>
          <w:tcPr>
            <w:tcW w:w="2869" w:type="dxa"/>
            <w:tcBorders>
              <w:bottom w:val="single" w:sz="4" w:space="0" w:color="000000"/>
            </w:tcBorders>
          </w:tcPr>
          <w:p>
            <w:pPr>
              <w:pStyle w:val="Normal"/>
              <w:spacing w:before="0" w:after="160"/>
              <w:rPr>
                <w:rFonts w:ascii="Arial" w:hAnsi="Arial" w:cs="Arial"/>
              </w:rPr>
            </w:pPr>
            <w:r>
              <w:rPr>
                <w:rFonts w:cs="Arial" w:ascii="Arial" w:hAnsi="Arial"/>
              </w:rPr>
            </w:r>
          </w:p>
        </w:tc>
      </w:tr>
      <w:tr>
        <w:trPr>
          <w:trHeight w:val="179" w:hRule="atLeast"/>
        </w:trPr>
        <w:tc>
          <w:tcPr>
            <w:tcW w:w="3682"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(Tiekėjo arba jo įgalioto asmens pareigų pavadinimas)</w:t>
            </w:r>
          </w:p>
        </w:tc>
        <w:tc>
          <w:tcPr>
            <w:tcW w:w="587" w:type="dxa"/>
            <w:tcBorders/>
          </w:tcPr>
          <w:p>
            <w:pPr>
              <w:pStyle w:val="Normal"/>
              <w:spacing w:before="0" w:after="160"/>
              <w:rPr>
                <w:rFonts w:ascii="Arial" w:hAnsi="Arial" w:cs="Arial"/>
                <w:sz w:val="16"/>
                <w:szCs w:val="16"/>
              </w:rPr>
            </w:pPr>
            <w:r>
              <w:rPr>
                <w:rFonts w:cs="Arial" w:ascii="Arial" w:hAnsi="Arial"/>
                <w:sz w:val="16"/>
                <w:szCs w:val="16"/>
              </w:rPr>
            </w:r>
          </w:p>
        </w:tc>
        <w:tc>
          <w:tcPr>
            <w:tcW w:w="1923"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(Parašas)</w:t>
            </w:r>
          </w:p>
        </w:tc>
        <w:tc>
          <w:tcPr>
            <w:tcW w:w="680" w:type="dxa"/>
            <w:tcBorders/>
          </w:tcPr>
          <w:p>
            <w:pPr>
              <w:pStyle w:val="Normal"/>
              <w:spacing w:before="0" w:after="160"/>
              <w:rPr>
                <w:rFonts w:ascii="Arial" w:hAnsi="Arial" w:cs="Arial"/>
                <w:sz w:val="16"/>
                <w:szCs w:val="16"/>
              </w:rPr>
            </w:pPr>
            <w:r>
              <w:rPr>
                <w:rFonts w:cs="Arial" w:ascii="Arial" w:hAnsi="Arial"/>
                <w:sz w:val="16"/>
                <w:szCs w:val="16"/>
              </w:rPr>
            </w:r>
          </w:p>
        </w:tc>
        <w:tc>
          <w:tcPr>
            <w:tcW w:w="2869"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(Vardas ir pavardė)</w:t>
            </w:r>
          </w:p>
        </w:tc>
      </w:tr>
    </w:tbl>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Normal"/>
        <w:spacing w:lineRule="auto" w:line="240" w:before="0" w:after="0"/>
        <w:jc w:val="center"/>
        <w:rPr>
          <w:rFonts w:ascii="Arial" w:hAnsi="Arial" w:cs="Arial"/>
          <w:b/>
          <w:lang w:eastAsia="ar-SA"/>
        </w:rPr>
      </w:pPr>
      <w:r>
        <w:rPr>
          <w:rFonts w:cs="Arial" w:ascii="Arial" w:hAnsi="Arial"/>
          <w:b/>
          <w:lang w:eastAsia="ar-SA"/>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sectPr>
      <w:footerReference w:type="even" r:id="rId10"/>
      <w:footerReference w:type="default" r:id="rId11"/>
      <w:footerReference w:type="first" r:id="rId12"/>
      <w:footnotePr>
        <w:numFmt w:val="decimal"/>
      </w:footnotePr>
      <w:type w:val="nextPage"/>
      <w:pgSz w:w="12240" w:h="15840"/>
      <w:pgMar w:left="1701" w:right="567" w:gutter="0" w:header="0" w:top="1134" w:footer="720" w:bottom="1134"/>
      <w:pgNumType w:fmt="decimal"/>
      <w:formProt w:val="false"/>
      <w:textDirection w:val="lrTb"/>
      <w:docGrid w:type="default" w:linePitch="312" w:charSpace="1802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Liberation Sans">
    <w:altName w:val="Arial"/>
    <w:charset w:val="00"/>
    <w:family w:val="roman"/>
    <w:pitch w:val="variable"/>
  </w:font>
  <w:font w:name="Montserrat">
    <w:charset w:val="00"/>
    <w:family w:val="roman"/>
    <w:pitch w:val="variable"/>
  </w:font>
  <w:font w:name="Arial">
    <w:charset w:val="00"/>
    <w:family w:val="roman"/>
    <w:pitch w:val="variable"/>
  </w:font>
  <w:font w:name="Verdana">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48</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48</w:t>
        </w:r>
        <w:r>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i/>
          <w:iCs/>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4"/>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5"/>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5"/>
        </w:numPr>
        <w:suppressAutoHyphens w:val="false"/>
        <w:spacing w:lineRule="auto" w:line="240" w:before="0" w:after="0"/>
        <w:jc w:val="both"/>
        <w:rPr>
          <w:rFonts w:ascii="Calibri" w:hAnsi="Calibri" w:eastAsia="Yu Mincho" w:cs="Arial"/>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6"/>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6"/>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pPr>
        <w:pStyle w:val="FootnoteText"/>
        <w:spacing w:lineRule="auto" w:line="240" w:before="0" w:after="0"/>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Taikoma tarptautinės vertės pirkimui.</w:t>
      </w:r>
    </w:p>
  </w:footnote>
  <w:footnote w:id="6">
    <w:p>
      <w:pPr>
        <w:pStyle w:val="FootnoteText"/>
        <w:spacing w:lineRule="auto" w:line="240" w:before="0" w:after="0"/>
        <w:jc w:val="both"/>
        <w:rPr>
          <w:rFonts w:ascii="Arial" w:hAnsi="Arial" w:cs="Arial"/>
          <w:i/>
          <w:i/>
          <w:iCs/>
          <w:sz w:val="18"/>
          <w:szCs w:val="18"/>
        </w:rPr>
      </w:pPr>
      <w:r>
        <w:rPr>
          <w:rStyle w:val="Inaosramenys"/>
        </w:rPr>
        <w:footnoteRef/>
      </w:r>
      <w:r>
        <w:rPr>
          <w:rFonts w:cs="Arial" w:ascii="Arial" w:hAnsi="Arial"/>
          <w:sz w:val="18"/>
          <w:szCs w:val="18"/>
        </w:rPr>
        <w:t xml:space="preserve"> </w:t>
      </w:r>
      <w:r>
        <w:rPr>
          <w:rFonts w:cs="Arial" w:ascii="Arial" w:hAnsi="Arial"/>
          <w:sz w:val="18"/>
          <w:szCs w:val="18"/>
        </w:rPr>
        <w:t>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szCs w:val="24"/>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suff w:val="space"/>
      <w:lvlText w:val="%1.%2.%3."/>
      <w:lvlJc w:val="left"/>
      <w:pPr>
        <w:tabs>
          <w:tab w:val="num" w:pos="0"/>
        </w:tabs>
        <w:ind w:left="2140"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b w:val="false"/>
        <w:bCs w:val="false"/>
      </w:rPr>
    </w:lvl>
    <w:lvl w:ilvl="1">
      <w:start w:val="1"/>
      <w:numFmt w:val="decimal"/>
      <w:lvlText w:val="%1.%2."/>
      <w:lvlJc w:val="left"/>
      <w:pPr>
        <w:tabs>
          <w:tab w:val="num" w:pos="0"/>
        </w:tabs>
        <w:ind w:left="444"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6.%1."/>
      <w:lvlJc w:val="left"/>
      <w:pPr>
        <w:tabs>
          <w:tab w:val="num" w:pos="0"/>
        </w:tabs>
        <w:ind w:left="1287" w:hanging="360"/>
      </w:pPr>
      <w:rPr>
        <w:i w:val="false"/>
        <w:b w:val="false"/>
        <w:iCs w:val="false"/>
        <w:bCs/>
        <w:color w:val="auto"/>
      </w:rPr>
    </w:lvl>
    <w:lvl w:ilvl="1">
      <w:start w:val="1"/>
      <w:numFmt w:val="lowerLetter"/>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7">
    <w:lvl w:ilvl="0">
      <w:start w:val="3"/>
      <w:numFmt w:val="decimal"/>
      <w:lvlText w:val="%1."/>
      <w:lvlJc w:val="left"/>
      <w:pPr>
        <w:tabs>
          <w:tab w:val="num" w:pos="0"/>
        </w:tabs>
        <w:ind w:left="360" w:hanging="360"/>
      </w:pPr>
      <w:rPr/>
    </w:lvl>
    <w:lvl w:ilvl="1">
      <w:start w:val="1"/>
      <w:numFmt w:val="decimal"/>
      <w:lvlText w:val="%1.%2."/>
      <w:lvlJc w:val="left"/>
      <w:pPr>
        <w:tabs>
          <w:tab w:val="num" w:pos="1080"/>
        </w:tabs>
        <w:ind w:left="1800" w:hanging="360"/>
      </w:pPr>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8">
    <w:lvl w:ilvl="0">
      <w:start w:val="4"/>
      <w:numFmt w:val="decimal"/>
      <w:lvlText w:val="%1."/>
      <w:lvlJc w:val="left"/>
      <w:pPr>
        <w:tabs>
          <w:tab w:val="num" w:pos="0"/>
        </w:tabs>
        <w:ind w:left="360" w:hanging="360"/>
      </w:pPr>
      <w:rPr/>
    </w:lvl>
    <w:lvl w:ilvl="1">
      <w:start w:val="1"/>
      <w:numFmt w:val="decimal"/>
      <w:lvlText w:val="%1.%2."/>
      <w:lvlJc w:val="left"/>
      <w:pPr>
        <w:tabs>
          <w:tab w:val="num" w:pos="0"/>
        </w:tabs>
        <w:ind w:left="1800" w:hanging="360"/>
      </w:pPr>
      <w:rPr/>
    </w:lvl>
    <w:lvl w:ilvl="2">
      <w:start w:val="1"/>
      <w:numFmt w:val="decimal"/>
      <w:lvlText w:val="%1.%2.%3."/>
      <w:lvlJc w:val="left"/>
      <w:pPr>
        <w:tabs>
          <w:tab w:val="num" w:pos="0"/>
        </w:tabs>
        <w:ind w:left="3600" w:hanging="720"/>
      </w:pPr>
      <w:rPr/>
    </w:lvl>
    <w:lvl w:ilvl="3">
      <w:start w:val="1"/>
      <w:numFmt w:val="decimal"/>
      <w:lvlText w:val="%1.%2.%3.%4."/>
      <w:lvlJc w:val="left"/>
      <w:pPr>
        <w:tabs>
          <w:tab w:val="num" w:pos="0"/>
        </w:tabs>
        <w:ind w:left="5040" w:hanging="720"/>
      </w:pPr>
      <w:rPr/>
    </w:lvl>
    <w:lvl w:ilvl="4">
      <w:start w:val="1"/>
      <w:numFmt w:val="decimal"/>
      <w:lvlText w:val="%1.%2.%3.%4.%5."/>
      <w:lvlJc w:val="left"/>
      <w:pPr>
        <w:tabs>
          <w:tab w:val="num" w:pos="0"/>
        </w:tabs>
        <w:ind w:left="6840" w:hanging="1080"/>
      </w:pPr>
      <w:rPr/>
    </w:lvl>
    <w:lvl w:ilvl="5">
      <w:start w:val="1"/>
      <w:numFmt w:val="decimal"/>
      <w:lvlText w:val="%1.%2.%3.%4.%5.%6."/>
      <w:lvlJc w:val="left"/>
      <w:pPr>
        <w:tabs>
          <w:tab w:val="num" w:pos="0"/>
        </w:tabs>
        <w:ind w:left="8280" w:hanging="1080"/>
      </w:pPr>
      <w:rPr/>
    </w:lvl>
    <w:lvl w:ilvl="6">
      <w:start w:val="1"/>
      <w:numFmt w:val="decimal"/>
      <w:lvlText w:val="%1.%2.%3.%4.%5.%6.%7."/>
      <w:lvlJc w:val="left"/>
      <w:pPr>
        <w:tabs>
          <w:tab w:val="num" w:pos="0"/>
        </w:tabs>
        <w:ind w:left="10080" w:hanging="1440"/>
      </w:pPr>
      <w:rPr/>
    </w:lvl>
    <w:lvl w:ilvl="7">
      <w:start w:val="1"/>
      <w:numFmt w:val="decimal"/>
      <w:lvlText w:val="%1.%2.%3.%4.%5.%6.%7.%8."/>
      <w:lvlJc w:val="left"/>
      <w:pPr>
        <w:tabs>
          <w:tab w:val="num" w:pos="0"/>
        </w:tabs>
        <w:ind w:left="11520" w:hanging="1440"/>
      </w:pPr>
      <w:rPr/>
    </w:lvl>
    <w:lvl w:ilvl="8">
      <w:start w:val="1"/>
      <w:numFmt w:val="decimal"/>
      <w:lvlText w:val="%1.%2.%3.%4.%5.%6.%7.%8.%9."/>
      <w:lvlJc w:val="left"/>
      <w:pPr>
        <w:tabs>
          <w:tab w:val="num" w:pos="0"/>
        </w:tabs>
        <w:ind w:left="13320" w:hanging="1800"/>
      </w:pPr>
      <w:rPr/>
    </w:lvl>
  </w:abstractNum>
  <w:abstractNum w:abstractNumId="9">
    <w:lvl w:ilvl="0">
      <w:start w:val="11"/>
      <w:numFmt w:val="decimal"/>
      <w:lvlText w:val="%1."/>
      <w:lvlJc w:val="left"/>
      <w:pPr>
        <w:tabs>
          <w:tab w:val="num" w:pos="0"/>
        </w:tabs>
        <w:ind w:left="468" w:hanging="468"/>
      </w:pPr>
      <w:rPr/>
    </w:lvl>
    <w:lvl w:ilvl="1">
      <w:start w:val="1"/>
      <w:numFmt w:val="decimal"/>
      <w:lvlText w:val="%1.%2."/>
      <w:lvlJc w:val="left"/>
      <w:pPr>
        <w:tabs>
          <w:tab w:val="num" w:pos="0"/>
        </w:tabs>
        <w:ind w:left="1035" w:hanging="468"/>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suff w:val="space"/>
      <w:lvlText w:val="%1."/>
      <w:lvlJc w:val="left"/>
      <w:pPr>
        <w:tabs>
          <w:tab w:val="num" w:pos="0"/>
        </w:tabs>
        <w:ind w:left="360" w:hanging="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lvl w:ilvl="0">
      <w:start w:val="9"/>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lvl w:ilvl="0">
      <w:start w:val="1"/>
      <w:numFmt w:val="decimal"/>
      <w:suff w:val="space"/>
      <w:lvlText w:val="%1."/>
      <w:lvlJc w:val="left"/>
      <w:pPr>
        <w:tabs>
          <w:tab w:val="num" w:pos="0"/>
        </w:tabs>
        <w:ind w:left="1070" w:hanging="360"/>
      </w:pPr>
      <w:rPr>
        <w:sz w:val="24"/>
        <w:i w:val="false"/>
        <w:b w:val="false"/>
        <w:szCs w:val="24"/>
        <w:color w:val="auto"/>
      </w:rPr>
    </w:lvl>
    <w:lvl w:ilvl="1">
      <w:start w:val="1"/>
      <w:numFmt w:val="decimal"/>
      <w:suff w:val="space"/>
      <w:lvlText w:val="%1.%2."/>
      <w:lvlJc w:val="left"/>
      <w:pPr>
        <w:tabs>
          <w:tab w:val="num" w:pos="0"/>
        </w:tabs>
        <w:ind w:left="1425" w:hanging="432"/>
      </w:pPr>
      <w:rPr>
        <w:i w:val="false"/>
        <w:b w:val="false"/>
        <w:iCs w:val="false"/>
        <w:color w:val="auto"/>
      </w:rPr>
    </w:lvl>
    <w:lvl w:ilvl="2">
      <w:start w:val="1"/>
      <w:numFmt w:val="decimal"/>
      <w:suff w:val="space"/>
      <w:lvlText w:val="%1.%2.%3."/>
      <w:lvlJc w:val="left"/>
      <w:pPr>
        <w:tabs>
          <w:tab w:val="num" w:pos="0"/>
        </w:tabs>
        <w:ind w:left="1355" w:hanging="504"/>
      </w:pPr>
      <w:rPr>
        <w:color w:themeColor="text1"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4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23eb7"/>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PuslapioinaostekstasDiagrama" w:customStyle="1">
    <w:name w:val="Puslapio išnašos tekstas Diagrama"/>
    <w:basedOn w:val="DefaultParagraphFon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qFormat/>
    <w:rsid w:val="00d05666"/>
    <w:rPr>
      <w:rFonts w:ascii="Times New Roman" w:hAnsi="Times New Roman"/>
      <w:sz w:val="20"/>
      <w:szCs w:val="20"/>
      <w:lang w:eastAsia="en-US"/>
    </w:rPr>
  </w:style>
  <w:style w:type="character" w:styleId="PaantratDiagrama" w:customStyle="1">
    <w:name w:val="Paantraštė Diagrama"/>
    <w:basedOn w:val="DefaultParagraphFont"/>
    <w:qFormat/>
    <w:rsid w:val="00eb164f"/>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Inaosramenys" w:customStyle="1">
    <w:name w:val="Išnašos rašmenys"/>
    <w:uiPriority w:val="99"/>
    <w:qFormat/>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nhideWhenUsed/>
    <w:qFormat/>
    <w:rsid w:val="00d05666"/>
    <w:rPr>
      <w:sz w:val="16"/>
      <w:szCs w:val="16"/>
    </w:rPr>
  </w:style>
  <w:style w:type="character" w:styleId="DebesliotekstasDiagrama" w:customStyle="1">
    <w:name w:val="Debesėlio tekstas Diagrama"/>
    <w:basedOn w:val="DefaultParagraphFont"/>
    <w:link w:val="BalloonText"/>
    <w:qFormat/>
    <w:rsid w:val="00d05666"/>
    <w:rPr>
      <w:rFonts w:ascii="Segoe UI" w:hAnsi="Segoe UI" w:cs="Segoe UI"/>
      <w:sz w:val="18"/>
      <w:szCs w:val="18"/>
      <w:lang w:eastAsia="en-US"/>
    </w:rPr>
  </w:style>
  <w:style w:type="character" w:styleId="Neapdorotaspaminjimas1" w:customStyle="1">
    <w:name w:val="Neapdorotas paminėjimas1"/>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AntratsDiagrama" w:customStyle="1">
    <w:name w:val="Antraštės Diagrama"/>
    <w:basedOn w:val="DefaultParagraphFont"/>
    <w:qFormat/>
    <w:rsid w:val="00f560b4"/>
    <w:rPr>
      <w:rFonts w:ascii="Times New Roman" w:hAnsi="Times New Roman"/>
      <w:sz w:val="24"/>
      <w:szCs w:val="24"/>
      <w:lang w:eastAsia="en-US"/>
    </w:rPr>
  </w:style>
  <w:style w:type="character" w:styleId="PoratDiagrama" w:customStyle="1">
    <w:name w:val="Poraštė Diagrama"/>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Antrat2Diagrama" w:customStyle="1">
    <w:name w:val="Antraštė 2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CitataDiagrama" w:customStyle="1">
    <w:name w:val="Citata Diagrama"/>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unhideWhenUsed/>
    <w:rsid w:val="00c47ce7"/>
    <w:rPr>
      <w:color w:themeColor="followedHyperlink" w:val="954F72"/>
      <w:u w:val="single"/>
    </w:rPr>
  </w:style>
  <w:style w:type="character" w:styleId="DokumentoinaostekstasDiagrama" w:customStyle="1">
    <w:name w:val="Dokumento išnašos tekstas Diagrama"/>
    <w:basedOn w:val="DefaultParagraphFont"/>
    <w:uiPriority w:val="99"/>
    <w:semiHidden/>
    <w:qFormat/>
    <w:rsid w:val="00482bc0"/>
    <w:rPr>
      <w:sz w:val="20"/>
      <w:szCs w:val="20"/>
    </w:rPr>
  </w:style>
  <w:style w:type="character" w:styleId="Galinsinaosramenys" w:customStyle="1">
    <w:name w:val="Galinės išnašos rašmeny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Paminjimas1" w:customStyle="1">
    <w:name w:val="Paminėjimas1"/>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Hgkelc" w:customStyle="1">
    <w:name w:val="hgkelc"/>
    <w:basedOn w:val="DefaultParagraphFont"/>
    <w:qFormat/>
    <w:rsid w:val="00c60235"/>
    <w:rPr/>
  </w:style>
  <w:style w:type="character" w:styleId="UnresolvedMention1" w:customStyle="1">
    <w:name w:val="Unresolved Mention1"/>
    <w:basedOn w:val="DefaultParagraphFont"/>
    <w:uiPriority w:val="99"/>
    <w:semiHidden/>
    <w:unhideWhenUsed/>
    <w:qFormat/>
    <w:rsid w:val="00ef5b26"/>
    <w:rPr>
      <w:color w:val="605E5C"/>
      <w:shd w:fill="E1DFDD" w:val="clear"/>
    </w:rPr>
  </w:style>
  <w:style w:type="character" w:styleId="PaprastasistekstasDiagrama" w:customStyle="1">
    <w:name w:val="Paprastasis tekstas Diagrama"/>
    <w:basedOn w:val="DefaultParagraphFont"/>
    <w:link w:val="PlainText"/>
    <w:qFormat/>
    <w:rsid w:val="00bb5118"/>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qFormat/>
    <w:rsid w:val="00bb5118"/>
    <w:rPr>
      <w:rFonts w:ascii="Times New Roman" w:hAnsi="Times New Roman" w:eastAsia="Times New Roman" w:cs="Times New Roman"/>
      <w:sz w:val="16"/>
      <w:szCs w:val="16"/>
    </w:rPr>
  </w:style>
  <w:style w:type="character" w:styleId="PagrindiniotekstotraukaDiagrama" w:customStyle="1">
    <w:name w:val="Pagrindinio teksto įtrauka Diagrama"/>
    <w:basedOn w:val="DefaultParagraphFont"/>
    <w:qFormat/>
    <w:rsid w:val="00bb5118"/>
    <w:rPr>
      <w:rFonts w:ascii="Times New Roman" w:hAnsi="Times New Roman" w:eastAsia="Times New Roman" w:cs="Times New Roman"/>
      <w:sz w:val="24"/>
      <w:szCs w:val="24"/>
    </w:rPr>
  </w:style>
  <w:style w:type="character" w:styleId="Pagenumber">
    <w:name w:val="page number"/>
    <w:basedOn w:val="DefaultParagraphFont"/>
    <w:qFormat/>
    <w:rsid w:val="00bb5118"/>
    <w:rPr/>
  </w:style>
  <w:style w:type="character" w:styleId="Apple-converted-space" w:customStyle="1">
    <w:name w:val="apple-converted-space"/>
    <w:basedOn w:val="DefaultParagraphFont"/>
    <w:qFormat/>
    <w:rsid w:val="00bb5118"/>
    <w:rPr/>
  </w:style>
  <w:style w:type="character" w:styleId="CommentTextChar1" w:customStyle="1">
    <w:name w:val="Comment Text Char1"/>
    <w:basedOn w:val="DefaultParagraphFont"/>
    <w:qFormat/>
    <w:rsid w:val="00bb5118"/>
    <w:rPr/>
  </w:style>
  <w:style w:type="character" w:styleId="Rodyklssaitas" w:customStyle="1">
    <w:name w:val="Rodyklės saitas"/>
    <w:qFormat/>
    <w:rPr/>
  </w:style>
  <w:style w:type="character" w:styleId="DefaultParagraphFont1" w:customStyle="1">
    <w:name w:val="Default Paragraph Font1"/>
    <w:qFormat/>
    <w:rPr/>
  </w:style>
  <w:style w:type="character" w:styleId="DefaultParagraphFont2" w:customStyle="1">
    <w:name w:val="Default Paragraph Font2"/>
    <w:qFormat/>
    <w:rPr/>
  </w:style>
  <w:style w:type="character" w:styleId="UnresolvedMention" w:customStyle="1">
    <w:name w:val="Unresolved Mention"/>
    <w:basedOn w:val="DefaultParagraphFont"/>
    <w:uiPriority w:val="99"/>
    <w:semiHidden/>
    <w:unhideWhenUsed/>
    <w:qFormat/>
    <w:rsid w:val="00662597"/>
    <w:rPr>
      <w:color w:val="605E5C"/>
      <w:shd w:fill="E1DFDD" w:val="clear"/>
    </w:rPr>
  </w:style>
  <w:style w:type="character" w:styleId="Normaltextrun" w:customStyle="1">
    <w:name w:val="normaltextrun"/>
    <w:basedOn w:val="DefaultParagraphFont"/>
    <w:qFormat/>
    <w:rsid w:val="005f775a"/>
    <w:rPr/>
  </w:style>
  <w:style w:type="character" w:styleId="HTMLiankstoformatuotasDiagrama" w:customStyle="1">
    <w:name w:val="HTML iš anksto formatuotas Diagrama"/>
    <w:basedOn w:val="DefaultParagraphFont"/>
    <w:link w:val="HTMLPreformatted"/>
    <w:uiPriority w:val="99"/>
    <w:semiHidden/>
    <w:qFormat/>
    <w:rsid w:val="00a12ca3"/>
    <w:rPr>
      <w:rFonts w:ascii="Courier New" w:hAnsi="Courier New" w:eastAsia="Times New Roman" w:cs="Courier New"/>
      <w:sz w:val="20"/>
      <w:szCs w:val="20"/>
      <w:lang w:val="en-US" w:eastAsia="en-US"/>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iPriority w:val="99"/>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Caption1">
    <w:name w:val="caption1"/>
    <w:basedOn w:val="Normal"/>
    <w:next w:val="BodyText"/>
    <w:qFormat/>
    <w:pPr>
      <w:suppressLineNumbers/>
      <w:spacing w:before="120" w:after="120"/>
    </w:pPr>
    <w:rPr>
      <w:rFonts w:cs="Lucida Sans"/>
      <w:i/>
      <w:iCs/>
      <w:sz w:val="24"/>
      <w:szCs w:val="24"/>
    </w:rPr>
  </w:style>
  <w:style w:type="paragraph" w:styleId="Caption11" w:customStyle="1">
    <w:name w:val="caption11"/>
    <w:basedOn w:val="Normal"/>
    <w:next w:val="BodyText"/>
    <w:qFormat/>
    <w:pPr>
      <w:suppressLineNumbers/>
      <w:spacing w:before="120" w:after="120"/>
    </w:pPr>
    <w:rPr>
      <w:rFonts w:cs="Lucida Sans"/>
      <w:i/>
      <w:iCs/>
      <w:sz w:val="24"/>
      <w:szCs w:val="24"/>
    </w:rPr>
  </w:style>
  <w:style w:type="paragraph" w:styleId="Antrat1" w:customStyle="1">
    <w:name w:val="Antraštė1"/>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Caption111" w:customStyle="1">
    <w:name w:val="caption111"/>
    <w:basedOn w:val="Normal"/>
    <w:qFormat/>
    <w:pPr>
      <w:suppressLineNumbers/>
      <w:spacing w:before="120" w:after="120"/>
    </w:pPr>
    <w:rPr>
      <w:rFonts w:cs="Lucida Sans"/>
      <w:i/>
      <w:iCs/>
      <w:sz w:val="24"/>
      <w:szCs w:val="24"/>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nhideWhenUsed/>
    <w:qFormat/>
    <w:rsid w:val="00d05666"/>
    <w:pPr/>
    <w:rPr>
      <w:sz w:val="20"/>
      <w:szCs w:val="20"/>
    </w:rPr>
  </w:style>
  <w:style w:type="paragraph" w:styleId="Subtitle">
    <w:name w:val="Subtitle"/>
    <w:basedOn w:val="Normal"/>
    <w:next w:val="Normal"/>
    <w:link w:val="PaantratDiagrama"/>
    <w:qFormat/>
    <w:rsid w:val="00eb164f"/>
    <w:pPr>
      <w:spacing w:before="0" w:after="240"/>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160"/>
      <w:ind w:left="720"/>
      <w:contextualSpacing/>
    </w:pPr>
    <w:rPr/>
  </w:style>
  <w:style w:type="paragraph" w:styleId="BalloonText">
    <w:name w:val="Balloon Text"/>
    <w:basedOn w:val="Normal"/>
    <w:link w:val="DebesliotekstasDiagrama"/>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customStyle="1">
    <w:name w:val="Puslapinė antraštė ir poraštė"/>
    <w:basedOn w:val="Normal"/>
    <w:qFormat/>
    <w:pPr/>
    <w:rPr/>
  </w:style>
  <w:style w:type="paragraph" w:styleId="Header">
    <w:name w:val="Header"/>
    <w:basedOn w:val="Normal"/>
    <w:link w:val="AntratsDiagrama"/>
    <w:unhideWhenUsed/>
    <w:rsid w:val="00f560b4"/>
    <w:pPr>
      <w:tabs>
        <w:tab w:val="clear" w:pos="1296"/>
        <w:tab w:val="center" w:pos="4513" w:leader="none"/>
        <w:tab w:val="right" w:pos="9026" w:leader="none"/>
      </w:tabs>
    </w:pPr>
    <w:rPr/>
  </w:style>
  <w:style w:type="paragraph" w:styleId="Footer">
    <w:name w:val="Footer"/>
    <w:basedOn w:val="Normal"/>
    <w:link w:val="PoratDiagrama"/>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11" w:customStyle="1">
    <w:name w:val="caption1111"/>
    <w:basedOn w:val="Normal"/>
    <w:next w:val="Normal"/>
    <w:uiPriority w:val="35"/>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PavadinimasDiagrama"/>
    <w:uiPriority w:val="99"/>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customStyle="1">
    <w:name w:val="index heading1"/>
    <w:basedOn w:val="Antrat1"/>
    <w:qFormat/>
    <w:pPr/>
    <w:rPr/>
  </w:style>
  <w:style w:type="paragraph" w:styleId="Indexheading2" w:customStyle="1">
    <w:name w:val="index heading2"/>
    <w:basedOn w:val="Caption11"/>
    <w:qFormat/>
    <w:pPr/>
    <w:rPr/>
  </w:style>
  <w:style w:type="paragraph" w:styleId="Indexheading3">
    <w:name w:val="index heading3"/>
    <w:basedOn w:val="Caption1"/>
    <w:qFormat/>
    <w:pPr/>
    <w:rPr/>
  </w:style>
  <w:style w:type="paragraph" w:styleId="IndexHeading">
    <w:name w:val="Index Heading"/>
    <w:basedOn w:val="Antrat"/>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4a5705"/>
    <w:pPr>
      <w:tabs>
        <w:tab w:val="clear" w:pos="1296"/>
        <w:tab w:val="left" w:pos="270" w:leader="none"/>
        <w:tab w:val="right" w:pos="9962" w:leader="dot"/>
      </w:tabs>
      <w:spacing w:before="0" w:after="0"/>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1a78a2"/>
    <w:pPr>
      <w:tabs>
        <w:tab w:val="clear" w:pos="1296"/>
        <w:tab w:val="left" w:pos="142" w:leader="none"/>
        <w:tab w:val="right" w:pos="9962" w:leader="dot"/>
      </w:tabs>
      <w:spacing w:before="0" w:after="0"/>
      <w:ind w:left="142"/>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nhideWhenUsed/>
    <w:qFormat/>
    <w:rsid w:val="00210870"/>
    <w:pPr>
      <w:spacing w:lineRule="auto" w:line="480" w:before="0" w:after="120"/>
      <w:ind w:left="283"/>
    </w:pPr>
    <w:rPr/>
  </w:style>
  <w:style w:type="paragraph" w:styleId="Diagrama11" w:customStyle="1">
    <w:name w:val="Diagrama11"/>
    <w:basedOn w:val="Normal"/>
    <w:next w:val="FootnoteText"/>
    <w:uiPriority w:val="99"/>
    <w:qFormat/>
    <w:rsid w:val="0056384c"/>
    <w:pPr>
      <w:spacing w:lineRule="auto" w:line="240" w:before="0" w:after="0"/>
      <w:jc w:val="both"/>
    </w:pPr>
    <w:rPr>
      <w:rFonts w:ascii="Times New Roman" w:hAnsi="Times New Roman" w:cs="Times New Roman"/>
      <w:sz w:val="20"/>
      <w:szCs w:val="20"/>
    </w:rPr>
  </w:style>
  <w:style w:type="paragraph" w:styleId="Default" w:customStyle="1">
    <w:name w:val="Default"/>
    <w:qFormat/>
    <w:rsid w:val="008b70fb"/>
    <w:pPr>
      <w:widowControl/>
      <w:suppressAutoHyphens w:val="true"/>
      <w:bidi w:val="0"/>
      <w:spacing w:before="0" w:after="0"/>
      <w:jc w:val="left"/>
    </w:pPr>
    <w:rPr>
      <w:rFonts w:ascii="Montserrat" w:hAnsi="Montserrat" w:eastAsia="Calibri" w:cs="Montserrat" w:eastAsiaTheme="minorHAnsi"/>
      <w:color w:val="000000"/>
      <w:kern w:val="0"/>
      <w:sz w:val="24"/>
      <w:szCs w:val="24"/>
      <w:lang w:val="lt-LT" w:eastAsia="en-US" w:bidi="ar-SA"/>
    </w:rPr>
  </w:style>
  <w:style w:type="paragraph" w:styleId="Arno1" w:customStyle="1">
    <w:name w:val="arno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Diagramadiagramadiagrama" w:customStyle="1">
    <w:name w:val="diagramadiagramadiagrama"/>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PlainText">
    <w:name w:val="Plain Text"/>
    <w:basedOn w:val="Normal"/>
    <w:link w:val="PaprastasistekstasDiagrama"/>
    <w:qFormat/>
    <w:rsid w:val="00bb5118"/>
    <w:pPr>
      <w:spacing w:lineRule="auto" w:line="240" w:beforeAutospacing="1" w:afterAutospacing="1"/>
    </w:pPr>
    <w:rPr>
      <w:rFonts w:ascii="Times New Roman" w:hAnsi="Times New Roman" w:eastAsia="Times New Roman" w:cs="Times New Roman"/>
      <w:sz w:val="24"/>
      <w:szCs w:val="24"/>
    </w:rPr>
  </w:style>
  <w:style w:type="paragraph" w:styleId="Point1" w:customStyle="1">
    <w:name w:val="point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3">
    <w:name w:val="Body Text Indent 3"/>
    <w:basedOn w:val="Normal"/>
    <w:link w:val="Pagrindiniotekstotrauka3Diagrama"/>
    <w:qFormat/>
    <w:rsid w:val="00bb5118"/>
    <w:pPr>
      <w:spacing w:lineRule="auto" w:line="240" w:before="0" w:after="120"/>
      <w:ind w:left="283"/>
    </w:pPr>
    <w:rPr>
      <w:rFonts w:ascii="Times New Roman" w:hAnsi="Times New Roman" w:eastAsia="Times New Roman" w:cs="Times New Roman"/>
      <w:sz w:val="16"/>
      <w:szCs w:val="16"/>
    </w:rPr>
  </w:style>
  <w:style w:type="paragraph" w:styleId="Msolistparagraph" w:customStyle="1">
    <w:name w:val="msolistparagraph"/>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
    <w:name w:val="Body Text Indent"/>
    <w:basedOn w:val="Normal"/>
    <w:link w:val="PagrindiniotekstotraukaDiagrama"/>
    <w:rsid w:val="00bb5118"/>
    <w:pPr>
      <w:spacing w:lineRule="auto" w:line="240" w:before="0" w:after="120"/>
      <w:ind w:left="283"/>
    </w:pPr>
    <w:rPr>
      <w:rFonts w:ascii="Times New Roman" w:hAnsi="Times New Roman" w:eastAsia="Times New Roman" w:cs="Times New Roman"/>
      <w:sz w:val="24"/>
      <w:szCs w:val="24"/>
    </w:rPr>
  </w:style>
  <w:style w:type="paragraph" w:styleId="Numeracijaskliaustai" w:customStyle="1">
    <w:name w:val="numeracijaskliaustai"/>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Couriernormal0" w:customStyle="1">
    <w:name w:val="couriernormal0"/>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middle" w:customStyle="1">
    <w:name w:val="msolistparagraph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last" w:customStyle="1">
    <w:name w:val="msolistparagraph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 w:customStyle="1">
    <w:name w:val="listparagraph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last" w:customStyle="1">
    <w:name w:val="listparagraph1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Nospacing1" w:customStyle="1">
    <w:name w:val="nospacing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middle" w:customStyle="1">
    <w:name w:val="listparagraph1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766" w:customStyle="1">
    <w:name w:val="766"/>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normal" w:customStyle="1">
    <w:name w:val="msonormal"/>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5" w:customStyle="1">
    <w:name w:val="xl65"/>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6" w:customStyle="1">
    <w:name w:val="xl66"/>
    <w:basedOn w:val="Normal"/>
    <w:qFormat/>
    <w:rsid w:val="00bb5118"/>
    <w:pPr>
      <w:spacing w:lineRule="auto" w:line="240" w:beforeAutospacing="1" w:afterAutospacing="1"/>
      <w:textAlignment w:val="center"/>
    </w:pPr>
    <w:rPr>
      <w:rFonts w:ascii="Times New Roman" w:hAnsi="Times New Roman" w:eastAsia="Times New Roman" w:cs="Times New Roman"/>
      <w:sz w:val="24"/>
      <w:szCs w:val="24"/>
    </w:rPr>
  </w:style>
  <w:style w:type="paragraph" w:styleId="Xl67" w:customStyle="1">
    <w:name w:val="xl67"/>
    <w:basedOn w:val="Normal"/>
    <w:qFormat/>
    <w:rsid w:val="00bb5118"/>
    <w:pP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68" w:customStyle="1">
    <w:name w:val="xl68"/>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69" w:customStyle="1">
    <w:name w:val="xl69"/>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0" w:customStyle="1">
    <w:name w:val="xl70"/>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1" w:customStyle="1">
    <w:name w:val="xl7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2" w:customStyle="1">
    <w:name w:val="xl72"/>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3" w:customStyle="1">
    <w:name w:val="xl73"/>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4" w:customStyle="1">
    <w:name w:val="xl74"/>
    <w:basedOn w:val="Normal"/>
    <w:qFormat/>
    <w:rsid w:val="00bb5118"/>
    <w:pPr>
      <w:spacing w:lineRule="auto" w:line="240" w:beforeAutospacing="1" w:afterAutospacing="1"/>
    </w:pPr>
    <w:rPr>
      <w:rFonts w:ascii="Times New Roman" w:hAnsi="Times New Roman" w:eastAsia="Times New Roman" w:cs="Times New Roman"/>
      <w:sz w:val="20"/>
      <w:szCs w:val="20"/>
    </w:rPr>
  </w:style>
  <w:style w:type="paragraph" w:styleId="Xl75" w:customStyle="1">
    <w:name w:val="xl75"/>
    <w:basedOn w:val="Normal"/>
    <w:qFormat/>
    <w:rsid w:val="00bb5118"/>
    <w:pPr>
      <w:spacing w:lineRule="auto" w:line="240" w:beforeAutospacing="1" w:afterAutospacing="1"/>
      <w:jc w:val="center"/>
    </w:pPr>
    <w:rPr>
      <w:rFonts w:ascii="Times New Roman" w:hAnsi="Times New Roman" w:eastAsia="Times New Roman" w:cs="Times New Roman"/>
      <w:sz w:val="20"/>
      <w:szCs w:val="20"/>
    </w:rPr>
  </w:style>
  <w:style w:type="paragraph" w:styleId="Xl76" w:customStyle="1">
    <w:name w:val="xl76"/>
    <w:basedOn w:val="Normal"/>
    <w:qFormat/>
    <w:rsid w:val="00bb5118"/>
    <w:pPr>
      <w:spacing w:lineRule="auto" w:line="240" w:beforeAutospacing="1" w:afterAutospacing="1"/>
      <w:jc w:val="right"/>
    </w:pPr>
    <w:rPr>
      <w:rFonts w:ascii="Times New Roman" w:hAnsi="Times New Roman" w:eastAsia="Times New Roman" w:cs="Times New Roman"/>
      <w:b/>
      <w:bCs/>
      <w:sz w:val="20"/>
      <w:szCs w:val="20"/>
    </w:rPr>
  </w:style>
  <w:style w:type="paragraph" w:styleId="Xl77" w:customStyle="1">
    <w:name w:val="xl77"/>
    <w:basedOn w:val="Normal"/>
    <w:qFormat/>
    <w:rsid w:val="00bb5118"/>
    <w:pPr>
      <w:shd w:val="clear" w:color="000000" w:fill="FFFF00"/>
      <w:spacing w:lineRule="auto" w:line="240" w:beforeAutospacing="1" w:afterAutospacing="1"/>
      <w:jc w:val="center"/>
    </w:pPr>
    <w:rPr>
      <w:rFonts w:ascii="Times New Roman" w:hAnsi="Times New Roman" w:eastAsia="Times New Roman" w:cs="Times New Roman"/>
      <w:sz w:val="20"/>
      <w:szCs w:val="20"/>
    </w:rPr>
  </w:style>
  <w:style w:type="paragraph" w:styleId="Xl78" w:customStyle="1">
    <w:name w:val="xl78"/>
    <w:basedOn w:val="Normal"/>
    <w:qFormat/>
    <w:rsid w:val="00bb5118"/>
    <w:pPr>
      <w:spacing w:lineRule="auto" w:line="240" w:beforeAutospacing="1" w:afterAutospacing="1"/>
      <w:jc w:val="center"/>
    </w:pPr>
    <w:rPr>
      <w:rFonts w:ascii="Times New Roman" w:hAnsi="Times New Roman" w:eastAsia="Times New Roman" w:cs="Times New Roman"/>
      <w:b/>
      <w:bCs/>
      <w:sz w:val="20"/>
      <w:szCs w:val="20"/>
    </w:rPr>
  </w:style>
  <w:style w:type="paragraph" w:styleId="Xl79" w:customStyle="1">
    <w:name w:val="xl79"/>
    <w:basedOn w:val="Normal"/>
    <w:qFormat/>
    <w:rsid w:val="00bb5118"/>
    <w:pPr>
      <w:spacing w:lineRule="auto" w:line="240" w:beforeAutospacing="1" w:afterAutospacing="1"/>
    </w:pPr>
    <w:rPr>
      <w:rFonts w:ascii="Times New Roman" w:hAnsi="Times New Roman" w:eastAsia="Times New Roman" w:cs="Times New Roman"/>
      <w:b/>
      <w:bCs/>
      <w:sz w:val="20"/>
      <w:szCs w:val="20"/>
    </w:rPr>
  </w:style>
  <w:style w:type="paragraph" w:styleId="Xl80" w:customStyle="1">
    <w:name w:val="xl80"/>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1" w:customStyle="1">
    <w:name w:val="xl8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82" w:customStyle="1">
    <w:name w:val="xl82"/>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Linija" w:customStyle="1">
    <w:name w:val="linija"/>
    <w:basedOn w:val="Normal"/>
    <w:uiPriority w:val="99"/>
    <w:qFormat/>
    <w:rsid w:val="00d759ea"/>
    <w:pPr>
      <w:spacing w:lineRule="auto" w:line="240" w:before="280" w:after="280"/>
    </w:pPr>
    <w:rPr>
      <w:rFonts w:ascii="Times New Roman" w:hAnsi="Times New Roman" w:eastAsia="Times New Roman" w:cs="Calibri"/>
      <w:sz w:val="24"/>
      <w:szCs w:val="24"/>
      <w:lang w:eastAsia="ar-SA"/>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NSimSun" w:cs="Lucida Sans"/>
      <w:color w:val="auto"/>
      <w:kern w:val="2"/>
      <w:sz w:val="24"/>
      <w:szCs w:val="24"/>
      <w:lang w:val="lt-LT" w:eastAsia="zh-CN" w:bidi="hi-IN"/>
    </w:rPr>
  </w:style>
  <w:style w:type="paragraph" w:styleId="Lentelsturinys" w:customStyle="1">
    <w:name w:val="Lentelės turinys"/>
    <w:basedOn w:val="Standard"/>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HTMLPreformatted">
    <w:name w:val="HTML Preformatted"/>
    <w:basedOn w:val="Normal"/>
    <w:link w:val="HTMLiankstoformatuotasDiagrama"/>
    <w:uiPriority w:val="99"/>
    <w:semiHidden/>
    <w:unhideWhenUsed/>
    <w:qFormat/>
    <w:rsid w:val="00a12ca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spacing w:lineRule="auto" w:line="240" w:before="0" w:after="0"/>
    </w:pPr>
    <w:rPr>
      <w:rFonts w:ascii="Courier New" w:hAnsi="Courier New" w:eastAsia="Times New Roman" w:cs="Courier New"/>
      <w:sz w:val="20"/>
      <w:szCs w:val="20"/>
      <w:lang w:val="en-US" w:eastAsia="en-US"/>
    </w:rPr>
  </w:style>
  <w:style w:type="paragraph" w:styleId="Western" w:customStyle="1">
    <w:name w:val="western"/>
    <w:basedOn w:val="Normal"/>
    <w:qFormat/>
    <w:rsid w:val="004307c3"/>
    <w:pPr>
      <w:spacing w:beforeAutospacing="1" w:after="142"/>
    </w:pPr>
    <w:rPr>
      <w:rFonts w:ascii="Calibri" w:hAnsi="Calibri" w:eastAsia="Times New Roman" w:cs="Calibri"/>
      <w:color w:val="000000"/>
      <w:sz w:val="22"/>
      <w:szCs w:val="22"/>
    </w:rPr>
  </w:style>
  <w:style w:type="paragraph" w:styleId="Style5" w:customStyle="1">
    <w:name w:val="Style"/>
    <w:qFormat/>
    <w:rsid w:val="00c66ff7"/>
    <w:pPr>
      <w:widowControl w:val="false"/>
      <w:suppressAutoHyphens w:val="true"/>
      <w:bidi w:val="0"/>
      <w:spacing w:before="0" w:after="0"/>
      <w:jc w:val="left"/>
    </w:pPr>
    <w:rPr>
      <w:rFonts w:ascii="Times New Roman" w:hAnsi="Times New Roman" w:eastAsia="Times New Roman" w:cs="Times New Roman"/>
      <w:color w:val="auto"/>
      <w:kern w:val="0"/>
      <w:sz w:val="24"/>
      <w:szCs w:val="24"/>
      <w:lang w:val="lt-LT" w:eastAsia="lt-LT" w:bidi="ar-SA"/>
    </w:rPr>
  </w:style>
  <w:style w:type="paragraph" w:styleId="Western1" w:customStyle="1">
    <w:name w:val="western1"/>
    <w:basedOn w:val="Normal"/>
    <w:qFormat/>
    <w:rsid w:val="00150678"/>
    <w:pPr>
      <w:suppressAutoHyphens w:val="false"/>
      <w:spacing w:lineRule="auto" w:line="240" w:beforeAutospacing="1" w:after="0"/>
    </w:pPr>
    <w:rPr>
      <w:rFonts w:ascii="Times New Roman" w:hAnsi="Times New Roman" w:eastAsia="Times New Roman" w:cs="Times New Roman"/>
      <w:color w:val="000000"/>
      <w:sz w:val="24"/>
      <w:szCs w:val="24"/>
      <w:lang w:val="en-US" w:eastAsia="en-US"/>
    </w:rPr>
  </w:style>
  <w:style w:type="numbering" w:styleId="NoList" w:default="1">
    <w:name w:val="No List"/>
    <w:uiPriority w:val="99"/>
    <w:semiHidden/>
    <w:unhideWhenUsed/>
    <w:qFormat/>
  </w:style>
  <w:style w:type="numbering" w:styleId="List51" w:customStyle="1">
    <w:name w:val="List 51"/>
    <w:qFormat/>
    <w:rsid w:val="00197943"/>
  </w:style>
  <w:style w:type="numbering" w:styleId="Sraonra1" w:customStyle="1">
    <w:name w:val="Sąrašo nėra1"/>
    <w:semiHidden/>
    <w:unhideWhenUsed/>
    <w:qFormat/>
    <w:rsid w:val="00bb5118"/>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prastojilente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3">
    <w:name w:val="Lentelės tinklelis3"/>
    <w:basedOn w:val="prastojilentel"/>
    <w:uiPriority w:val="39"/>
    <w:rsid w:val="00166d11"/>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2">
    <w:name w:val="Lentelės tinklelis2"/>
    <w:basedOn w:val="prastojilentel"/>
    <w:uiPriority w:val="59"/>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7">
    <w:name w:val="Lentelės tinklelis7"/>
    <w:basedOn w:val="prastojilentel"/>
    <w:uiPriority w:val="39"/>
    <w:rsid w:val="00f71add"/>
    <w:rPr>
      <w:lang w:val="en-US"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1">
    <w:name w:val="Lentelės tinklelis11"/>
    <w:basedOn w:val="prastojilentel"/>
    <w:rsid w:val="00414884"/>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lt/nuorodos/kiti-duomenys/powerbi/melaginga-informacija-pateikusiu-tiekeju-sarasas-3/" TargetMode="External"/><Relationship Id="rId4" Type="http://schemas.openxmlformats.org/officeDocument/2006/relationships/hyperlink" Target="https://vpt.lrv.lt/lt/nuorodos/kiti-duomenys/powerbi/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3/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0FE0CAB-E2B0-4C4C-BF86-0C5CAA63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Application>LibreOffice/24.2.0.3$Windows_X86_64 LibreOffice_project/da48488a73ddd66ea24cf16bbc4f7b9c08e9bea1</Application>
  <AppVersion>15.0000</AppVersion>
  <Pages>48</Pages>
  <Words>11117</Words>
  <Characters>79091</Characters>
  <CharactersWithSpaces>89409</CharactersWithSpaces>
  <Paragraphs>926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2025-01-16T14:45:00Z</dcterms:created>
  <dc:creator>Arūnė Andrulionienė</dc:creator>
  <dc:description/>
  <dc:language>lt-LT</dc:language>
  <cp:lastModifiedBy/>
  <dcterms:modified xsi:type="dcterms:W3CDTF">2025-04-03T13:08:59Z</dcterms:modified>
  <cp:revision>26</cp:revision>
  <dc:subject/>
  <dc:title>07: dėl pirkimo dokumentų patikros - info@cpva.lt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