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403C19E3" w:rsidR="00135DC1" w:rsidRPr="006C5608" w:rsidRDefault="000108DE" w:rsidP="00E32C6D">
      <w:pPr>
        <w:spacing w:after="0" w:line="240" w:lineRule="auto"/>
        <w:jc w:val="center"/>
        <w:rPr>
          <w:rFonts w:ascii="Palemonas" w:eastAsia="Times New Roman" w:hAnsi="Palemonas" w:cs="Times New Roman"/>
          <w:b/>
          <w:szCs w:val="24"/>
        </w:rPr>
      </w:pPr>
      <w:r>
        <w:rPr>
          <w:rFonts w:ascii="Palemonas" w:hAnsi="Palemonas"/>
          <w:b/>
          <w:bCs/>
          <w:caps/>
        </w:rPr>
        <w:t xml:space="preserve">PASLAUGŲ PASKIRTIES VIEŠOJO TUALETO PASTATO (UNIKALUS NR. 2597-0005-1019) MEILĖS AL. 2, PALANGOJE, </w:t>
      </w:r>
      <w:r w:rsidR="006F1438" w:rsidRPr="000E67AA">
        <w:rPr>
          <w:rFonts w:ascii="Palemonas" w:hAnsi="Palemonas" w:cs="Palemonas"/>
          <w:b/>
          <w:bCs/>
          <w:caps/>
          <w:szCs w:val="24"/>
        </w:rPr>
        <w:t>paprastojo remonto</w:t>
      </w:r>
      <w:r w:rsidR="006F1438" w:rsidRPr="000E67AA">
        <w:rPr>
          <w:rFonts w:ascii="Palemonas" w:hAnsi="Palemonas" w:cs="Palemonas"/>
          <w:szCs w:val="24"/>
        </w:rPr>
        <w:t xml:space="preserve">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632CDBC6"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BB43D7">
        <w:rPr>
          <w:rFonts w:ascii="Palemonas" w:hAnsi="Palemonas" w:cs="Arial"/>
          <w:color w:val="000000" w:themeColor="text1"/>
          <w:szCs w:val="24"/>
        </w:rPr>
        <w:t xml:space="preserve">paslaugų paskirties viešojo tualeto pastato (unikalus Nr. 2597-0005-1019) Meilės al. 2, Palangoje, </w:t>
      </w:r>
      <w:r w:rsidR="00BE1090" w:rsidRPr="000E67AA">
        <w:rPr>
          <w:rFonts w:ascii="Palemonas" w:hAnsi="Palemonas" w:cs="Palemonas"/>
          <w:szCs w:val="24"/>
        </w:rPr>
        <w:t>paprastojo remonto</w:t>
      </w:r>
      <w:r w:rsidR="00BE1090"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460BE224"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5C1056">
        <w:rPr>
          <w:rFonts w:ascii="Palemonas" w:hAnsi="Palemonas"/>
          <w:szCs w:val="24"/>
        </w:rPr>
        <w:t>Meilės al. 2</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4B666E8A"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C36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CC36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313FE961"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7F5610">
        <w:rPr>
          <w:rFonts w:ascii="Palemonas" w:hAnsi="Palemonas" w:cs="Palemonas"/>
          <w:sz w:val="24"/>
          <w:szCs w:val="24"/>
          <w:lang w:eastAsia="lt-LT"/>
        </w:rPr>
        <w:t>6</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35CC95F4" w:rsidR="00CC3611" w:rsidRDefault="005A1491" w:rsidP="007F5610">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7F5610">
        <w:rPr>
          <w:rFonts w:ascii="Palemonas" w:hAnsi="Palemonas" w:cs="Palemonas"/>
          <w:sz w:val="24"/>
          <w:szCs w:val="24"/>
          <w:lang w:eastAsia="lt-LT"/>
        </w:rPr>
        <w:t>5</w:t>
      </w:r>
      <w:r w:rsidR="00EC0A7C" w:rsidRPr="00BF0D96">
        <w:rPr>
          <w:rFonts w:ascii="Palemonas" w:hAnsi="Palemonas" w:cs="Palemonas"/>
          <w:sz w:val="24"/>
          <w:szCs w:val="24"/>
          <w:lang w:eastAsia="lt-LT"/>
        </w:rPr>
        <w:t xml:space="preserve"> mėnesius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32E052B5" w14:textId="35060BBA" w:rsidR="007F5610" w:rsidRPr="00CC3611" w:rsidRDefault="007F5610" w:rsidP="007F5610">
      <w:pPr>
        <w:pStyle w:val="Sraopastraipa1"/>
        <w:spacing w:after="0"/>
        <w:ind w:left="0"/>
        <w:jc w:val="both"/>
        <w:rPr>
          <w:rFonts w:ascii="Palemonas" w:hAnsi="Palemonas" w:cs="Arial"/>
          <w:bCs/>
          <w:sz w:val="24"/>
          <w:szCs w:val="24"/>
        </w:rPr>
      </w:pPr>
      <w:r>
        <w:rPr>
          <w:rFonts w:ascii="Palemonas" w:hAnsi="Palemonas" w:cs="Palemonas"/>
          <w:sz w:val="24"/>
          <w:szCs w:val="24"/>
        </w:rPr>
        <w:t xml:space="preserve">           D</w:t>
      </w:r>
      <w:r w:rsidRPr="00D201FF">
        <w:rPr>
          <w:rFonts w:ascii="Palemonas" w:hAnsi="Palemonas" w:cs="Palemonas"/>
          <w:sz w:val="24"/>
          <w:szCs w:val="24"/>
        </w:rPr>
        <w:t xml:space="preserve">arbų pabaiga bus laikomas momentas, kai bus atlikti sutartyje numatyti statybos darbai, ištaisyti defektai, </w:t>
      </w:r>
      <w:r>
        <w:rPr>
          <w:rFonts w:ascii="Palemonas" w:hAnsi="Palemonas" w:cs="Palemonas"/>
          <w:sz w:val="24"/>
          <w:szCs w:val="24"/>
        </w:rPr>
        <w:t xml:space="preserve">parengta </w:t>
      </w:r>
      <w:r w:rsidRPr="00D201FF">
        <w:rPr>
          <w:rFonts w:ascii="Palemonas" w:hAnsi="Palemonas" w:cs="Palemonas"/>
          <w:sz w:val="24"/>
          <w:szCs w:val="24"/>
        </w:rPr>
        <w:t>statini</w:t>
      </w:r>
      <w:r>
        <w:rPr>
          <w:rFonts w:ascii="Palemonas" w:hAnsi="Palemonas" w:cs="Palemonas"/>
          <w:sz w:val="24"/>
          <w:szCs w:val="24"/>
        </w:rPr>
        <w:t>o</w:t>
      </w:r>
      <w:r w:rsidRPr="00D201FF">
        <w:rPr>
          <w:rFonts w:ascii="Palemonas" w:hAnsi="Palemonas" w:cs="Palemonas"/>
          <w:sz w:val="24"/>
          <w:szCs w:val="24"/>
        </w:rPr>
        <w:t xml:space="preserve"> kadastrinių matavimų byl</w:t>
      </w:r>
      <w:r>
        <w:rPr>
          <w:rFonts w:ascii="Palemonas" w:hAnsi="Palemonas" w:cs="Palemonas"/>
          <w:sz w:val="24"/>
          <w:szCs w:val="24"/>
        </w:rPr>
        <w:t>a</w:t>
      </w:r>
      <w:r w:rsidRPr="00D201FF">
        <w:rPr>
          <w:rFonts w:ascii="Palemonas" w:hAnsi="Palemonas" w:cs="Palemonas"/>
          <w:sz w:val="24"/>
          <w:szCs w:val="24"/>
        </w:rPr>
        <w:t>, suderint</w:t>
      </w:r>
      <w:r>
        <w:rPr>
          <w:rFonts w:ascii="Palemonas" w:hAnsi="Palemonas" w:cs="Palemonas"/>
          <w:sz w:val="24"/>
          <w:szCs w:val="24"/>
        </w:rPr>
        <w:t>a</w:t>
      </w:r>
      <w:r w:rsidRPr="00D201FF">
        <w:rPr>
          <w:rFonts w:ascii="Palemonas" w:hAnsi="Palemonas" w:cs="Palemonas"/>
          <w:sz w:val="24"/>
          <w:szCs w:val="24"/>
        </w:rPr>
        <w:t xml:space="preserve"> su VĮ Registrų centru, atliktos statybos užbaigimo bei įregistravimo nekilnojamojo turto registre procedūros ir užsakovui </w:t>
      </w:r>
      <w:r w:rsidRPr="00D201FF">
        <w:rPr>
          <w:rFonts w:ascii="Palemonas" w:hAnsi="Palemonas" w:cs="Palemonas"/>
          <w:sz w:val="24"/>
          <w:szCs w:val="24"/>
        </w:rPr>
        <w:lastRenderedPageBreak/>
        <w:t>perduoti visi STR 1.05.01:2017 „Statybą leidžiantys dokumentai. Statybos užbaigimas. Statybos sustabdymas. Savavališkos statybos padarinių šalinimas. Statybos pagal neteisėtai išduotą statybą leidžiantį dokumentą padarinių šalinimas“ V skyriuje nurodyti ir su tuo susiję dokumentai</w:t>
      </w:r>
      <w:r>
        <w:rPr>
          <w:rFonts w:ascii="Palemonas" w:hAnsi="Palemonas" w:cs="Palemonas"/>
          <w:sz w:val="24"/>
          <w:szCs w:val="24"/>
        </w:rPr>
        <w:t xml:space="preserve">. </w:t>
      </w:r>
      <w:r w:rsidRPr="00B067D0">
        <w:rPr>
          <w:rFonts w:ascii="Palemonas" w:hAnsi="Palemonas"/>
          <w:sz w:val="24"/>
          <w:szCs w:val="24"/>
        </w:rPr>
        <w:t xml:space="preserve">Statybos užbaigimo procedūras organizuoja rangovas. Užsakovas suteikia rangovui įgaliojimus </w:t>
      </w:r>
      <w:r w:rsidRPr="00B067D0">
        <w:rPr>
          <w:rStyle w:val="LLCTekstas"/>
          <w:rFonts w:ascii="Palemonas" w:hAnsi="Palemonas"/>
          <w:sz w:val="24"/>
          <w:szCs w:val="24"/>
        </w:rPr>
        <w:t>surašyti</w:t>
      </w:r>
      <w:r w:rsidRPr="00B067D0">
        <w:rPr>
          <w:rFonts w:ascii="Palemonas" w:hAnsi="Palemonas"/>
          <w:sz w:val="24"/>
          <w:szCs w:val="24"/>
        </w:rPr>
        <w:t xml:space="preserve"> deklaracijas apie statybos užbaigimą, pateikti Valstybinei teritorijų planavimo ir statybos inspekcijai prašymą patvirtinti deklaraciją, VĮ Registrų centrui pateikti prašymą įregistruoti užbaigtus </w:t>
      </w:r>
      <w:r w:rsidRPr="00450080">
        <w:rPr>
          <w:rFonts w:ascii="Palemonas" w:hAnsi="Palemonas"/>
          <w:sz w:val="24"/>
          <w:szCs w:val="24"/>
        </w:rPr>
        <w:t>statyti statinius Nekilnojamojo turte registre Palangos miesto savivaldybės vardu</w:t>
      </w:r>
      <w:r>
        <w:rPr>
          <w:rFonts w:ascii="Palemonas" w:hAnsi="Palemonas"/>
          <w:sz w:val="24"/>
          <w:szCs w:val="24"/>
        </w:rPr>
        <w:t>.</w:t>
      </w:r>
    </w:p>
    <w:p w14:paraId="55C15577" w14:textId="3F4A9F34"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71C13" w:rsidRPr="00033433">
        <w:rPr>
          <w:rFonts w:ascii="Palemonas" w:hAnsi="Palemonas" w:cs="Palemonas"/>
          <w:szCs w:val="24"/>
        </w:rPr>
        <w:t>1 kartą ne ilgiau kaip 2 mėnesiams</w:t>
      </w:r>
      <w:r w:rsidR="00971C13">
        <w:rPr>
          <w:rFonts w:ascii="Palemonas" w:hAnsi="Palemonas" w:cs="Palemonas"/>
          <w:szCs w:val="24"/>
        </w:rPr>
        <w:t xml:space="preserve">. </w:t>
      </w:r>
      <w:r w:rsidR="00971C13" w:rsidRPr="00670A91">
        <w:rPr>
          <w:rFonts w:ascii="Palemonas" w:eastAsia="Times New Roman" w:hAnsi="Palemonas" w:cs="Times New Roman"/>
          <w:szCs w:val="24"/>
          <w:lang w:eastAsia="lt-LT"/>
        </w:rPr>
        <w:t xml:space="preserve"> </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w:t>
      </w:r>
      <w:r w:rsidR="0083286F" w:rsidRPr="00970F10">
        <w:rPr>
          <w:rFonts w:ascii="Palemonas" w:eastAsia="Times New Roman" w:hAnsi="Palemonas" w:cs="Arial"/>
          <w:szCs w:val="24"/>
          <w:lang w:eastAsia="lt-LT"/>
        </w:rPr>
        <w:lastRenderedPageBreak/>
        <w:t xml:space="preserve">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P = </w:t>
      </w:r>
      <w:proofErr w:type="spellStart"/>
      <w:r w:rsidRPr="00970F10">
        <w:rPr>
          <w:rFonts w:ascii="Palemonas" w:hAnsi="Palemonas" w:cs="Times New Roman"/>
          <w:b/>
          <w:bCs/>
          <w:kern w:val="2"/>
          <w:szCs w:val="24"/>
          <w:lang w:eastAsia="en-US"/>
        </w:rPr>
        <w:t>Ln</w:t>
      </w:r>
      <w:proofErr w:type="spellEnd"/>
      <w:r w:rsidRPr="00970F10">
        <w:rPr>
          <w:rFonts w:ascii="Palemonas" w:hAnsi="Palemonas" w:cs="Times New Roman"/>
          <w:b/>
          <w:bCs/>
          <w:kern w:val="2"/>
          <w:szCs w:val="24"/>
          <w:lang w:eastAsia="en-US"/>
        </w:rPr>
        <w:t>/</w:t>
      </w:r>
      <w:proofErr w:type="spellStart"/>
      <w:r w:rsidRPr="00970F10">
        <w:rPr>
          <w:rFonts w:ascii="Palemonas" w:hAnsi="Palemonas" w:cs="Times New Roman"/>
          <w:b/>
          <w:bCs/>
          <w:kern w:val="2"/>
          <w:szCs w:val="24"/>
          <w:lang w:eastAsia="en-US"/>
        </w:rPr>
        <w:t>Lo</w:t>
      </w:r>
      <w:proofErr w:type="spellEnd"/>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proofErr w:type="spellStart"/>
      <w:r w:rsidRPr="00970F10">
        <w:rPr>
          <w:rFonts w:ascii="Palemonas" w:hAnsi="Palemonas" w:cs="Times New Roman"/>
          <w:b/>
          <w:kern w:val="2"/>
          <w:szCs w:val="24"/>
          <w:lang w:eastAsia="en-US"/>
        </w:rPr>
        <w:t>Ln</w:t>
      </w:r>
      <w:proofErr w:type="spellEnd"/>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proofErr w:type="spellStart"/>
      <w:r w:rsidRPr="00970F10">
        <w:rPr>
          <w:rFonts w:ascii="Palemonas" w:hAnsi="Palemonas" w:cs="Times New Roman"/>
          <w:b/>
          <w:bCs/>
          <w:kern w:val="2"/>
          <w:szCs w:val="24"/>
          <w:lang w:eastAsia="en-US"/>
        </w:rPr>
        <w:t>Lo</w:t>
      </w:r>
      <w:proofErr w:type="spellEnd"/>
      <w:r w:rsidRPr="00970F10">
        <w:rPr>
          <w:rFonts w:ascii="Palemonas" w:hAnsi="Palemonas" w:cs="Times New Roman"/>
          <w:b/>
          <w:bCs/>
          <w:kern w:val="2"/>
          <w:szCs w:val="24"/>
          <w:lang w:eastAsia="en-US"/>
        </w:rPr>
        <w:t xml:space="preserve">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w:t>
      </w:r>
      <w:proofErr w:type="spellStart"/>
      <w:r w:rsidRPr="00005D00">
        <w:rPr>
          <w:rFonts w:ascii="Palemonas" w:hAnsi="Palemonas" w:cs="Times New Roman"/>
          <w:kern w:val="2"/>
          <w:szCs w:val="24"/>
          <w:lang w:eastAsia="en-US"/>
        </w:rPr>
        <w:t>teisės</w:t>
      </w:r>
      <w:proofErr w:type="spellEnd"/>
      <w:r w:rsidRPr="00005D00">
        <w:rPr>
          <w:rFonts w:ascii="Palemonas" w:hAnsi="Palemonas" w:cs="Times New Roman"/>
          <w:kern w:val="2"/>
          <w:szCs w:val="24"/>
          <w:lang w:eastAsia="en-US"/>
        </w:rPr>
        <w:t xml:space="preserve"> atsisakyti pasirašyti tokio susitarimo be </w:t>
      </w:r>
      <w:proofErr w:type="spellStart"/>
      <w:r w:rsidRPr="00005D00">
        <w:rPr>
          <w:rFonts w:ascii="Palemonas" w:hAnsi="Palemonas" w:cs="Times New Roman"/>
          <w:kern w:val="2"/>
          <w:szCs w:val="24"/>
          <w:lang w:eastAsia="en-US"/>
        </w:rPr>
        <w:t>pagrįstu</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priežasčiu</w:t>
      </w:r>
      <w:proofErr w:type="spellEnd"/>
      <w:r w:rsidRPr="00005D00">
        <w:rPr>
          <w:rFonts w:ascii="Palemonas" w:hAnsi="Palemonas" w:cs="Times New Roman"/>
          <w:kern w:val="2"/>
          <w:szCs w:val="24"/>
          <w:lang w:eastAsia="en-US"/>
        </w:rPr>
        <w:t xml:space="preserve">̨.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4.9.1.4. kaina Eur be PVM laikoma </w:t>
      </w:r>
      <w:proofErr w:type="spellStart"/>
      <w:r w:rsidRPr="00005D00">
        <w:rPr>
          <w:rFonts w:ascii="Palemonas" w:hAnsi="Palemonas" w:cs="Times New Roman"/>
          <w:kern w:val="2"/>
          <w:szCs w:val="24"/>
          <w:lang w:eastAsia="en-US"/>
        </w:rPr>
        <w:t>perskaičiuota</w:t>
      </w:r>
      <w:proofErr w:type="spellEnd"/>
      <w:r w:rsidRPr="00005D00">
        <w:rPr>
          <w:rFonts w:ascii="Palemonas" w:hAnsi="Palemonas" w:cs="Times New Roman"/>
          <w:kern w:val="2"/>
          <w:szCs w:val="24"/>
          <w:lang w:eastAsia="en-US"/>
        </w:rPr>
        <w:t xml:space="preserve">, kai Sutarties Šalys pasirašo </w:t>
      </w:r>
      <w:proofErr w:type="spellStart"/>
      <w:r w:rsidRPr="00005D00">
        <w:rPr>
          <w:rFonts w:ascii="Palemonas" w:hAnsi="Palemonas" w:cs="Times New Roman"/>
          <w:kern w:val="2"/>
          <w:szCs w:val="24"/>
          <w:lang w:eastAsia="en-US"/>
        </w:rPr>
        <w:t>susitarima</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dėl</w:t>
      </w:r>
      <w:proofErr w:type="spellEnd"/>
      <w:r w:rsidRPr="00005D00">
        <w:rPr>
          <w:rFonts w:ascii="Palemonas" w:hAnsi="Palemonas" w:cs="Times New Roman"/>
          <w:kern w:val="2"/>
          <w:szCs w:val="24"/>
          <w:lang w:eastAsia="en-US"/>
        </w:rPr>
        <w:t xml:space="preserve"> kainos </w:t>
      </w:r>
      <w:proofErr w:type="spellStart"/>
      <w:r w:rsidRPr="00005D00">
        <w:rPr>
          <w:rFonts w:ascii="Palemonas" w:hAnsi="Palemonas" w:cs="Times New Roman"/>
          <w:kern w:val="2"/>
          <w:szCs w:val="24"/>
          <w:lang w:eastAsia="en-US"/>
        </w:rPr>
        <w:t>perskaičiavimo</w:t>
      </w:r>
      <w:proofErr w:type="spellEnd"/>
      <w:r w:rsidRPr="00005D00">
        <w:rPr>
          <w:rFonts w:ascii="Palemonas" w:hAnsi="Palemonas" w:cs="Times New Roman"/>
          <w:kern w:val="2"/>
          <w:szCs w:val="24"/>
          <w:lang w:eastAsia="en-US"/>
        </w:rPr>
        <w:t>.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05D00">
        <w:rPr>
          <w:rFonts w:ascii="Palemonas" w:hAnsi="Palemonas" w:cs="Times New Roman"/>
          <w:kern w:val="2"/>
          <w:szCs w:val="24"/>
          <w:lang w:eastAsia="en-US"/>
        </w:rPr>
        <w:t>Lo</w:t>
      </w:r>
      <w:proofErr w:type="spellEnd"/>
      <w:r w:rsidRPr="00005D00">
        <w:rPr>
          <w:rFonts w:ascii="Palemonas" w:hAnsi="Palemonas" w:cs="Times New Roman"/>
          <w:kern w:val="2"/>
          <w:szCs w:val="24"/>
          <w:lang w:eastAsia="en-US"/>
        </w:rPr>
        <w:t>) ir jo datą, n mėnesio kainos indeksą (</w:t>
      </w:r>
      <w:proofErr w:type="spellStart"/>
      <w:r w:rsidRPr="00005D00">
        <w:rPr>
          <w:rFonts w:ascii="Palemonas" w:hAnsi="Palemonas" w:cs="Times New Roman"/>
          <w:kern w:val="2"/>
          <w:szCs w:val="24"/>
          <w:lang w:eastAsia="en-US"/>
        </w:rPr>
        <w:t>Ln</w:t>
      </w:r>
      <w:proofErr w:type="spellEnd"/>
      <w:r w:rsidRPr="00005D00">
        <w:rPr>
          <w:rFonts w:ascii="Palemonas" w:hAnsi="Palemonas" w:cs="Times New Roman"/>
          <w:kern w:val="2"/>
          <w:szCs w:val="24"/>
          <w:lang w:eastAsia="en-US"/>
        </w:rPr>
        <w:t>)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34A2298B" w:rsidR="00C34A6B" w:rsidRPr="00BF0D96" w:rsidRDefault="002D47F1" w:rsidP="0000276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lastRenderedPageBreak/>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 Palangos miesto savivaldybės biudžeto lėš</w:t>
      </w:r>
      <w:r w:rsidR="0061721C">
        <w:rPr>
          <w:rFonts w:ascii="Palemonas" w:hAnsi="Palemonas"/>
          <w:szCs w:val="24"/>
        </w:rPr>
        <w:t>omis</w:t>
      </w:r>
      <w:r w:rsidR="008F3303" w:rsidRPr="00866EE3">
        <w:rPr>
          <w:rFonts w:ascii="Palemonas" w:hAnsi="Palemonas"/>
          <w:szCs w:val="24"/>
        </w:rPr>
        <w:t xml:space="preserve"> dalimis pagal iki </w:t>
      </w:r>
      <w:r w:rsidR="008F3303" w:rsidRPr="00BC676C">
        <w:rPr>
          <w:rFonts w:ascii="Palemonas" w:hAnsi="Palemonas"/>
          <w:szCs w:val="24"/>
        </w:rPr>
        <w:t xml:space="preserve">einamojo mėnesio </w:t>
      </w:r>
      <w:r w:rsidR="0061721C">
        <w:rPr>
          <w:rFonts w:ascii="Palemonas" w:hAnsi="Palemonas"/>
          <w:szCs w:val="24"/>
        </w:rPr>
        <w:t>paskutinės</w:t>
      </w:r>
      <w:r w:rsidR="008F3303" w:rsidRPr="00BC676C">
        <w:rPr>
          <w:rFonts w:ascii="Palemonas" w:hAnsi="Palemonas"/>
          <w:szCs w:val="24"/>
        </w:rPr>
        <w:t xml:space="preserve">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747FEA" w:rsidRPr="008F3303">
        <w:rPr>
          <w:rFonts w:ascii="Palemonas" w:eastAsia="Times New Roman" w:hAnsi="Palemonas" w:cs="Times New Roman"/>
          <w:szCs w:val="24"/>
        </w:rPr>
        <w:t xml:space="preserve"> per 30 kalendorinių dienų</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w:t>
      </w:r>
      <w:r w:rsidRPr="006C5608">
        <w:rPr>
          <w:rFonts w:ascii="Palemonas" w:eastAsia="Times New Roman" w:hAnsi="Palemonas" w:cs="Times New Roman"/>
          <w:bCs/>
          <w:szCs w:val="24"/>
        </w:rPr>
        <w:lastRenderedPageBreak/>
        <w:t xml:space="preserve">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w:t>
      </w:r>
      <w:proofErr w:type="spellStart"/>
      <w:r w:rsidR="00337C13" w:rsidRPr="00B77AEA">
        <w:rPr>
          <w:rFonts w:ascii="Palemonas" w:eastAsia="Times New Roman" w:hAnsi="Palemonas" w:cs="Times New Roman"/>
          <w:szCs w:val="24"/>
          <w:lang w:eastAsia="lt-LT"/>
        </w:rPr>
        <w:t>Infostatyba</w:t>
      </w:r>
      <w:proofErr w:type="spellEnd"/>
      <w:r w:rsidR="00337C13" w:rsidRPr="00B77AEA">
        <w:rPr>
          <w:rFonts w:ascii="Palemonas" w:eastAsia="Times New Roman" w:hAnsi="Palemonas" w:cs="Times New Roman"/>
          <w:szCs w:val="24"/>
          <w:lang w:eastAsia="lt-LT"/>
        </w:rPr>
        <w:t>“</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lastRenderedPageBreak/>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717B04E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projektą, </w:t>
      </w:r>
      <w:r w:rsidR="00B03788">
        <w:rPr>
          <w:rFonts w:ascii="Palemonas" w:eastAsia="Times New Roman" w:hAnsi="Palemonas" w:cs="Times New Roman"/>
          <w:szCs w:val="24"/>
        </w:rPr>
        <w:t>s</w:t>
      </w:r>
      <w:r w:rsidRPr="006C5608">
        <w:rPr>
          <w:rFonts w:ascii="Palemonas" w:eastAsia="Times New Roman" w:hAnsi="Palemonas" w:cs="Times New Roman"/>
          <w:szCs w:val="24"/>
        </w:rPr>
        <w:t xml:space="preserve">tatybos darbų </w:t>
      </w:r>
      <w:r w:rsidR="002D4409">
        <w:rPr>
          <w:rFonts w:ascii="Palemonas" w:eastAsia="Times New Roman" w:hAnsi="Palemonas" w:cs="Times New Roman"/>
          <w:szCs w:val="24"/>
        </w:rPr>
        <w:t>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t.t.;</w:t>
      </w:r>
    </w:p>
    <w:p w14:paraId="4C3C1367" w14:textId="0B55E28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EB2C06">
        <w:rPr>
          <w:rFonts w:ascii="Palemonas" w:eastAsia="Times New Roman" w:hAnsi="Palemonas" w:cs="Times New Roman"/>
          <w:szCs w:val="24"/>
        </w:rPr>
        <w:t>darbų Aprašą</w:t>
      </w:r>
      <w:r w:rsidRPr="006C5608">
        <w:rPr>
          <w:rFonts w:ascii="Palemonas" w:eastAsia="Times New Roman" w:hAnsi="Palemonas" w:cs="Times New Roman"/>
          <w:szCs w:val="24"/>
        </w:rPr>
        <w:t xml:space="preserve">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5487CAB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9F45B4">
        <w:rPr>
          <w:rFonts w:ascii="Palemonas" w:eastAsia="Times New Roman" w:hAnsi="Palemonas" w:cs="Times New Roman"/>
          <w:szCs w:val="24"/>
        </w:rPr>
        <w:t>darbų Aprašą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lastRenderedPageBreak/>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Pr="004E5759" w:rsidRDefault="00660E89" w:rsidP="00135DC1">
      <w:pPr>
        <w:spacing w:after="0" w:line="240" w:lineRule="auto"/>
        <w:jc w:val="both"/>
        <w:rPr>
          <w:rFonts w:ascii="Palemonas" w:hAnsi="Palemonas"/>
          <w:szCs w:val="24"/>
        </w:rPr>
      </w:pPr>
      <w:r w:rsidRPr="004E5759">
        <w:rPr>
          <w:rFonts w:ascii="Palemonas" w:hAnsi="Palemonas"/>
          <w:szCs w:val="24"/>
        </w:rPr>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5B586EB3" w14:textId="77777777" w:rsidR="00660E89" w:rsidRPr="00660E89" w:rsidRDefault="00660E89" w:rsidP="00135DC1">
      <w:pPr>
        <w:spacing w:after="0" w:line="240" w:lineRule="auto"/>
        <w:jc w:val="both"/>
        <w:rPr>
          <w:rFonts w:ascii="Palemonas" w:eastAsia="Times New Roman" w:hAnsi="Palemonas" w:cs="Times New Roman"/>
          <w:szCs w:val="24"/>
          <w:u w:val="single"/>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7AFF1ADE"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kainos 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w:t>
      </w:r>
      <w:r>
        <w:rPr>
          <w:rFonts w:ascii="Palemonas" w:hAnsi="Palemonas" w:cs="Arial"/>
          <w:sz w:val="24"/>
          <w:szCs w:val="24"/>
        </w:rPr>
        <w:lastRenderedPageBreak/>
        <w:t xml:space="preserve">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lastRenderedPageBreak/>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xml:space="preserve">.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w:t>
      </w:r>
      <w:r w:rsidR="00135DC1" w:rsidRPr="006C5608">
        <w:rPr>
          <w:rFonts w:ascii="Palemonas" w:eastAsia="Times New Roman" w:hAnsi="Palemonas" w:cs="Times New Roman"/>
          <w:szCs w:val="24"/>
        </w:rPr>
        <w:lastRenderedPageBreak/>
        <w:t>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AB0459">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subtiekėjus, kurių pajėgumais Rangovas </w:t>
      </w:r>
      <w:r w:rsidRPr="004E5759">
        <w:rPr>
          <w:rFonts w:ascii="Palemonas" w:eastAsia="Cambria" w:hAnsi="Palemonas"/>
          <w:shd w:val="clear" w:color="auto" w:fill="FFFFFF"/>
        </w:rPr>
        <w:t xml:space="preserve">nesirėmė pirkimo dokumentuose numatytiems </w:t>
      </w:r>
      <w:r w:rsidRPr="004E5759">
        <w:rPr>
          <w:rFonts w:ascii="Palemonas" w:eastAsia="Cambria" w:hAnsi="Palemonas"/>
          <w:shd w:val="clear" w:color="auto" w:fill="FFFFFF"/>
        </w:rPr>
        <w:lastRenderedPageBreak/>
        <w:t>kvalifikacijos reikalavimams pagrįsti.</w:t>
      </w:r>
    </w:p>
    <w:p w14:paraId="58968585"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AB0459">
      <w:pPr>
        <w:widowControl w:val="0"/>
        <w:tabs>
          <w:tab w:val="left" w:pos="993"/>
        </w:tabs>
        <w:spacing w:after="0"/>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77777777" w:rsidR="00AB0459" w:rsidRPr="004E5759" w:rsidRDefault="00AB0459" w:rsidP="00AB0459">
      <w:pPr>
        <w:widowControl w:val="0"/>
        <w:pBdr>
          <w:between w:val="nil"/>
        </w:pBdr>
        <w:tabs>
          <w:tab w:val="left" w:pos="993"/>
        </w:tabs>
        <w:spacing w:after="0"/>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AB0459">
      <w:pPr>
        <w:widowControl w:val="0"/>
        <w:pBdr>
          <w:between w:val="nil"/>
        </w:pBdr>
        <w:tabs>
          <w:tab w:val="left" w:pos="0"/>
          <w:tab w:val="left" w:pos="993"/>
        </w:tabs>
        <w:spacing w:after="0"/>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AB0459">
      <w:pPr>
        <w:widowControl w:val="0"/>
        <w:pBdr>
          <w:between w:val="nil"/>
        </w:pBdr>
        <w:tabs>
          <w:tab w:val="left" w:pos="993"/>
        </w:tabs>
        <w:spacing w:after="0"/>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AB0459">
      <w:pPr>
        <w:widowControl w:val="0"/>
        <w:pBdr>
          <w:between w:val="nil"/>
        </w:pBdr>
        <w:tabs>
          <w:tab w:val="left" w:pos="1134"/>
          <w:tab w:val="left" w:pos="1418"/>
        </w:tabs>
        <w:spacing w:after="0"/>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AB0459">
      <w:pPr>
        <w:widowControl w:val="0"/>
        <w:pBdr>
          <w:between w:val="nil"/>
        </w:pBdr>
        <w:tabs>
          <w:tab w:val="left" w:pos="1134"/>
          <w:tab w:val="left" w:pos="1276"/>
        </w:tabs>
        <w:spacing w:after="0"/>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17.14.1. argumentuotą rašytinį prašymą pakeisti subrangovą ir (ar) specialistą, paaiškinant </w:t>
      </w:r>
      <w:r w:rsidRPr="004E5759">
        <w:rPr>
          <w:rFonts w:ascii="Palemonas" w:eastAsia="Cambria" w:hAnsi="Palemonas"/>
          <w:shd w:val="clear" w:color="auto" w:fill="FFFFFF"/>
        </w:rPr>
        <w:lastRenderedPageBreak/>
        <w:t>keitimo aplinkybę. Užsakovas pasilieka teisę paprašyti įrodymų, pagrindžiančių keitimo aplinkybę;</w:t>
      </w:r>
    </w:p>
    <w:p w14:paraId="2B0C8C90"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77777777" w:rsidR="00AB0459" w:rsidRPr="005C0061" w:rsidRDefault="00AB0459" w:rsidP="00AB0459">
      <w:pPr>
        <w:widowControl w:val="0"/>
        <w:pBdr>
          <w:between w:val="nil"/>
        </w:pBdr>
        <w:tabs>
          <w:tab w:val="left" w:pos="567"/>
          <w:tab w:val="left" w:pos="851"/>
          <w:tab w:val="left" w:pos="992"/>
        </w:tabs>
        <w:spacing w:after="0"/>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Default="00AB0459" w:rsidP="00135DC1">
      <w:pPr>
        <w:shd w:val="clear" w:color="auto" w:fill="FFFFFF"/>
        <w:spacing w:after="0" w:line="240" w:lineRule="auto"/>
        <w:jc w:val="center"/>
        <w:rPr>
          <w:rFonts w:ascii="Palemonas" w:eastAsia="Times New Roman" w:hAnsi="Palemonas" w:cs="Times New Roman"/>
          <w:b/>
          <w:bCs/>
          <w:color w:val="000000"/>
          <w:szCs w:val="24"/>
        </w:rPr>
      </w:pPr>
    </w:p>
    <w:p w14:paraId="59DEE950" w14:textId="77777777" w:rsidR="00B201EB" w:rsidRPr="000F62DE" w:rsidRDefault="00B201EB" w:rsidP="00002768">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319371CC" w:rsidR="00B201EB" w:rsidRDefault="008E5521"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 xml:space="preserve">Lijana </w:t>
            </w:r>
            <w:r w:rsidR="0027612C">
              <w:rPr>
                <w:rFonts w:ascii="Palemonas" w:eastAsia="Times New Roman" w:hAnsi="Palemonas" w:cs="Times New Roman"/>
                <w:szCs w:val="20"/>
              </w:rPr>
              <w:t>O</w:t>
            </w:r>
            <w:r>
              <w:rPr>
                <w:rFonts w:ascii="Palemonas" w:eastAsia="Times New Roman" w:hAnsi="Palemonas" w:cs="Times New Roman"/>
                <w:szCs w:val="20"/>
              </w:rPr>
              <w:t>ginskytė</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76351C06"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8E5521">
              <w:rPr>
                <w:rFonts w:ascii="Palemonas" w:eastAsia="Times New Roman" w:hAnsi="Palemonas" w:cs="Times New Roman"/>
                <w:szCs w:val="20"/>
              </w:rPr>
              <w:t>07</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6DA6F35C"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785E08">
              <w:rPr>
                <w:rFonts w:ascii="Palemonas" w:hAnsi="Palemonas"/>
                <w:szCs w:val="24"/>
              </w:rPr>
              <w:t>34 115</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7668CA8B" w:rsidR="00B201EB" w:rsidRDefault="00785E08"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lijana.oginskyte</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lastRenderedPageBreak/>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05CE3701"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sidR="00421F0E">
              <w:rPr>
                <w:rFonts w:ascii="Palemonas" w:eastAsia="Times New Roman" w:hAnsi="Palemonas" w:cs="Times New Roman"/>
                <w:szCs w:val="24"/>
              </w:rPr>
              <w:t>7</w:t>
            </w:r>
            <w:r w:rsidR="00737C06">
              <w:rPr>
                <w:rFonts w:ascii="Palemonas" w:eastAsia="Times New Roman" w:hAnsi="Palemonas" w:cs="Times New Roman"/>
                <w:szCs w:val="24"/>
              </w:rPr>
              <w:t>5</w:t>
            </w:r>
            <w:r w:rsidRPr="00E4209C">
              <w:rPr>
                <w:rFonts w:ascii="Palemonas" w:eastAsia="Times New Roman" w:hAnsi="Palemonas" w:cs="Times New Roman"/>
                <w:szCs w:val="24"/>
              </w:rPr>
              <w:t xml:space="preserve"> </w:t>
            </w:r>
            <w:r>
              <w:rPr>
                <w:rFonts w:eastAsia="Times New Roman"/>
                <w:szCs w:val="24"/>
              </w:rPr>
              <w:t>718</w:t>
            </w:r>
            <w:r w:rsidR="00421F0E">
              <w:rPr>
                <w:rFonts w:eastAsia="Times New Roman"/>
                <w:szCs w:val="24"/>
              </w:rPr>
              <w:t>0</w:t>
            </w:r>
            <w:r>
              <w:rPr>
                <w:rFonts w:eastAsia="Times New Roman"/>
                <w:szCs w:val="24"/>
              </w:rPr>
              <w:t xml:space="preserve"> </w:t>
            </w:r>
            <w:r w:rsidR="00421F0E">
              <w:rPr>
                <w:rFonts w:eastAsia="Times New Roman"/>
                <w:szCs w:val="24"/>
              </w:rPr>
              <w:t>6</w:t>
            </w:r>
            <w:r>
              <w:rPr>
                <w:rFonts w:eastAsia="Times New Roman"/>
                <w:szCs w:val="24"/>
              </w:rPr>
              <w:t>000 0</w:t>
            </w:r>
            <w:r w:rsidR="005602A0">
              <w:rPr>
                <w:rFonts w:eastAsia="Times New Roman"/>
                <w:szCs w:val="24"/>
              </w:rPr>
              <w:t>0</w:t>
            </w:r>
            <w:r>
              <w:rPr>
                <w:rFonts w:eastAsia="Times New Roman"/>
                <w:szCs w:val="24"/>
              </w:rPr>
              <w:t>1</w:t>
            </w:r>
            <w:r w:rsidR="005602A0">
              <w:rPr>
                <w:rFonts w:eastAsia="Times New Roman"/>
                <w:szCs w:val="24"/>
              </w:rPr>
              <w:t>4</w:t>
            </w:r>
            <w:r w:rsidRPr="00E4209C">
              <w:rPr>
                <w:rFonts w:eastAsia="Times New Roman"/>
                <w:szCs w:val="24"/>
              </w:rPr>
              <w:t xml:space="preserve"> </w:t>
            </w:r>
            <w:r w:rsidR="00737C06">
              <w:rPr>
                <w:rFonts w:eastAsia="Times New Roman"/>
                <w:szCs w:val="24"/>
              </w:rPr>
              <w:t>0119</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F084" w14:textId="77777777" w:rsidR="00FB63D4" w:rsidRDefault="00FB63D4" w:rsidP="00FE2393">
      <w:pPr>
        <w:spacing w:after="0" w:line="240" w:lineRule="auto"/>
      </w:pPr>
      <w:r>
        <w:separator/>
      </w:r>
    </w:p>
  </w:endnote>
  <w:endnote w:type="continuationSeparator" w:id="0">
    <w:p w14:paraId="79D01CDA" w14:textId="77777777" w:rsidR="00FB63D4" w:rsidRDefault="00FB63D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4728" w14:textId="77777777" w:rsidR="00FB63D4" w:rsidRDefault="00FB63D4" w:rsidP="00FE2393">
      <w:pPr>
        <w:spacing w:after="0" w:line="240" w:lineRule="auto"/>
      </w:pPr>
      <w:r>
        <w:separator/>
      </w:r>
    </w:p>
  </w:footnote>
  <w:footnote w:type="continuationSeparator" w:id="0">
    <w:p w14:paraId="025E3ABB" w14:textId="77777777" w:rsidR="00FB63D4" w:rsidRDefault="00FB63D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7612C"/>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5759"/>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3202"/>
    <w:rsid w:val="00675396"/>
    <w:rsid w:val="00675C51"/>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096C"/>
    <w:rsid w:val="00721304"/>
    <w:rsid w:val="00721A2E"/>
    <w:rsid w:val="00722989"/>
    <w:rsid w:val="00723EAD"/>
    <w:rsid w:val="00724D77"/>
    <w:rsid w:val="007308B2"/>
    <w:rsid w:val="00730CC5"/>
    <w:rsid w:val="00731AB2"/>
    <w:rsid w:val="00733067"/>
    <w:rsid w:val="0073390E"/>
    <w:rsid w:val="0073499D"/>
    <w:rsid w:val="00736341"/>
    <w:rsid w:val="00737695"/>
    <w:rsid w:val="00737C06"/>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9F47A6"/>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3611"/>
    <w:rsid w:val="00CC4D6E"/>
    <w:rsid w:val="00CC525D"/>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34983</Words>
  <Characters>19941</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233</cp:revision>
  <cp:lastPrinted>2017-08-01T11:02:00Z</cp:lastPrinted>
  <dcterms:created xsi:type="dcterms:W3CDTF">2024-09-12T06:33:00Z</dcterms:created>
  <dcterms:modified xsi:type="dcterms:W3CDTF">2025-04-04T07:47:00Z</dcterms:modified>
</cp:coreProperties>
</file>