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01" w:type="dxa"/>
        <w:shd w:val="clear" w:color="auto" w:fill="006982"/>
        <w:tblLook w:val="04A0" w:firstRow="1" w:lastRow="0" w:firstColumn="1" w:lastColumn="0" w:noHBand="0" w:noVBand="1"/>
      </w:tblPr>
      <w:tblGrid>
        <w:gridCol w:w="10201"/>
      </w:tblGrid>
      <w:tr w:rsidR="000466BF" w:rsidRPr="00F16557" w14:paraId="4FA493FF" w14:textId="77777777" w:rsidTr="008C10CF">
        <w:trPr>
          <w:trHeight w:val="416"/>
        </w:trPr>
        <w:tc>
          <w:tcPr>
            <w:tcW w:w="10201" w:type="dxa"/>
            <w:shd w:val="clear" w:color="auto" w:fill="006982"/>
            <w:vAlign w:val="center"/>
          </w:tcPr>
          <w:p w14:paraId="1CF07426" w14:textId="77777777" w:rsidR="000466BF" w:rsidRPr="00F16557" w:rsidRDefault="000466BF" w:rsidP="003F0757">
            <w:pPr>
              <w:jc w:val="left"/>
              <w:rPr>
                <w:rFonts w:ascii="Arial" w:hAnsi="Arial" w:cs="Arial"/>
                <w:b/>
                <w:caps/>
                <w:color w:val="FFFFFF" w:themeColor="background1"/>
                <w:sz w:val="22"/>
                <w:szCs w:val="22"/>
              </w:rPr>
            </w:pPr>
            <w:r w:rsidRPr="00F16557">
              <w:rPr>
                <w:rFonts w:ascii="Arial" w:hAnsi="Arial" w:cs="Arial"/>
                <w:b/>
                <w:caps/>
                <w:color w:val="FFFFFF" w:themeColor="background1"/>
                <w:sz w:val="22"/>
                <w:szCs w:val="22"/>
              </w:rPr>
              <w:t>1. PIRKIMO OBJEKTAS</w:t>
            </w:r>
          </w:p>
        </w:tc>
      </w:tr>
    </w:tbl>
    <w:p w14:paraId="502291F1" w14:textId="12991EE1" w:rsidR="00394E02" w:rsidRPr="0026456A" w:rsidRDefault="00394E02" w:rsidP="00394E02">
      <w:pPr>
        <w:pStyle w:val="BodyText0"/>
        <w:numPr>
          <w:ilvl w:val="0"/>
          <w:numId w:val="32"/>
        </w:numPr>
        <w:tabs>
          <w:tab w:val="left" w:pos="993"/>
        </w:tabs>
        <w:spacing w:before="120"/>
        <w:ind w:left="0" w:firstLine="567"/>
        <w:rPr>
          <w:rFonts w:ascii="Arial" w:hAnsi="Arial" w:cs="Arial"/>
          <w:sz w:val="22"/>
        </w:rPr>
      </w:pPr>
      <w:r w:rsidRPr="0026456A">
        <w:rPr>
          <w:rFonts w:ascii="Arial" w:hAnsi="Arial" w:cs="Arial"/>
          <w:sz w:val="22"/>
        </w:rPr>
        <w:t xml:space="preserve">Pirkimo objektas – Bendrosios duomenų aplinkos </w:t>
      </w:r>
      <w:r w:rsidRPr="00DD7205">
        <w:rPr>
          <w:rFonts w:ascii="Arial" w:hAnsi="Arial" w:cs="Arial"/>
          <w:sz w:val="22"/>
        </w:rPr>
        <w:t>licencij</w:t>
      </w:r>
      <w:r w:rsidR="00340D57" w:rsidRPr="00DD7205">
        <w:rPr>
          <w:rFonts w:ascii="Arial" w:hAnsi="Arial" w:cs="Arial"/>
          <w:sz w:val="22"/>
        </w:rPr>
        <w:t>os</w:t>
      </w:r>
      <w:r w:rsidRPr="00DD7205">
        <w:rPr>
          <w:rFonts w:ascii="Arial" w:hAnsi="Arial" w:cs="Arial"/>
          <w:sz w:val="22"/>
        </w:rPr>
        <w:t xml:space="preserve"> n</w:t>
      </w:r>
      <w:r>
        <w:rPr>
          <w:rFonts w:ascii="Arial" w:hAnsi="Arial" w:cs="Arial"/>
          <w:sz w:val="22"/>
        </w:rPr>
        <w:t>uoma su</w:t>
      </w:r>
      <w:r w:rsidRPr="0026456A">
        <w:rPr>
          <w:rFonts w:ascii="Arial" w:hAnsi="Arial" w:cs="Arial"/>
          <w:sz w:val="22"/>
        </w:rPr>
        <w:t xml:space="preserve"> jų palaikymo paslaugo</w:t>
      </w:r>
      <w:r>
        <w:rPr>
          <w:rFonts w:ascii="Arial" w:hAnsi="Arial" w:cs="Arial"/>
          <w:sz w:val="22"/>
        </w:rPr>
        <w:t>mis (toliau – Prekės)</w:t>
      </w:r>
      <w:r w:rsidRPr="0026456A">
        <w:rPr>
          <w:rFonts w:ascii="Arial" w:hAnsi="Arial" w:cs="Arial"/>
          <w:sz w:val="22"/>
        </w:rPr>
        <w:t xml:space="preserve">. Bendroji duomenų aplinka (CDE) – bendrojo duomenų aplinkos principu veikianti (angl. </w:t>
      </w:r>
      <w:proofErr w:type="spellStart"/>
      <w:r w:rsidRPr="0026456A">
        <w:rPr>
          <w:rFonts w:ascii="Arial" w:hAnsi="Arial" w:cs="Arial"/>
          <w:sz w:val="22"/>
        </w:rPr>
        <w:t>Common</w:t>
      </w:r>
      <w:proofErr w:type="spellEnd"/>
      <w:r w:rsidRPr="0026456A">
        <w:rPr>
          <w:rFonts w:ascii="Arial" w:hAnsi="Arial" w:cs="Arial"/>
          <w:sz w:val="22"/>
        </w:rPr>
        <w:t xml:space="preserve"> Data </w:t>
      </w:r>
      <w:proofErr w:type="spellStart"/>
      <w:r w:rsidRPr="0026456A">
        <w:rPr>
          <w:rFonts w:ascii="Arial" w:hAnsi="Arial" w:cs="Arial"/>
          <w:sz w:val="22"/>
        </w:rPr>
        <w:t>Environment</w:t>
      </w:r>
      <w:proofErr w:type="spellEnd"/>
      <w:r w:rsidRPr="0026456A">
        <w:rPr>
          <w:rFonts w:ascii="Arial" w:hAnsi="Arial" w:cs="Arial"/>
          <w:sz w:val="22"/>
        </w:rPr>
        <w:t>) programinės ir aparatinės įrangos ir darbo tvarkos visuma (platforma/sistema) pagal BIM metodologiją, kuri suteikia galimybes įgyvendinti šiuos tikslus:</w:t>
      </w:r>
    </w:p>
    <w:p w14:paraId="594599AD" w14:textId="77777777" w:rsidR="00394E02" w:rsidRPr="0026456A" w:rsidRDefault="00394E02" w:rsidP="008C10CF">
      <w:pPr>
        <w:pStyle w:val="BodyText0"/>
        <w:tabs>
          <w:tab w:val="left" w:pos="993"/>
        </w:tabs>
        <w:spacing w:before="120"/>
        <w:ind w:firstLine="709"/>
        <w:rPr>
          <w:rFonts w:ascii="Arial" w:hAnsi="Arial" w:cs="Arial"/>
          <w:sz w:val="22"/>
        </w:rPr>
      </w:pPr>
      <w:r w:rsidRPr="0026456A">
        <w:rPr>
          <w:rFonts w:ascii="Arial" w:hAnsi="Arial" w:cs="Arial"/>
          <w:sz w:val="22"/>
        </w:rPr>
        <w:t>• kaupti, peržiūrėti ir tvarkyti aktualią projekto informaciją (grafiniai modeliai, projekto sprendiniai/brėžiniai, negrafinė projektinė informacija, dokumentai ir pan.) bei ja keistis tarp projekto dalyvių savalaikiams sprendimams priimti per visus projekto įgyvendinimo etapus (įskaitant planavimą, projektavimą, statybą ir naudojimą/eksploataciją);</w:t>
      </w:r>
    </w:p>
    <w:p w14:paraId="5E25547E" w14:textId="6AF721E4" w:rsidR="00394E02" w:rsidRPr="0026456A" w:rsidRDefault="00394E02" w:rsidP="008C10CF">
      <w:pPr>
        <w:pStyle w:val="BodyText0"/>
        <w:tabs>
          <w:tab w:val="left" w:pos="993"/>
        </w:tabs>
        <w:spacing w:before="120"/>
        <w:ind w:firstLine="709"/>
        <w:rPr>
          <w:rFonts w:ascii="Arial" w:hAnsi="Arial" w:cs="Arial"/>
          <w:sz w:val="22"/>
        </w:rPr>
      </w:pPr>
      <w:r w:rsidRPr="0026456A">
        <w:rPr>
          <w:rFonts w:ascii="Arial" w:hAnsi="Arial" w:cs="Arial"/>
          <w:sz w:val="22"/>
        </w:rPr>
        <w:t xml:space="preserve">• </w:t>
      </w:r>
      <w:r w:rsidR="008C10CF">
        <w:rPr>
          <w:rFonts w:ascii="Arial" w:hAnsi="Arial" w:cs="Arial"/>
          <w:sz w:val="22"/>
        </w:rPr>
        <w:t xml:space="preserve"> </w:t>
      </w:r>
      <w:r w:rsidRPr="0026456A">
        <w:rPr>
          <w:rFonts w:ascii="Arial" w:hAnsi="Arial" w:cs="Arial"/>
          <w:sz w:val="22"/>
        </w:rPr>
        <w:t>pagerinti bendradarbiavimą tarp projekto dalyvių, taikant vieno informacijos šaltinio naudojimą (pagal kontroliuojamą Pirkėjo projektų katalogų struktūrą), sklandžiai valdyti failų versijas, sumažinti klaidų skaičių ir išvengti projekto informacijos dubliavimosi bei didinti projekto darbų efektyvumą;</w:t>
      </w:r>
    </w:p>
    <w:p w14:paraId="59274D06" w14:textId="4B97CC55" w:rsidR="00394E02" w:rsidRPr="0026456A" w:rsidRDefault="00394E02" w:rsidP="008C10CF">
      <w:pPr>
        <w:pStyle w:val="BodyText0"/>
        <w:tabs>
          <w:tab w:val="left" w:pos="993"/>
        </w:tabs>
        <w:spacing w:before="120"/>
        <w:ind w:firstLine="709"/>
        <w:rPr>
          <w:rFonts w:ascii="Arial" w:hAnsi="Arial" w:cs="Arial"/>
          <w:sz w:val="22"/>
        </w:rPr>
      </w:pPr>
      <w:r w:rsidRPr="0026456A">
        <w:rPr>
          <w:rFonts w:ascii="Arial" w:hAnsi="Arial" w:cs="Arial"/>
          <w:sz w:val="22"/>
        </w:rPr>
        <w:t xml:space="preserve">• </w:t>
      </w:r>
      <w:r w:rsidR="008C10CF">
        <w:rPr>
          <w:rFonts w:ascii="Arial" w:hAnsi="Arial" w:cs="Arial"/>
          <w:sz w:val="22"/>
        </w:rPr>
        <w:t xml:space="preserve"> </w:t>
      </w:r>
      <w:r w:rsidRPr="0026456A">
        <w:rPr>
          <w:rFonts w:ascii="Arial" w:hAnsi="Arial" w:cs="Arial"/>
          <w:sz w:val="22"/>
        </w:rPr>
        <w:t>padėti nustatyti su projektiniais sprendiniais susietus neatitikimus, derinti projekto pakeitimus, kurti ir deleguoti užduotis, rašyti pastabas ir jas valdyti CDE aplinkoje;</w:t>
      </w:r>
    </w:p>
    <w:p w14:paraId="53C2C48F" w14:textId="01F8D0DD" w:rsidR="00394E02" w:rsidRDefault="00394E02" w:rsidP="008C10CF">
      <w:pPr>
        <w:pStyle w:val="BodyText0"/>
        <w:tabs>
          <w:tab w:val="left" w:pos="993"/>
        </w:tabs>
        <w:spacing w:before="120"/>
        <w:ind w:firstLine="709"/>
        <w:rPr>
          <w:rFonts w:ascii="Arial" w:hAnsi="Arial" w:cs="Arial"/>
          <w:sz w:val="22"/>
        </w:rPr>
      </w:pPr>
      <w:r w:rsidRPr="0026456A">
        <w:rPr>
          <w:rFonts w:ascii="Arial" w:hAnsi="Arial" w:cs="Arial"/>
          <w:sz w:val="22"/>
        </w:rPr>
        <w:t xml:space="preserve">• </w:t>
      </w:r>
      <w:r w:rsidR="008C10CF">
        <w:rPr>
          <w:rFonts w:ascii="Arial" w:hAnsi="Arial" w:cs="Arial"/>
          <w:sz w:val="22"/>
        </w:rPr>
        <w:t xml:space="preserve"> </w:t>
      </w:r>
      <w:r w:rsidRPr="0026456A">
        <w:rPr>
          <w:rFonts w:ascii="Arial" w:hAnsi="Arial" w:cs="Arial"/>
          <w:sz w:val="22"/>
        </w:rPr>
        <w:t xml:space="preserve">užtikrinti, kad debesijos (angl. </w:t>
      </w:r>
      <w:proofErr w:type="spellStart"/>
      <w:r w:rsidRPr="0026456A">
        <w:rPr>
          <w:rFonts w:ascii="Arial" w:hAnsi="Arial" w:cs="Arial"/>
          <w:sz w:val="22"/>
        </w:rPr>
        <w:t>Cloud</w:t>
      </w:r>
      <w:proofErr w:type="spellEnd"/>
      <w:r w:rsidRPr="0026456A">
        <w:rPr>
          <w:rFonts w:ascii="Arial" w:hAnsi="Arial" w:cs="Arial"/>
          <w:sz w:val="22"/>
        </w:rPr>
        <w:t>) vidinės ir išorinės infrastruktūros aplinkoje būtų išsaugota skaitmeninė informacija eksploatavimo etapui su galimybe pakartotinai naudoti rekonstrukcijos atveju, kaip Pirkėjo nuosavybėje esančia CDE.</w:t>
      </w:r>
    </w:p>
    <w:p w14:paraId="3707F8C6" w14:textId="77777777" w:rsidR="008C10CF" w:rsidRPr="0026456A" w:rsidRDefault="008C10CF" w:rsidP="008C10CF">
      <w:pPr>
        <w:pStyle w:val="BodyText0"/>
        <w:tabs>
          <w:tab w:val="left" w:pos="993"/>
        </w:tabs>
        <w:spacing w:before="120"/>
        <w:ind w:firstLine="709"/>
        <w:rPr>
          <w:rFonts w:ascii="Arial" w:hAnsi="Arial" w:cs="Arial"/>
          <w:sz w:val="22"/>
        </w:rPr>
      </w:pPr>
    </w:p>
    <w:tbl>
      <w:tblPr>
        <w:tblStyle w:val="TableGrid"/>
        <w:tblW w:w="10201" w:type="dxa"/>
        <w:shd w:val="clear" w:color="auto" w:fill="006982"/>
        <w:tblLook w:val="04A0" w:firstRow="1" w:lastRow="0" w:firstColumn="1" w:lastColumn="0" w:noHBand="0" w:noVBand="1"/>
      </w:tblPr>
      <w:tblGrid>
        <w:gridCol w:w="10201"/>
      </w:tblGrid>
      <w:tr w:rsidR="00C10DC4" w:rsidRPr="00F16557" w14:paraId="0945A621" w14:textId="77777777" w:rsidTr="00C10DC4">
        <w:trPr>
          <w:trHeight w:val="416"/>
        </w:trPr>
        <w:tc>
          <w:tcPr>
            <w:tcW w:w="10201" w:type="dxa"/>
            <w:shd w:val="clear" w:color="auto" w:fill="006982"/>
            <w:vAlign w:val="center"/>
          </w:tcPr>
          <w:p w14:paraId="65D075D7" w14:textId="11A654F9" w:rsidR="00C10DC4" w:rsidRPr="00F16557" w:rsidRDefault="00C10DC4" w:rsidP="003F0757">
            <w:pPr>
              <w:jc w:val="left"/>
              <w:rPr>
                <w:rFonts w:ascii="Arial" w:hAnsi="Arial" w:cs="Arial"/>
                <w:b/>
                <w:caps/>
                <w:color w:val="FFFFFF" w:themeColor="background1"/>
                <w:sz w:val="22"/>
                <w:szCs w:val="22"/>
              </w:rPr>
            </w:pPr>
            <w:r w:rsidRPr="00F16557">
              <w:rPr>
                <w:rFonts w:ascii="Arial" w:hAnsi="Arial" w:cs="Arial"/>
                <w:b/>
                <w:caps/>
                <w:color w:val="FFFFFF" w:themeColor="background1"/>
                <w:sz w:val="22"/>
                <w:szCs w:val="22"/>
              </w:rPr>
              <w:t xml:space="preserve">2. </w:t>
            </w:r>
            <w:r w:rsidR="00394E02">
              <w:rPr>
                <w:rFonts w:ascii="Arial" w:hAnsi="Arial" w:cs="Arial"/>
                <w:b/>
                <w:caps/>
                <w:color w:val="FFFFFF" w:themeColor="background1"/>
                <w:sz w:val="22"/>
                <w:szCs w:val="22"/>
              </w:rPr>
              <w:t>Pirkimo apimtys</w:t>
            </w:r>
          </w:p>
        </w:tc>
      </w:tr>
    </w:tbl>
    <w:p w14:paraId="656335F6" w14:textId="2C9A8D6C" w:rsidR="00367A26" w:rsidRPr="00DD7205" w:rsidRDefault="00367A26" w:rsidP="008C10CF">
      <w:pPr>
        <w:pStyle w:val="BodyText0"/>
        <w:numPr>
          <w:ilvl w:val="1"/>
          <w:numId w:val="35"/>
        </w:numPr>
        <w:tabs>
          <w:tab w:val="left" w:pos="993"/>
        </w:tabs>
        <w:spacing w:before="120"/>
        <w:ind w:left="0" w:firstLine="567"/>
        <w:rPr>
          <w:rFonts w:ascii="Arial" w:hAnsi="Arial" w:cs="Arial"/>
          <w:sz w:val="22"/>
        </w:rPr>
      </w:pPr>
      <w:r w:rsidRPr="00DD7205">
        <w:rPr>
          <w:rFonts w:ascii="Arial" w:hAnsi="Arial" w:cs="Arial"/>
          <w:sz w:val="22"/>
        </w:rPr>
        <w:t>Tiekėjas privalo patiekti bendrosios duomenų aplinkos (CDE) programinės įrangos licencij</w:t>
      </w:r>
      <w:r w:rsidR="00340D57" w:rsidRPr="00DD7205">
        <w:rPr>
          <w:rFonts w:ascii="Arial" w:hAnsi="Arial" w:cs="Arial"/>
          <w:sz w:val="22"/>
        </w:rPr>
        <w:t>os</w:t>
      </w:r>
      <w:r w:rsidRPr="00DD7205">
        <w:rPr>
          <w:rFonts w:ascii="Arial" w:hAnsi="Arial" w:cs="Arial"/>
          <w:sz w:val="22"/>
        </w:rPr>
        <w:t xml:space="preserve"> nuomą ir suteikti licencij</w:t>
      </w:r>
      <w:r w:rsidR="00340D57" w:rsidRPr="00DD7205">
        <w:rPr>
          <w:rFonts w:ascii="Arial" w:hAnsi="Arial" w:cs="Arial"/>
          <w:sz w:val="22"/>
        </w:rPr>
        <w:t>os</w:t>
      </w:r>
      <w:r w:rsidRPr="00DD7205">
        <w:rPr>
          <w:rFonts w:ascii="Arial" w:hAnsi="Arial" w:cs="Arial"/>
          <w:sz w:val="22"/>
        </w:rPr>
        <w:t xml:space="preserve"> palaikymo paslaugas. Tiekėjas turi patiekti licencij</w:t>
      </w:r>
      <w:r w:rsidR="00340D57" w:rsidRPr="00DD7205">
        <w:rPr>
          <w:rFonts w:ascii="Arial" w:hAnsi="Arial" w:cs="Arial"/>
          <w:sz w:val="22"/>
        </w:rPr>
        <w:t>ą</w:t>
      </w:r>
      <w:r w:rsidRPr="00DD7205">
        <w:rPr>
          <w:rFonts w:ascii="Arial" w:hAnsi="Arial" w:cs="Arial"/>
          <w:sz w:val="22"/>
        </w:rPr>
        <w:t xml:space="preserve">, atitinkančius Pirkėjo apimtis (parametrus): </w:t>
      </w:r>
    </w:p>
    <w:p w14:paraId="2A1A1235" w14:textId="1EED8066" w:rsidR="00367A26" w:rsidRPr="00DD7205" w:rsidRDefault="00367A26" w:rsidP="00367A26">
      <w:pPr>
        <w:pStyle w:val="BodyText0"/>
        <w:tabs>
          <w:tab w:val="left" w:pos="993"/>
        </w:tabs>
        <w:spacing w:before="120"/>
        <w:ind w:firstLine="540"/>
        <w:rPr>
          <w:rFonts w:ascii="Arial" w:hAnsi="Arial" w:cs="Arial"/>
          <w:color w:val="FF0000"/>
          <w:sz w:val="22"/>
        </w:rPr>
      </w:pPr>
      <w:r w:rsidRPr="0026456A">
        <w:rPr>
          <w:rFonts w:ascii="Arial" w:hAnsi="Arial" w:cs="Arial"/>
          <w:sz w:val="22"/>
        </w:rPr>
        <w:t xml:space="preserve">• </w:t>
      </w:r>
      <w:r w:rsidR="008C10CF">
        <w:rPr>
          <w:rFonts w:ascii="Arial" w:hAnsi="Arial" w:cs="Arial"/>
          <w:sz w:val="22"/>
        </w:rPr>
        <w:t xml:space="preserve"> </w:t>
      </w:r>
      <w:r w:rsidRPr="00686974">
        <w:rPr>
          <w:rFonts w:ascii="Arial" w:hAnsi="Arial" w:cs="Arial"/>
          <w:sz w:val="22"/>
        </w:rPr>
        <w:t>CDE apimtis: iki 35 projektų per metus, su 500 GB talpykla kiekvienam projektui  ir nuo 100 unikalių vartotojų.</w:t>
      </w:r>
    </w:p>
    <w:p w14:paraId="4274178C" w14:textId="4B08CDC0" w:rsidR="00367A26" w:rsidRPr="0026456A" w:rsidRDefault="00367A26" w:rsidP="00686974">
      <w:pPr>
        <w:pStyle w:val="BodyText0"/>
        <w:numPr>
          <w:ilvl w:val="1"/>
          <w:numId w:val="35"/>
        </w:numPr>
        <w:tabs>
          <w:tab w:val="left" w:pos="993"/>
        </w:tabs>
        <w:ind w:hanging="153"/>
        <w:rPr>
          <w:rFonts w:ascii="Arial" w:hAnsi="Arial" w:cs="Arial"/>
          <w:sz w:val="22"/>
        </w:rPr>
      </w:pPr>
      <w:r w:rsidRPr="6FB3C0D8">
        <w:rPr>
          <w:rFonts w:ascii="Arial" w:hAnsi="Arial" w:cs="Arial"/>
          <w:sz w:val="22"/>
        </w:rPr>
        <w:t xml:space="preserve">Tiekėjas sutarties vykdymo metu turės vykdyti CDE konfigūravimo konsultacijas  ir CDE aplinkos mokymus </w:t>
      </w:r>
    </w:p>
    <w:p w14:paraId="69A365F2" w14:textId="77777777" w:rsidR="00D94E4F" w:rsidRDefault="00367A26" w:rsidP="00D94E4F">
      <w:pPr>
        <w:pStyle w:val="BodyText0"/>
        <w:numPr>
          <w:ilvl w:val="1"/>
          <w:numId w:val="35"/>
        </w:numPr>
        <w:tabs>
          <w:tab w:val="left" w:pos="993"/>
        </w:tabs>
        <w:ind w:hanging="153"/>
        <w:rPr>
          <w:rFonts w:ascii="Arial" w:hAnsi="Arial" w:cs="Arial"/>
          <w:sz w:val="22"/>
        </w:rPr>
      </w:pPr>
      <w:r w:rsidRPr="6FB3C0D8">
        <w:rPr>
          <w:rFonts w:ascii="Arial" w:hAnsi="Arial" w:cs="Arial"/>
          <w:sz w:val="22"/>
        </w:rPr>
        <w:t xml:space="preserve">Bendrosios duomenų aplinkos (angl. </w:t>
      </w:r>
      <w:proofErr w:type="spellStart"/>
      <w:r w:rsidRPr="6FB3C0D8">
        <w:rPr>
          <w:rFonts w:ascii="Arial" w:hAnsi="Arial" w:cs="Arial"/>
          <w:sz w:val="22"/>
        </w:rPr>
        <w:t>Common</w:t>
      </w:r>
      <w:proofErr w:type="spellEnd"/>
      <w:r w:rsidRPr="6FB3C0D8">
        <w:rPr>
          <w:rFonts w:ascii="Arial" w:hAnsi="Arial" w:cs="Arial"/>
          <w:sz w:val="22"/>
        </w:rPr>
        <w:t xml:space="preserve"> Data </w:t>
      </w:r>
      <w:proofErr w:type="spellStart"/>
      <w:r w:rsidRPr="6FB3C0D8">
        <w:rPr>
          <w:rFonts w:ascii="Arial" w:hAnsi="Arial" w:cs="Arial"/>
          <w:sz w:val="22"/>
        </w:rPr>
        <w:t>Environment</w:t>
      </w:r>
      <w:proofErr w:type="spellEnd"/>
      <w:r w:rsidRPr="6FB3C0D8">
        <w:rPr>
          <w:rFonts w:ascii="Arial" w:hAnsi="Arial" w:cs="Arial"/>
          <w:sz w:val="22"/>
        </w:rPr>
        <w:t xml:space="preserve"> - CDE) programinės įrangos </w:t>
      </w:r>
    </w:p>
    <w:p w14:paraId="7AB832FE" w14:textId="57D0358E" w:rsidR="00367A26" w:rsidRPr="0026456A" w:rsidRDefault="00367A26" w:rsidP="00D94E4F">
      <w:pPr>
        <w:pStyle w:val="BodyText0"/>
        <w:tabs>
          <w:tab w:val="left" w:pos="993"/>
        </w:tabs>
        <w:ind w:firstLine="0"/>
        <w:rPr>
          <w:rFonts w:ascii="Arial" w:hAnsi="Arial" w:cs="Arial"/>
          <w:sz w:val="22"/>
        </w:rPr>
      </w:pPr>
      <w:r w:rsidRPr="6FB3C0D8">
        <w:rPr>
          <w:rFonts w:ascii="Arial" w:hAnsi="Arial" w:cs="Arial"/>
          <w:sz w:val="22"/>
        </w:rPr>
        <w:t xml:space="preserve">licencijų nuoma su palaikymo paslaugomis bus teikiama ne ilgiau nei 36 mėnesius, priklausomai nuo prekių užsakymo datos (įskaitant licencijų aktyvavimą, konfigūravimą ir mokymus). </w:t>
      </w:r>
    </w:p>
    <w:p w14:paraId="07893203" w14:textId="45DA47DB" w:rsidR="00367A26" w:rsidRPr="0026456A" w:rsidRDefault="00367A26" w:rsidP="00D94E4F">
      <w:pPr>
        <w:pStyle w:val="BodyText0"/>
        <w:numPr>
          <w:ilvl w:val="1"/>
          <w:numId w:val="35"/>
        </w:numPr>
        <w:tabs>
          <w:tab w:val="left" w:pos="993"/>
        </w:tabs>
        <w:ind w:hanging="153"/>
        <w:rPr>
          <w:rFonts w:ascii="Arial" w:hAnsi="Arial" w:cs="Arial"/>
          <w:sz w:val="22"/>
        </w:rPr>
      </w:pPr>
      <w:r w:rsidRPr="6FB3C0D8">
        <w:rPr>
          <w:rFonts w:ascii="Arial" w:hAnsi="Arial" w:cs="Arial"/>
          <w:sz w:val="22"/>
        </w:rPr>
        <w:t xml:space="preserve">Prekių teikimo pradžia – tik el. paštu gavus atskirą Pirkėjo raštišką prašymą pradėti tiekti Prekes. </w:t>
      </w:r>
    </w:p>
    <w:p w14:paraId="71D31BC3" w14:textId="77777777" w:rsidR="00D94E4F" w:rsidRDefault="00367A26" w:rsidP="00D94E4F">
      <w:pPr>
        <w:pStyle w:val="BodyText0"/>
        <w:numPr>
          <w:ilvl w:val="1"/>
          <w:numId w:val="35"/>
        </w:numPr>
        <w:tabs>
          <w:tab w:val="left" w:pos="993"/>
        </w:tabs>
        <w:ind w:hanging="153"/>
        <w:rPr>
          <w:rFonts w:ascii="Arial" w:hAnsi="Arial" w:cs="Arial"/>
          <w:sz w:val="22"/>
        </w:rPr>
      </w:pPr>
      <w:r w:rsidRPr="0026456A">
        <w:rPr>
          <w:rFonts w:ascii="Arial" w:hAnsi="Arial" w:cs="Arial"/>
          <w:sz w:val="22"/>
        </w:rPr>
        <w:t xml:space="preserve">Tiekėjas privalo užtikrinti, kad bus aktyvuota CDE licencija ir prieiga prisijungti Pirkėjo CDE </w:t>
      </w:r>
    </w:p>
    <w:p w14:paraId="35505AC2" w14:textId="37848445" w:rsidR="00367A26" w:rsidRPr="0026456A" w:rsidRDefault="00367A26" w:rsidP="00D94E4F">
      <w:pPr>
        <w:pStyle w:val="BodyText0"/>
        <w:tabs>
          <w:tab w:val="left" w:pos="993"/>
        </w:tabs>
        <w:ind w:firstLine="0"/>
        <w:rPr>
          <w:rFonts w:ascii="Arial" w:hAnsi="Arial" w:cs="Arial"/>
          <w:sz w:val="22"/>
        </w:rPr>
      </w:pPr>
      <w:r w:rsidRPr="0026456A">
        <w:rPr>
          <w:rFonts w:ascii="Arial" w:hAnsi="Arial" w:cs="Arial"/>
          <w:sz w:val="22"/>
        </w:rPr>
        <w:t xml:space="preserve">administruojantiems vartotojams ne vėliau nei per 20 d. d. nuo </w:t>
      </w:r>
      <w:r>
        <w:rPr>
          <w:rFonts w:ascii="Arial" w:hAnsi="Arial" w:cs="Arial"/>
          <w:sz w:val="22"/>
        </w:rPr>
        <w:t>Prekių</w:t>
      </w:r>
      <w:r w:rsidRPr="0026456A">
        <w:rPr>
          <w:rFonts w:ascii="Arial" w:hAnsi="Arial" w:cs="Arial"/>
          <w:sz w:val="22"/>
        </w:rPr>
        <w:t xml:space="preserve"> užsakymo pateikimo datos.</w:t>
      </w:r>
    </w:p>
    <w:p w14:paraId="76EB6F2E" w14:textId="54A73D88" w:rsidR="002C1403" w:rsidRDefault="002C1403" w:rsidP="00920B65">
      <w:pPr>
        <w:jc w:val="left"/>
        <w:rPr>
          <w:rFonts w:ascii="Arial" w:hAnsi="Arial" w:cs="Arial"/>
          <w:b/>
          <w:caps/>
          <w:sz w:val="22"/>
          <w:szCs w:val="22"/>
        </w:rPr>
      </w:pPr>
    </w:p>
    <w:tbl>
      <w:tblPr>
        <w:tblStyle w:val="TableGrid"/>
        <w:tblW w:w="10201" w:type="dxa"/>
        <w:shd w:val="clear" w:color="auto" w:fill="006982"/>
        <w:tblLook w:val="04A0" w:firstRow="1" w:lastRow="0" w:firstColumn="1" w:lastColumn="0" w:noHBand="0" w:noVBand="1"/>
      </w:tblPr>
      <w:tblGrid>
        <w:gridCol w:w="10201"/>
      </w:tblGrid>
      <w:tr w:rsidR="00594D16" w:rsidRPr="00F16557" w14:paraId="3858FE48" w14:textId="77777777" w:rsidTr="00736477">
        <w:trPr>
          <w:trHeight w:val="416"/>
        </w:trPr>
        <w:tc>
          <w:tcPr>
            <w:tcW w:w="10201" w:type="dxa"/>
            <w:shd w:val="clear" w:color="auto" w:fill="006982"/>
            <w:vAlign w:val="center"/>
          </w:tcPr>
          <w:p w14:paraId="6F8E1217" w14:textId="77777777" w:rsidR="00594D16" w:rsidRPr="00367A26" w:rsidRDefault="00594D16" w:rsidP="00736477">
            <w:pPr>
              <w:rPr>
                <w:rFonts w:ascii="Arial" w:hAnsi="Arial" w:cs="Arial"/>
                <w:b/>
                <w:caps/>
                <w:color w:val="FFFFFF" w:themeColor="background1"/>
                <w:sz w:val="22"/>
              </w:rPr>
            </w:pPr>
            <w:r>
              <w:rPr>
                <w:rFonts w:ascii="Arial" w:hAnsi="Arial" w:cs="Arial"/>
                <w:b/>
                <w:caps/>
                <w:color w:val="FFFFFF" w:themeColor="background1"/>
                <w:sz w:val="22"/>
              </w:rPr>
              <w:t>3.techniniai reikalavimai</w:t>
            </w:r>
          </w:p>
        </w:tc>
      </w:tr>
    </w:tbl>
    <w:p w14:paraId="149F561F" w14:textId="559CA834" w:rsidR="00335D29" w:rsidRPr="005112B0" w:rsidRDefault="00335D29" w:rsidP="00D94E4F">
      <w:pPr>
        <w:pStyle w:val="BodyText0"/>
        <w:numPr>
          <w:ilvl w:val="1"/>
          <w:numId w:val="36"/>
        </w:numPr>
        <w:tabs>
          <w:tab w:val="left" w:pos="993"/>
        </w:tabs>
        <w:spacing w:before="120"/>
        <w:ind w:left="0" w:firstLine="567"/>
        <w:rPr>
          <w:rFonts w:ascii="Arial" w:hAnsi="Arial" w:cs="Arial"/>
          <w:b/>
          <w:bCs/>
          <w:color w:val="FF0000"/>
          <w:sz w:val="22"/>
        </w:rPr>
      </w:pPr>
      <w:r w:rsidRPr="00D94E4F">
        <w:rPr>
          <w:rFonts w:ascii="Arial" w:hAnsi="Arial" w:cs="Arial"/>
          <w:sz w:val="22"/>
        </w:rPr>
        <w:t xml:space="preserve">Tiekėjas turi būti Bendrosios duomenų aplinkos (angl. </w:t>
      </w:r>
      <w:proofErr w:type="spellStart"/>
      <w:r w:rsidRPr="00D94E4F">
        <w:rPr>
          <w:rFonts w:ascii="Arial" w:hAnsi="Arial" w:cs="Arial"/>
          <w:sz w:val="22"/>
        </w:rPr>
        <w:t>Common</w:t>
      </w:r>
      <w:proofErr w:type="spellEnd"/>
      <w:r w:rsidRPr="00D94E4F">
        <w:rPr>
          <w:rFonts w:ascii="Arial" w:hAnsi="Arial" w:cs="Arial"/>
          <w:sz w:val="22"/>
        </w:rPr>
        <w:t xml:space="preserve"> Data </w:t>
      </w:r>
      <w:proofErr w:type="spellStart"/>
      <w:r w:rsidRPr="00D94E4F">
        <w:rPr>
          <w:rFonts w:ascii="Arial" w:hAnsi="Arial" w:cs="Arial"/>
          <w:sz w:val="22"/>
        </w:rPr>
        <w:t>Environment</w:t>
      </w:r>
      <w:proofErr w:type="spellEnd"/>
      <w:r w:rsidRPr="00D94E4F">
        <w:rPr>
          <w:rFonts w:ascii="Arial" w:hAnsi="Arial" w:cs="Arial"/>
          <w:sz w:val="22"/>
        </w:rPr>
        <w:t xml:space="preserve"> - CDE) </w:t>
      </w:r>
      <w:r w:rsidRPr="00C75B93">
        <w:rPr>
          <w:rFonts w:ascii="Arial" w:hAnsi="Arial" w:cs="Arial"/>
          <w:b/>
          <w:bCs/>
          <w:color w:val="FF0000"/>
          <w:sz w:val="22"/>
          <w:u w:val="single"/>
        </w:rPr>
        <w:t>licencijų gamintojo oficialus (sertifikuotas)</w:t>
      </w:r>
      <w:r w:rsidRPr="00C75B93">
        <w:rPr>
          <w:rFonts w:ascii="Arial" w:hAnsi="Arial" w:cs="Arial"/>
          <w:color w:val="FF0000"/>
          <w:sz w:val="22"/>
          <w:u w:val="single"/>
        </w:rPr>
        <w:t xml:space="preserve"> atstovas bei turėti statusą, suteikiantį teisę parduoti, išnuomoti siūlomas licencijas Lietuvos Respublikoje, ir </w:t>
      </w:r>
      <w:r w:rsidRPr="00C75B93">
        <w:rPr>
          <w:rFonts w:ascii="Arial" w:hAnsi="Arial" w:cs="Arial"/>
          <w:b/>
          <w:bCs/>
          <w:color w:val="FF0000"/>
          <w:sz w:val="22"/>
          <w:u w:val="single"/>
        </w:rPr>
        <w:t>kartu su pasiūlymu</w:t>
      </w:r>
      <w:r w:rsidRPr="00C75B93">
        <w:rPr>
          <w:rFonts w:ascii="Arial" w:hAnsi="Arial" w:cs="Arial"/>
          <w:color w:val="FF0000"/>
          <w:sz w:val="22"/>
          <w:u w:val="single"/>
        </w:rPr>
        <w:t xml:space="preserve"> </w:t>
      </w:r>
      <w:r w:rsidRPr="00C75B93">
        <w:rPr>
          <w:rFonts w:ascii="Arial" w:hAnsi="Arial" w:cs="Arial"/>
          <w:b/>
          <w:bCs/>
          <w:color w:val="FF0000"/>
          <w:sz w:val="22"/>
          <w:u w:val="single"/>
        </w:rPr>
        <w:t>privalo pateikti tai patvirtinančius dokumentus/įrodymus.</w:t>
      </w:r>
      <w:r w:rsidRPr="005112B0">
        <w:rPr>
          <w:rFonts w:ascii="Arial" w:hAnsi="Arial" w:cs="Arial"/>
          <w:b/>
          <w:bCs/>
          <w:color w:val="FF0000"/>
          <w:sz w:val="22"/>
        </w:rPr>
        <w:t xml:space="preserve"> </w:t>
      </w:r>
    </w:p>
    <w:p w14:paraId="3FB7A74C" w14:textId="6CF266B1" w:rsidR="00335D29" w:rsidRPr="0026456A" w:rsidRDefault="00335D29" w:rsidP="00335D29">
      <w:pPr>
        <w:pStyle w:val="BodyText0"/>
        <w:tabs>
          <w:tab w:val="left" w:pos="993"/>
        </w:tabs>
        <w:spacing w:before="120"/>
        <w:rPr>
          <w:rFonts w:ascii="Arial" w:hAnsi="Arial" w:cs="Arial"/>
          <w:sz w:val="22"/>
        </w:rPr>
      </w:pPr>
      <w:r w:rsidRPr="0026456A">
        <w:rPr>
          <w:rFonts w:ascii="Arial" w:hAnsi="Arial" w:cs="Arial"/>
          <w:sz w:val="22"/>
        </w:rPr>
        <w:t>3.</w:t>
      </w:r>
      <w:r w:rsidR="00D94E4F">
        <w:rPr>
          <w:rFonts w:ascii="Arial" w:hAnsi="Arial" w:cs="Arial"/>
          <w:sz w:val="22"/>
        </w:rPr>
        <w:t>2</w:t>
      </w:r>
      <w:r w:rsidRPr="0026456A">
        <w:rPr>
          <w:rFonts w:ascii="Arial" w:hAnsi="Arial" w:cs="Arial"/>
          <w:sz w:val="22"/>
        </w:rPr>
        <w:t xml:space="preserve">. Bendrosios duomenų aplinkos (CDE) privalomieji reikalavimai, kurie turi būti tenkinami </w:t>
      </w:r>
      <w:r w:rsidRPr="0026456A">
        <w:rPr>
          <w:rFonts w:ascii="Arial" w:hAnsi="Arial" w:cs="Arial"/>
          <w:b/>
          <w:bCs/>
          <w:sz w:val="22"/>
        </w:rPr>
        <w:t>privaloma tvarka</w:t>
      </w:r>
      <w:r w:rsidRPr="0026456A">
        <w:rPr>
          <w:rFonts w:ascii="Arial" w:hAnsi="Arial" w:cs="Arial"/>
          <w:sz w:val="22"/>
        </w:rPr>
        <w:t xml:space="preserve"> pateikiant Tiekėjų pasiūlymus:</w:t>
      </w:r>
    </w:p>
    <w:p w14:paraId="0399E5C1" w14:textId="77777777" w:rsidR="00335D29" w:rsidRPr="0026456A" w:rsidRDefault="00335D29" w:rsidP="00335D29">
      <w:pPr>
        <w:pStyle w:val="BodyText0"/>
        <w:tabs>
          <w:tab w:val="left" w:pos="993"/>
        </w:tabs>
        <w:spacing w:before="120"/>
        <w:ind w:left="567" w:firstLine="0"/>
        <w:rPr>
          <w:rFonts w:ascii="Arial" w:hAnsi="Arial" w:cs="Arial"/>
          <w:sz w:val="22"/>
        </w:rPr>
      </w:pPr>
    </w:p>
    <w:tbl>
      <w:tblPr>
        <w:tblStyle w:val="TableNormal1"/>
        <w:tblW w:w="1020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229"/>
        <w:gridCol w:w="8977"/>
      </w:tblGrid>
      <w:tr w:rsidR="00335D29" w:rsidRPr="0026456A" w14:paraId="29D6568C" w14:textId="77777777" w:rsidTr="00736477">
        <w:trPr>
          <w:trHeight w:val="514"/>
        </w:trPr>
        <w:tc>
          <w:tcPr>
            <w:tcW w:w="1229" w:type="dxa"/>
          </w:tcPr>
          <w:p w14:paraId="420FDA1B" w14:textId="77777777" w:rsidR="00335D29" w:rsidRPr="0026456A" w:rsidRDefault="00335D29" w:rsidP="00736477">
            <w:pPr>
              <w:pStyle w:val="TableParagraph"/>
              <w:spacing w:before="122" w:line="240" w:lineRule="auto"/>
              <w:ind w:left="104" w:right="99"/>
              <w:jc w:val="center"/>
              <w:rPr>
                <w:rFonts w:ascii="Arial" w:hAnsi="Arial" w:cs="Arial"/>
                <w:lang w:val="lt-LT"/>
              </w:rPr>
            </w:pPr>
            <w:r w:rsidRPr="0026456A">
              <w:rPr>
                <w:rFonts w:ascii="Arial" w:hAnsi="Arial" w:cs="Arial"/>
                <w:lang w:val="lt-LT"/>
              </w:rPr>
              <w:t>Nr.</w:t>
            </w:r>
          </w:p>
        </w:tc>
        <w:tc>
          <w:tcPr>
            <w:tcW w:w="8977" w:type="dxa"/>
          </w:tcPr>
          <w:p w14:paraId="752F121A" w14:textId="77777777" w:rsidR="00335D29" w:rsidRPr="0026456A" w:rsidRDefault="00335D29" w:rsidP="00736477">
            <w:pPr>
              <w:pStyle w:val="TableParagraph"/>
              <w:spacing w:before="122" w:line="240" w:lineRule="auto"/>
              <w:ind w:left="3050" w:right="3045"/>
              <w:jc w:val="center"/>
              <w:rPr>
                <w:rFonts w:ascii="Arial" w:hAnsi="Arial" w:cs="Arial"/>
                <w:lang w:val="lt-LT"/>
              </w:rPr>
            </w:pPr>
            <w:r w:rsidRPr="0026456A">
              <w:rPr>
                <w:rFonts w:ascii="Arial" w:hAnsi="Arial" w:cs="Arial"/>
                <w:lang w:val="lt-LT"/>
              </w:rPr>
              <w:t>Reikalavimas</w:t>
            </w:r>
          </w:p>
        </w:tc>
      </w:tr>
      <w:tr w:rsidR="00335D29" w:rsidRPr="0026456A" w14:paraId="2B8C25EB" w14:textId="77777777" w:rsidTr="00736477">
        <w:trPr>
          <w:trHeight w:val="268"/>
        </w:trPr>
        <w:tc>
          <w:tcPr>
            <w:tcW w:w="1229" w:type="dxa"/>
          </w:tcPr>
          <w:p w14:paraId="1EC3104E" w14:textId="77777777" w:rsidR="00335D29" w:rsidRPr="0026456A" w:rsidRDefault="00335D29" w:rsidP="00736477">
            <w:pPr>
              <w:pStyle w:val="TableParagraph"/>
              <w:spacing w:line="248" w:lineRule="exact"/>
              <w:ind w:left="6"/>
              <w:jc w:val="center"/>
              <w:rPr>
                <w:rFonts w:ascii="Arial" w:hAnsi="Arial" w:cs="Arial"/>
                <w:lang w:val="lt-LT"/>
              </w:rPr>
            </w:pPr>
            <w:r w:rsidRPr="0026456A">
              <w:rPr>
                <w:rFonts w:ascii="Arial" w:hAnsi="Arial" w:cs="Arial"/>
                <w:w w:val="99"/>
                <w:lang w:val="lt-LT"/>
              </w:rPr>
              <w:t>1</w:t>
            </w:r>
          </w:p>
        </w:tc>
        <w:tc>
          <w:tcPr>
            <w:tcW w:w="8977" w:type="dxa"/>
          </w:tcPr>
          <w:p w14:paraId="3C5532D7" w14:textId="77777777" w:rsidR="00335D29" w:rsidRPr="0026456A" w:rsidRDefault="00335D29" w:rsidP="00736477">
            <w:pPr>
              <w:pStyle w:val="TableParagraph"/>
              <w:spacing w:line="248" w:lineRule="exact"/>
              <w:ind w:left="6"/>
              <w:jc w:val="center"/>
              <w:rPr>
                <w:rFonts w:ascii="Arial" w:hAnsi="Arial" w:cs="Arial"/>
                <w:lang w:val="lt-LT"/>
              </w:rPr>
            </w:pPr>
            <w:r w:rsidRPr="0026456A">
              <w:rPr>
                <w:rFonts w:ascii="Arial" w:hAnsi="Arial" w:cs="Arial"/>
                <w:w w:val="99"/>
                <w:lang w:val="lt-LT"/>
              </w:rPr>
              <w:t>2</w:t>
            </w:r>
          </w:p>
        </w:tc>
      </w:tr>
      <w:tr w:rsidR="00335D29" w:rsidRPr="0026456A" w14:paraId="35915BB7" w14:textId="77777777" w:rsidTr="00736477">
        <w:trPr>
          <w:trHeight w:val="537"/>
        </w:trPr>
        <w:tc>
          <w:tcPr>
            <w:tcW w:w="1229" w:type="dxa"/>
          </w:tcPr>
          <w:p w14:paraId="3A976A9C" w14:textId="77777777" w:rsidR="00335D29" w:rsidRPr="0026456A" w:rsidRDefault="00335D29" w:rsidP="00736477">
            <w:pPr>
              <w:pStyle w:val="TableParagraph"/>
              <w:spacing w:line="240" w:lineRule="auto"/>
              <w:ind w:left="0"/>
              <w:jc w:val="center"/>
              <w:rPr>
                <w:rFonts w:ascii="Arial" w:hAnsi="Arial" w:cs="Arial"/>
                <w:b/>
                <w:bCs/>
                <w:lang w:val="lt-LT"/>
              </w:rPr>
            </w:pPr>
            <w:r w:rsidRPr="0026456A">
              <w:rPr>
                <w:rFonts w:ascii="Arial" w:hAnsi="Arial" w:cs="Arial"/>
                <w:b/>
                <w:bCs/>
                <w:lang w:val="lt-LT"/>
              </w:rPr>
              <w:t>1.</w:t>
            </w:r>
          </w:p>
        </w:tc>
        <w:tc>
          <w:tcPr>
            <w:tcW w:w="8977" w:type="dxa"/>
          </w:tcPr>
          <w:p w14:paraId="5DE1AC06" w14:textId="77777777" w:rsidR="00335D29" w:rsidRPr="0026456A" w:rsidRDefault="00335D29" w:rsidP="00736477">
            <w:pPr>
              <w:pStyle w:val="TableParagraph"/>
              <w:spacing w:line="248" w:lineRule="exact"/>
              <w:rPr>
                <w:rFonts w:ascii="Arial" w:hAnsi="Arial" w:cs="Arial"/>
                <w:b/>
                <w:lang w:val="lt-LT"/>
              </w:rPr>
            </w:pPr>
            <w:r w:rsidRPr="0026456A">
              <w:rPr>
                <w:rFonts w:ascii="Arial" w:hAnsi="Arial" w:cs="Arial"/>
                <w:b/>
                <w:lang w:val="lt-LT"/>
              </w:rPr>
              <w:t>Bendrieji reikalavimai (angl. Basic)</w:t>
            </w:r>
          </w:p>
        </w:tc>
      </w:tr>
      <w:tr w:rsidR="00335D29" w:rsidRPr="0026456A" w14:paraId="001ED579" w14:textId="77777777" w:rsidTr="00736477">
        <w:trPr>
          <w:trHeight w:val="804"/>
        </w:trPr>
        <w:tc>
          <w:tcPr>
            <w:tcW w:w="1229" w:type="dxa"/>
          </w:tcPr>
          <w:p w14:paraId="247846C9" w14:textId="77777777" w:rsidR="00335D29" w:rsidRPr="0026456A" w:rsidRDefault="00335D29" w:rsidP="00736477">
            <w:pPr>
              <w:pStyle w:val="TableParagraph"/>
              <w:spacing w:line="240" w:lineRule="auto"/>
              <w:ind w:left="106" w:right="98"/>
              <w:jc w:val="center"/>
              <w:rPr>
                <w:rFonts w:ascii="Arial" w:hAnsi="Arial" w:cs="Arial"/>
                <w:lang w:val="lt-LT"/>
              </w:rPr>
            </w:pPr>
            <w:r w:rsidRPr="0026456A">
              <w:rPr>
                <w:rFonts w:ascii="Arial" w:hAnsi="Arial" w:cs="Arial"/>
                <w:lang w:val="lt-LT"/>
              </w:rPr>
              <w:lastRenderedPageBreak/>
              <w:t>1.1</w:t>
            </w:r>
          </w:p>
        </w:tc>
        <w:tc>
          <w:tcPr>
            <w:tcW w:w="8977" w:type="dxa"/>
          </w:tcPr>
          <w:p w14:paraId="3540558D" w14:textId="77777777" w:rsidR="00335D29" w:rsidRPr="0026456A" w:rsidRDefault="00335D29" w:rsidP="00736477">
            <w:pPr>
              <w:pStyle w:val="TableParagraph"/>
              <w:spacing w:line="240" w:lineRule="auto"/>
              <w:rPr>
                <w:rFonts w:ascii="Arial" w:hAnsi="Arial" w:cs="Arial"/>
                <w:lang w:val="lt-LT"/>
              </w:rPr>
            </w:pPr>
            <w:r w:rsidRPr="0026456A">
              <w:rPr>
                <w:rFonts w:ascii="Arial" w:hAnsi="Arial" w:cs="Arial"/>
                <w:lang w:val="lt-LT"/>
              </w:rPr>
              <w:t>Bendroji duomenų aplinka (CDE) turi atitikti duomenų saugumo ir bendro projektų valdymo procesų principus bei būti tinkama ne tik pastato bet Susisiekimo komunikacijų infrastruktūros (linijinių) projektų dokumentacijai valdyti.</w:t>
            </w:r>
          </w:p>
        </w:tc>
      </w:tr>
      <w:tr w:rsidR="00335D29" w:rsidRPr="0026456A" w14:paraId="71A88474" w14:textId="77777777" w:rsidTr="00736477">
        <w:trPr>
          <w:trHeight w:val="1075"/>
        </w:trPr>
        <w:tc>
          <w:tcPr>
            <w:tcW w:w="1229" w:type="dxa"/>
          </w:tcPr>
          <w:p w14:paraId="39F02EDE" w14:textId="77777777" w:rsidR="00335D29" w:rsidRPr="0026456A" w:rsidRDefault="00335D29" w:rsidP="00736477">
            <w:pPr>
              <w:pStyle w:val="TableParagraph"/>
              <w:spacing w:line="240" w:lineRule="auto"/>
              <w:ind w:left="106" w:right="98"/>
              <w:jc w:val="center"/>
              <w:rPr>
                <w:rFonts w:ascii="Arial" w:hAnsi="Arial" w:cs="Arial"/>
                <w:lang w:val="lt-LT"/>
              </w:rPr>
            </w:pPr>
            <w:r w:rsidRPr="0026456A">
              <w:rPr>
                <w:rFonts w:ascii="Arial" w:hAnsi="Arial" w:cs="Arial"/>
                <w:lang w:val="lt-LT"/>
              </w:rPr>
              <w:t>1.2</w:t>
            </w:r>
          </w:p>
        </w:tc>
        <w:tc>
          <w:tcPr>
            <w:tcW w:w="8977" w:type="dxa"/>
          </w:tcPr>
          <w:p w14:paraId="4E42BF0F" w14:textId="77777777" w:rsidR="00335D29" w:rsidRPr="0026456A" w:rsidRDefault="00335D29" w:rsidP="00736477">
            <w:pPr>
              <w:pStyle w:val="TableParagraph"/>
              <w:spacing w:line="270" w:lineRule="atLeast"/>
              <w:ind w:right="97"/>
              <w:jc w:val="both"/>
              <w:rPr>
                <w:rFonts w:ascii="Arial" w:hAnsi="Arial" w:cs="Arial"/>
                <w:lang w:val="lt-LT"/>
              </w:rPr>
            </w:pPr>
            <w:r w:rsidRPr="0026456A">
              <w:rPr>
                <w:rFonts w:ascii="Arial" w:hAnsi="Arial" w:cs="Arial"/>
                <w:lang w:val="lt-LT"/>
              </w:rPr>
              <w:t xml:space="preserve">Turi būti užtikrinta galimybė naudoti CDE aplinką, sukauptus dokumentus ir informaciją per projekto gyvavimo ciklo (angl. Project </w:t>
            </w:r>
            <w:proofErr w:type="spellStart"/>
            <w:r w:rsidRPr="0026456A">
              <w:rPr>
                <w:rFonts w:ascii="Arial" w:hAnsi="Arial" w:cs="Arial"/>
                <w:lang w:val="lt-LT"/>
              </w:rPr>
              <w:t>Life-Cycle</w:t>
            </w:r>
            <w:proofErr w:type="spellEnd"/>
            <w:r w:rsidRPr="0026456A">
              <w:rPr>
                <w:rFonts w:ascii="Arial" w:hAnsi="Arial" w:cs="Arial"/>
                <w:lang w:val="lt-LT"/>
              </w:rPr>
              <w:t>) etapus, įskaitant projektavimo, statybos ir naudojimo (eksploatacijos) etapus, taikant informacijos valdymo vienoje CDE aplinkoje principą pagal BIM metodologiją.</w:t>
            </w:r>
          </w:p>
        </w:tc>
      </w:tr>
      <w:tr w:rsidR="00335D29" w:rsidRPr="0026456A" w14:paraId="00107F06" w14:textId="77777777" w:rsidTr="00736477">
        <w:trPr>
          <w:trHeight w:val="1069"/>
        </w:trPr>
        <w:tc>
          <w:tcPr>
            <w:tcW w:w="1229" w:type="dxa"/>
          </w:tcPr>
          <w:p w14:paraId="68EE4675" w14:textId="77777777" w:rsidR="00335D29" w:rsidRPr="0026456A" w:rsidRDefault="00335D29" w:rsidP="00736477">
            <w:pPr>
              <w:pStyle w:val="TableParagraph"/>
              <w:spacing w:line="264" w:lineRule="exact"/>
              <w:ind w:left="106" w:right="98"/>
              <w:jc w:val="center"/>
              <w:rPr>
                <w:rFonts w:ascii="Arial" w:hAnsi="Arial" w:cs="Arial"/>
                <w:lang w:val="lt-LT"/>
              </w:rPr>
            </w:pPr>
            <w:r w:rsidRPr="0026456A">
              <w:rPr>
                <w:rFonts w:ascii="Arial" w:hAnsi="Arial" w:cs="Arial"/>
                <w:lang w:val="lt-LT"/>
              </w:rPr>
              <w:t>1.3</w:t>
            </w:r>
          </w:p>
        </w:tc>
        <w:tc>
          <w:tcPr>
            <w:tcW w:w="8977" w:type="dxa"/>
          </w:tcPr>
          <w:p w14:paraId="1811DB23" w14:textId="77777777" w:rsidR="00335D29" w:rsidRPr="0026456A" w:rsidRDefault="00335D29" w:rsidP="00736477">
            <w:pPr>
              <w:pStyle w:val="TableParagraph"/>
              <w:spacing w:line="240" w:lineRule="auto"/>
              <w:ind w:right="98"/>
              <w:jc w:val="both"/>
              <w:rPr>
                <w:rFonts w:ascii="Arial" w:hAnsi="Arial" w:cs="Arial"/>
                <w:lang w:val="lt-LT"/>
              </w:rPr>
            </w:pPr>
            <w:r w:rsidRPr="0026456A">
              <w:rPr>
                <w:rFonts w:ascii="Arial" w:hAnsi="Arial" w:cs="Arial"/>
                <w:lang w:val="lt-LT"/>
              </w:rPr>
              <w:t xml:space="preserve">CDE turi veikti, kaip debesijos (angl. </w:t>
            </w:r>
            <w:proofErr w:type="spellStart"/>
            <w:r w:rsidRPr="0026456A">
              <w:rPr>
                <w:rFonts w:ascii="Arial" w:hAnsi="Arial" w:cs="Arial"/>
                <w:lang w:val="lt-LT"/>
              </w:rPr>
              <w:t>Cloud</w:t>
            </w:r>
            <w:proofErr w:type="spellEnd"/>
            <w:r w:rsidRPr="0026456A">
              <w:rPr>
                <w:rFonts w:ascii="Arial" w:hAnsi="Arial" w:cs="Arial"/>
                <w:lang w:val="lt-LT"/>
              </w:rPr>
              <w:t>) vidinės ir išorinės infrastruktūros platforma su kontroliuojama katalogų struktūra bei visais projekto etapais turi būti užtikrinta galimybė dalintis projekto informacija su visais projekto dalyviais (projektuotojų, ekspertų, rangovų ir užsakovo atstovais).</w:t>
            </w:r>
          </w:p>
        </w:tc>
      </w:tr>
      <w:tr w:rsidR="00335D29" w:rsidRPr="0026456A" w14:paraId="232C0156" w14:textId="77777777" w:rsidTr="00736477">
        <w:trPr>
          <w:trHeight w:val="806"/>
        </w:trPr>
        <w:tc>
          <w:tcPr>
            <w:tcW w:w="1229" w:type="dxa"/>
          </w:tcPr>
          <w:p w14:paraId="13E5AA3A" w14:textId="77777777" w:rsidR="00335D29" w:rsidRPr="0026456A" w:rsidRDefault="00335D29" w:rsidP="00736477">
            <w:pPr>
              <w:pStyle w:val="TableParagraph"/>
              <w:spacing w:line="240" w:lineRule="auto"/>
              <w:ind w:left="106" w:right="98"/>
              <w:jc w:val="center"/>
              <w:rPr>
                <w:rFonts w:ascii="Arial" w:hAnsi="Arial" w:cs="Arial"/>
                <w:lang w:val="lt-LT"/>
              </w:rPr>
            </w:pPr>
            <w:r w:rsidRPr="0026456A">
              <w:rPr>
                <w:rFonts w:ascii="Arial" w:hAnsi="Arial" w:cs="Arial"/>
                <w:lang w:val="lt-LT"/>
              </w:rPr>
              <w:t>1.4</w:t>
            </w:r>
          </w:p>
        </w:tc>
        <w:tc>
          <w:tcPr>
            <w:tcW w:w="8977" w:type="dxa"/>
          </w:tcPr>
          <w:p w14:paraId="6CC02A84" w14:textId="77777777" w:rsidR="00335D29" w:rsidRPr="0026456A" w:rsidRDefault="00335D29" w:rsidP="00736477">
            <w:pPr>
              <w:pStyle w:val="TableParagraph"/>
              <w:spacing w:line="270" w:lineRule="atLeast"/>
              <w:ind w:right="101"/>
              <w:jc w:val="both"/>
              <w:rPr>
                <w:rFonts w:ascii="Arial" w:hAnsi="Arial" w:cs="Arial"/>
                <w:lang w:val="lt-LT"/>
              </w:rPr>
            </w:pPr>
            <w:r w:rsidRPr="0026456A">
              <w:rPr>
                <w:rFonts w:ascii="Arial" w:hAnsi="Arial" w:cs="Arial"/>
                <w:lang w:val="lt-LT"/>
              </w:rPr>
              <w:t>Turi būti užtikrinamas brėžinių failų ir jų versijų valdymas projektavimo ir statybos</w:t>
            </w:r>
            <w:r w:rsidRPr="0026456A">
              <w:rPr>
                <w:rFonts w:ascii="Arial" w:hAnsi="Arial" w:cs="Arial"/>
                <w:spacing w:val="-12"/>
                <w:lang w:val="lt-LT"/>
              </w:rPr>
              <w:t xml:space="preserve"> </w:t>
            </w:r>
            <w:r w:rsidRPr="0026456A">
              <w:rPr>
                <w:rFonts w:ascii="Arial" w:hAnsi="Arial" w:cs="Arial"/>
                <w:lang w:val="lt-LT"/>
              </w:rPr>
              <w:t>etapuose</w:t>
            </w:r>
            <w:r w:rsidRPr="0026456A">
              <w:rPr>
                <w:rFonts w:ascii="Arial" w:hAnsi="Arial" w:cs="Arial"/>
                <w:spacing w:val="-11"/>
                <w:lang w:val="lt-LT"/>
              </w:rPr>
              <w:t xml:space="preserve"> </w:t>
            </w:r>
            <w:r w:rsidRPr="0026456A">
              <w:rPr>
                <w:rFonts w:ascii="Arial" w:hAnsi="Arial" w:cs="Arial"/>
                <w:lang w:val="lt-LT"/>
              </w:rPr>
              <w:t>(2D/3D</w:t>
            </w:r>
            <w:r w:rsidRPr="0026456A">
              <w:rPr>
                <w:rFonts w:ascii="Arial" w:hAnsi="Arial" w:cs="Arial"/>
                <w:spacing w:val="-12"/>
                <w:lang w:val="lt-LT"/>
              </w:rPr>
              <w:t xml:space="preserve"> </w:t>
            </w:r>
            <w:r w:rsidRPr="0026456A">
              <w:rPr>
                <w:rFonts w:ascii="Arial" w:hAnsi="Arial" w:cs="Arial"/>
                <w:lang w:val="lt-LT"/>
              </w:rPr>
              <w:t>brėžinių</w:t>
            </w:r>
            <w:r w:rsidRPr="0026456A">
              <w:rPr>
                <w:rFonts w:ascii="Arial" w:hAnsi="Arial" w:cs="Arial"/>
                <w:spacing w:val="-11"/>
                <w:lang w:val="lt-LT"/>
              </w:rPr>
              <w:t xml:space="preserve"> </w:t>
            </w:r>
            <w:r w:rsidRPr="0026456A">
              <w:rPr>
                <w:rFonts w:ascii="Arial" w:hAnsi="Arial" w:cs="Arial"/>
                <w:lang w:val="lt-LT"/>
              </w:rPr>
              <w:t>ir</w:t>
            </w:r>
            <w:r w:rsidRPr="0026456A">
              <w:rPr>
                <w:rFonts w:ascii="Arial" w:hAnsi="Arial" w:cs="Arial"/>
                <w:spacing w:val="-8"/>
                <w:lang w:val="lt-LT"/>
              </w:rPr>
              <w:t xml:space="preserve"> </w:t>
            </w:r>
            <w:r w:rsidRPr="0026456A">
              <w:rPr>
                <w:rFonts w:ascii="Arial" w:hAnsi="Arial" w:cs="Arial"/>
                <w:lang w:val="lt-LT"/>
              </w:rPr>
              <w:t>modelių</w:t>
            </w:r>
            <w:r w:rsidRPr="0026456A">
              <w:rPr>
                <w:rFonts w:ascii="Arial" w:hAnsi="Arial" w:cs="Arial"/>
                <w:spacing w:val="-10"/>
                <w:lang w:val="lt-LT"/>
              </w:rPr>
              <w:t xml:space="preserve"> </w:t>
            </w:r>
            <w:r w:rsidRPr="0026456A">
              <w:rPr>
                <w:rFonts w:ascii="Arial" w:hAnsi="Arial" w:cs="Arial"/>
                <w:lang w:val="lt-LT"/>
              </w:rPr>
              <w:t>peržiūra,</w:t>
            </w:r>
            <w:r w:rsidRPr="0026456A">
              <w:rPr>
                <w:rFonts w:ascii="Arial" w:hAnsi="Arial" w:cs="Arial"/>
                <w:spacing w:val="-11"/>
                <w:lang w:val="lt-LT"/>
              </w:rPr>
              <w:t xml:space="preserve"> </w:t>
            </w:r>
            <w:r w:rsidRPr="0026456A">
              <w:rPr>
                <w:rFonts w:ascii="Arial" w:hAnsi="Arial" w:cs="Arial"/>
                <w:lang w:val="lt-LT"/>
              </w:rPr>
              <w:t>įskaitant</w:t>
            </w:r>
            <w:r w:rsidRPr="0026456A">
              <w:rPr>
                <w:rFonts w:ascii="Arial" w:hAnsi="Arial" w:cs="Arial"/>
                <w:spacing w:val="-11"/>
                <w:lang w:val="lt-LT"/>
              </w:rPr>
              <w:t xml:space="preserve"> </w:t>
            </w:r>
            <w:r w:rsidRPr="0026456A">
              <w:rPr>
                <w:rFonts w:ascii="Arial" w:hAnsi="Arial" w:cs="Arial"/>
                <w:lang w:val="lt-LT"/>
              </w:rPr>
              <w:t>versijų</w:t>
            </w:r>
            <w:r w:rsidRPr="0026456A">
              <w:rPr>
                <w:rFonts w:ascii="Arial" w:hAnsi="Arial" w:cs="Arial"/>
                <w:spacing w:val="-11"/>
                <w:lang w:val="lt-LT"/>
              </w:rPr>
              <w:t xml:space="preserve"> </w:t>
            </w:r>
            <w:r w:rsidRPr="0026456A">
              <w:rPr>
                <w:rFonts w:ascii="Arial" w:hAnsi="Arial" w:cs="Arial"/>
                <w:lang w:val="lt-LT"/>
              </w:rPr>
              <w:t>peržiūrą su atributų ir metaduomenų</w:t>
            </w:r>
            <w:r w:rsidRPr="0026456A">
              <w:rPr>
                <w:rFonts w:ascii="Arial" w:hAnsi="Arial" w:cs="Arial"/>
                <w:spacing w:val="-3"/>
                <w:lang w:val="lt-LT"/>
              </w:rPr>
              <w:t xml:space="preserve"> </w:t>
            </w:r>
            <w:r w:rsidRPr="0026456A">
              <w:rPr>
                <w:rFonts w:ascii="Arial" w:hAnsi="Arial" w:cs="Arial"/>
                <w:lang w:val="lt-LT"/>
              </w:rPr>
              <w:t>redagavimu).</w:t>
            </w:r>
          </w:p>
        </w:tc>
      </w:tr>
      <w:tr w:rsidR="00335D29" w:rsidRPr="0026456A" w14:paraId="41A92E03" w14:textId="77777777" w:rsidTr="00736477">
        <w:trPr>
          <w:trHeight w:val="533"/>
        </w:trPr>
        <w:tc>
          <w:tcPr>
            <w:tcW w:w="1229" w:type="dxa"/>
          </w:tcPr>
          <w:p w14:paraId="6A3BF98F" w14:textId="77777777" w:rsidR="00335D29" w:rsidRPr="0026456A" w:rsidRDefault="00335D29" w:rsidP="00736477">
            <w:pPr>
              <w:pStyle w:val="TableParagraph"/>
              <w:spacing w:line="265" w:lineRule="exact"/>
              <w:ind w:left="106" w:right="98"/>
              <w:jc w:val="center"/>
              <w:rPr>
                <w:rFonts w:ascii="Arial" w:hAnsi="Arial" w:cs="Arial"/>
                <w:lang w:val="lt-LT"/>
              </w:rPr>
            </w:pPr>
            <w:r w:rsidRPr="0026456A">
              <w:rPr>
                <w:rFonts w:ascii="Arial" w:hAnsi="Arial" w:cs="Arial"/>
                <w:lang w:val="lt-LT"/>
              </w:rPr>
              <w:t>1.5</w:t>
            </w:r>
          </w:p>
        </w:tc>
        <w:tc>
          <w:tcPr>
            <w:tcW w:w="8977" w:type="dxa"/>
          </w:tcPr>
          <w:p w14:paraId="19E1E16E" w14:textId="77777777" w:rsidR="00335D29" w:rsidRPr="0026456A" w:rsidRDefault="00335D29" w:rsidP="00736477">
            <w:pPr>
              <w:pStyle w:val="TableParagraph"/>
              <w:spacing w:line="265" w:lineRule="exact"/>
              <w:rPr>
                <w:rFonts w:ascii="Arial" w:hAnsi="Arial" w:cs="Arial"/>
                <w:lang w:val="lt-LT"/>
              </w:rPr>
            </w:pPr>
            <w:r w:rsidRPr="0026456A">
              <w:rPr>
                <w:rFonts w:ascii="Arial" w:hAnsi="Arial" w:cs="Arial"/>
                <w:lang w:val="lt-LT"/>
              </w:rPr>
              <w:t>Turi būti palaikoma integracija su projektavimo sistemomis (duomenims keistis</w:t>
            </w:r>
          </w:p>
          <w:p w14:paraId="099203D1" w14:textId="77777777" w:rsidR="00335D29" w:rsidRPr="0026456A" w:rsidRDefault="00335D29" w:rsidP="00736477">
            <w:pPr>
              <w:pStyle w:val="TableParagraph"/>
              <w:spacing w:line="248" w:lineRule="exact"/>
              <w:rPr>
                <w:rFonts w:ascii="Arial" w:hAnsi="Arial" w:cs="Arial"/>
                <w:lang w:val="lt-LT"/>
              </w:rPr>
            </w:pPr>
            <w:r w:rsidRPr="0026456A">
              <w:rPr>
                <w:rFonts w:ascii="Arial" w:hAnsi="Arial" w:cs="Arial"/>
                <w:lang w:val="lt-LT"/>
              </w:rPr>
              <w:t xml:space="preserve">ir sinchronizuoti su </w:t>
            </w:r>
            <w:proofErr w:type="spellStart"/>
            <w:r w:rsidRPr="0026456A">
              <w:rPr>
                <w:rFonts w:ascii="Arial" w:hAnsi="Arial" w:cs="Arial"/>
                <w:lang w:val="lt-LT"/>
              </w:rPr>
              <w:t>Desktop</w:t>
            </w:r>
            <w:proofErr w:type="spellEnd"/>
            <w:r w:rsidRPr="0026456A">
              <w:rPr>
                <w:rFonts w:ascii="Arial" w:hAnsi="Arial" w:cs="Arial"/>
                <w:lang w:val="lt-LT"/>
              </w:rPr>
              <w:t xml:space="preserve"> programa bei per debesiją).</w:t>
            </w:r>
          </w:p>
        </w:tc>
      </w:tr>
      <w:tr w:rsidR="00335D29" w:rsidRPr="0026456A" w14:paraId="009DE144" w14:textId="77777777" w:rsidTr="00736477">
        <w:trPr>
          <w:trHeight w:val="806"/>
        </w:trPr>
        <w:tc>
          <w:tcPr>
            <w:tcW w:w="1229" w:type="dxa"/>
          </w:tcPr>
          <w:p w14:paraId="1256EEB4" w14:textId="77777777" w:rsidR="00335D29" w:rsidRPr="0026456A" w:rsidRDefault="00335D29" w:rsidP="00736477">
            <w:pPr>
              <w:pStyle w:val="TableParagraph"/>
              <w:spacing w:line="240" w:lineRule="auto"/>
              <w:ind w:left="106" w:right="99"/>
              <w:jc w:val="center"/>
              <w:rPr>
                <w:rFonts w:ascii="Arial" w:hAnsi="Arial" w:cs="Arial"/>
                <w:lang w:val="lt-LT"/>
              </w:rPr>
            </w:pPr>
            <w:r w:rsidRPr="0026456A">
              <w:rPr>
                <w:rFonts w:ascii="Arial" w:hAnsi="Arial" w:cs="Arial"/>
                <w:lang w:val="lt-LT"/>
              </w:rPr>
              <w:t>1.6</w:t>
            </w:r>
          </w:p>
        </w:tc>
        <w:tc>
          <w:tcPr>
            <w:tcW w:w="8977" w:type="dxa"/>
          </w:tcPr>
          <w:p w14:paraId="2C10190D" w14:textId="77777777" w:rsidR="00335D29" w:rsidRPr="0026456A" w:rsidRDefault="00335D29" w:rsidP="00736477">
            <w:pPr>
              <w:pStyle w:val="TableParagraph"/>
              <w:spacing w:line="270" w:lineRule="atLeast"/>
              <w:ind w:right="96"/>
              <w:jc w:val="both"/>
              <w:rPr>
                <w:rFonts w:ascii="Arial" w:hAnsi="Arial" w:cs="Arial"/>
                <w:lang w:val="lt-LT"/>
              </w:rPr>
            </w:pPr>
            <w:r w:rsidRPr="0026456A">
              <w:rPr>
                <w:rFonts w:ascii="Arial" w:hAnsi="Arial" w:cs="Arial"/>
                <w:lang w:val="lt-LT"/>
              </w:rPr>
              <w:t xml:space="preserve">Apsikeičiant informacija ir duomenimis CDE turi būti užtikrinamas principas "darbas realiu laiku", išskyrus kai naudotojas pasirenka darbą atsijungus (angl. </w:t>
            </w:r>
            <w:proofErr w:type="spellStart"/>
            <w:r w:rsidRPr="0026456A">
              <w:rPr>
                <w:rFonts w:ascii="Arial" w:hAnsi="Arial" w:cs="Arial"/>
                <w:lang w:val="lt-LT"/>
              </w:rPr>
              <w:t>offline</w:t>
            </w:r>
            <w:proofErr w:type="spellEnd"/>
            <w:r w:rsidRPr="0026456A">
              <w:rPr>
                <w:rFonts w:ascii="Arial" w:hAnsi="Arial" w:cs="Arial"/>
                <w:lang w:val="lt-LT"/>
              </w:rPr>
              <w:t>).</w:t>
            </w:r>
          </w:p>
        </w:tc>
      </w:tr>
      <w:tr w:rsidR="00335D29" w:rsidRPr="0026456A" w14:paraId="4DF9EE11" w14:textId="77777777" w:rsidTr="00736477">
        <w:trPr>
          <w:trHeight w:val="800"/>
        </w:trPr>
        <w:tc>
          <w:tcPr>
            <w:tcW w:w="1229" w:type="dxa"/>
          </w:tcPr>
          <w:p w14:paraId="43D7A380" w14:textId="77777777" w:rsidR="00335D29" w:rsidRPr="0026456A" w:rsidRDefault="00335D29" w:rsidP="00736477">
            <w:pPr>
              <w:pStyle w:val="TableParagraph"/>
              <w:spacing w:line="265" w:lineRule="exact"/>
              <w:ind w:left="106" w:right="99"/>
              <w:jc w:val="center"/>
              <w:rPr>
                <w:rFonts w:ascii="Arial" w:hAnsi="Arial" w:cs="Arial"/>
                <w:lang w:val="lt-LT"/>
              </w:rPr>
            </w:pPr>
            <w:r w:rsidRPr="0026456A">
              <w:rPr>
                <w:rFonts w:ascii="Arial" w:hAnsi="Arial" w:cs="Arial"/>
                <w:lang w:val="lt-LT"/>
              </w:rPr>
              <w:t>1.7</w:t>
            </w:r>
          </w:p>
        </w:tc>
        <w:tc>
          <w:tcPr>
            <w:tcW w:w="8977" w:type="dxa"/>
          </w:tcPr>
          <w:p w14:paraId="42A84F60" w14:textId="77777777" w:rsidR="00335D29" w:rsidRPr="0026456A" w:rsidRDefault="00335D29" w:rsidP="00736477">
            <w:pPr>
              <w:pStyle w:val="TableParagraph"/>
              <w:spacing w:line="240" w:lineRule="auto"/>
              <w:ind w:right="99"/>
              <w:rPr>
                <w:rFonts w:ascii="Arial" w:hAnsi="Arial" w:cs="Arial"/>
                <w:lang w:val="lt-LT"/>
              </w:rPr>
            </w:pPr>
            <w:r w:rsidRPr="0026456A">
              <w:rPr>
                <w:rFonts w:ascii="Arial" w:hAnsi="Arial" w:cs="Arial"/>
                <w:lang w:val="lt-LT"/>
              </w:rPr>
              <w:t>CDE turi būti kaip bendras ir vieningas informacijos šaltinis, kuris būtų pagrindinė saugykla, dokumentacija ir informacija (taip pat modulių papildymų ir atnaujinimų atveju).</w:t>
            </w:r>
          </w:p>
        </w:tc>
      </w:tr>
      <w:tr w:rsidR="00335D29" w:rsidRPr="0026456A" w14:paraId="416121FC" w14:textId="77777777" w:rsidTr="00736477">
        <w:trPr>
          <w:trHeight w:val="537"/>
        </w:trPr>
        <w:tc>
          <w:tcPr>
            <w:tcW w:w="1229" w:type="dxa"/>
          </w:tcPr>
          <w:p w14:paraId="082ED400" w14:textId="77777777" w:rsidR="00335D29" w:rsidRPr="0026456A" w:rsidRDefault="00335D29" w:rsidP="00736477">
            <w:pPr>
              <w:pStyle w:val="TableParagraph"/>
              <w:spacing w:before="1" w:line="240" w:lineRule="auto"/>
              <w:ind w:left="106" w:right="99"/>
              <w:jc w:val="center"/>
              <w:rPr>
                <w:rFonts w:ascii="Arial" w:hAnsi="Arial" w:cs="Arial"/>
                <w:lang w:val="lt-LT"/>
              </w:rPr>
            </w:pPr>
            <w:r w:rsidRPr="0026456A">
              <w:rPr>
                <w:rFonts w:ascii="Arial" w:hAnsi="Arial" w:cs="Arial"/>
                <w:lang w:val="lt-LT"/>
              </w:rPr>
              <w:t>1.8</w:t>
            </w:r>
          </w:p>
        </w:tc>
        <w:tc>
          <w:tcPr>
            <w:tcW w:w="8977" w:type="dxa"/>
          </w:tcPr>
          <w:p w14:paraId="0787C4F7" w14:textId="77777777" w:rsidR="00335D29" w:rsidRPr="0026456A" w:rsidRDefault="00335D29" w:rsidP="00736477">
            <w:pPr>
              <w:pStyle w:val="TableParagraph"/>
              <w:spacing w:before="1" w:line="268" w:lineRule="exact"/>
              <w:rPr>
                <w:rFonts w:ascii="Arial" w:hAnsi="Arial" w:cs="Arial"/>
                <w:lang w:val="lt-LT"/>
              </w:rPr>
            </w:pPr>
            <w:r w:rsidRPr="0026456A">
              <w:rPr>
                <w:rFonts w:ascii="Arial" w:hAnsi="Arial" w:cs="Arial"/>
                <w:lang w:val="lt-LT"/>
              </w:rPr>
              <w:t>CDE turi būti sukurta žiniatinklio (</w:t>
            </w:r>
            <w:proofErr w:type="spellStart"/>
            <w:r w:rsidRPr="0026456A">
              <w:rPr>
                <w:rFonts w:ascii="Arial" w:hAnsi="Arial" w:cs="Arial"/>
                <w:lang w:val="lt-LT"/>
              </w:rPr>
              <w:t>Web</w:t>
            </w:r>
            <w:proofErr w:type="spellEnd"/>
            <w:r w:rsidRPr="0026456A">
              <w:rPr>
                <w:rFonts w:ascii="Arial" w:hAnsi="Arial" w:cs="Arial"/>
                <w:lang w:val="lt-LT"/>
              </w:rPr>
              <w:t xml:space="preserve">) priemonėmis, nereikalaujanti </w:t>
            </w:r>
            <w:proofErr w:type="spellStart"/>
            <w:r w:rsidRPr="0026456A">
              <w:rPr>
                <w:rFonts w:ascii="Arial" w:hAnsi="Arial" w:cs="Arial"/>
                <w:lang w:val="lt-LT"/>
              </w:rPr>
              <w:t>klientinės</w:t>
            </w:r>
            <w:proofErr w:type="spellEnd"/>
          </w:p>
          <w:p w14:paraId="7E9BFDB6" w14:textId="77777777" w:rsidR="00335D29" w:rsidRPr="0026456A" w:rsidRDefault="00335D29" w:rsidP="00736477">
            <w:pPr>
              <w:pStyle w:val="TableParagraph"/>
              <w:spacing w:line="248" w:lineRule="exact"/>
              <w:rPr>
                <w:rFonts w:ascii="Arial" w:hAnsi="Arial" w:cs="Arial"/>
                <w:lang w:val="lt-LT"/>
              </w:rPr>
            </w:pPr>
            <w:r w:rsidRPr="0026456A">
              <w:rPr>
                <w:rFonts w:ascii="Arial" w:hAnsi="Arial" w:cs="Arial"/>
                <w:lang w:val="lt-LT"/>
              </w:rPr>
              <w:t xml:space="preserve">dalies diegimo bei palaikanti </w:t>
            </w:r>
            <w:proofErr w:type="spellStart"/>
            <w:r w:rsidRPr="0026456A">
              <w:rPr>
                <w:rFonts w:ascii="Arial" w:hAnsi="Arial" w:cs="Arial"/>
                <w:lang w:val="lt-LT"/>
              </w:rPr>
              <w:t>daugialangę</w:t>
            </w:r>
            <w:proofErr w:type="spellEnd"/>
            <w:r w:rsidRPr="0026456A">
              <w:rPr>
                <w:rFonts w:ascii="Arial" w:hAnsi="Arial" w:cs="Arial"/>
                <w:lang w:val="lt-LT"/>
              </w:rPr>
              <w:t xml:space="preserve"> (</w:t>
            </w:r>
            <w:proofErr w:type="spellStart"/>
            <w:r w:rsidRPr="0026456A">
              <w:rPr>
                <w:rFonts w:ascii="Arial" w:hAnsi="Arial" w:cs="Arial"/>
                <w:lang w:val="lt-LT"/>
              </w:rPr>
              <w:t>Multiwindows</w:t>
            </w:r>
            <w:proofErr w:type="spellEnd"/>
            <w:r w:rsidRPr="0026456A">
              <w:rPr>
                <w:rFonts w:ascii="Arial" w:hAnsi="Arial" w:cs="Arial"/>
                <w:lang w:val="lt-LT"/>
              </w:rPr>
              <w:t>) naudotojo sąsają.</w:t>
            </w:r>
          </w:p>
        </w:tc>
      </w:tr>
      <w:tr w:rsidR="00335D29" w:rsidRPr="0026456A" w14:paraId="05D7DE01" w14:textId="77777777" w:rsidTr="00736477">
        <w:trPr>
          <w:trHeight w:val="805"/>
        </w:trPr>
        <w:tc>
          <w:tcPr>
            <w:tcW w:w="1229" w:type="dxa"/>
          </w:tcPr>
          <w:p w14:paraId="4661858E" w14:textId="77777777" w:rsidR="00335D29" w:rsidRPr="0026456A" w:rsidRDefault="00335D29" w:rsidP="00736477">
            <w:pPr>
              <w:pStyle w:val="TableParagraph"/>
              <w:spacing w:line="240" w:lineRule="auto"/>
              <w:ind w:left="106" w:right="99"/>
              <w:jc w:val="center"/>
              <w:rPr>
                <w:rFonts w:ascii="Arial" w:hAnsi="Arial" w:cs="Arial"/>
                <w:lang w:val="lt-LT"/>
              </w:rPr>
            </w:pPr>
            <w:r w:rsidRPr="0026456A">
              <w:rPr>
                <w:rFonts w:ascii="Arial" w:hAnsi="Arial" w:cs="Arial"/>
                <w:lang w:val="lt-LT"/>
              </w:rPr>
              <w:t>1.9</w:t>
            </w:r>
          </w:p>
        </w:tc>
        <w:tc>
          <w:tcPr>
            <w:tcW w:w="8977" w:type="dxa"/>
          </w:tcPr>
          <w:p w14:paraId="264D7D97" w14:textId="77777777" w:rsidR="00335D29" w:rsidRPr="0026456A" w:rsidRDefault="00335D29" w:rsidP="00736477">
            <w:pPr>
              <w:pStyle w:val="TableParagraph"/>
              <w:spacing w:line="270" w:lineRule="atLeast"/>
              <w:ind w:right="99"/>
              <w:jc w:val="both"/>
              <w:rPr>
                <w:rFonts w:ascii="Arial" w:hAnsi="Arial" w:cs="Arial"/>
                <w:lang w:val="lt-LT"/>
              </w:rPr>
            </w:pPr>
            <w:r w:rsidRPr="0026456A">
              <w:rPr>
                <w:rFonts w:ascii="Arial" w:hAnsi="Arial" w:cs="Arial"/>
                <w:lang w:val="lt-LT"/>
              </w:rPr>
              <w:t xml:space="preserve">CDE naudotojo sąsajos turi būti suderinamos su populiariausiomis naršyklėmis Microsoft </w:t>
            </w:r>
            <w:proofErr w:type="spellStart"/>
            <w:r w:rsidRPr="0026456A">
              <w:rPr>
                <w:rFonts w:ascii="Arial" w:hAnsi="Arial" w:cs="Arial"/>
                <w:lang w:val="lt-LT"/>
              </w:rPr>
              <w:t>Edge</w:t>
            </w:r>
            <w:proofErr w:type="spellEnd"/>
            <w:r w:rsidRPr="0026456A">
              <w:rPr>
                <w:rFonts w:ascii="Arial" w:hAnsi="Arial" w:cs="Arial"/>
                <w:lang w:val="lt-LT"/>
              </w:rPr>
              <w:t>, Google Chrome, Mozilla Firefox, Apple Safari (iki sutarties pasirašymo išleistos 3 pagrindinės (</w:t>
            </w:r>
            <w:proofErr w:type="spellStart"/>
            <w:r w:rsidRPr="0026456A">
              <w:rPr>
                <w:rFonts w:ascii="Arial" w:hAnsi="Arial" w:cs="Arial"/>
                <w:lang w:val="lt-LT"/>
              </w:rPr>
              <w:t>major</w:t>
            </w:r>
            <w:proofErr w:type="spellEnd"/>
            <w:r w:rsidRPr="0026456A">
              <w:rPr>
                <w:rFonts w:ascii="Arial" w:hAnsi="Arial" w:cs="Arial"/>
                <w:lang w:val="lt-LT"/>
              </w:rPr>
              <w:t>) versijos).</w:t>
            </w:r>
          </w:p>
        </w:tc>
      </w:tr>
      <w:tr w:rsidR="00335D29" w:rsidRPr="0026456A" w14:paraId="49B1E0F9" w14:textId="77777777" w:rsidTr="00736477">
        <w:trPr>
          <w:trHeight w:val="533"/>
        </w:trPr>
        <w:tc>
          <w:tcPr>
            <w:tcW w:w="1229" w:type="dxa"/>
          </w:tcPr>
          <w:p w14:paraId="456C7F2A" w14:textId="77777777" w:rsidR="00335D29" w:rsidRPr="0026456A" w:rsidRDefault="00335D29" w:rsidP="00736477">
            <w:pPr>
              <w:pStyle w:val="TableParagraph"/>
              <w:spacing w:line="265" w:lineRule="exact"/>
              <w:ind w:left="106" w:right="99"/>
              <w:jc w:val="center"/>
              <w:rPr>
                <w:rFonts w:ascii="Arial" w:hAnsi="Arial" w:cs="Arial"/>
                <w:lang w:val="lt-LT"/>
              </w:rPr>
            </w:pPr>
            <w:r w:rsidRPr="0026456A">
              <w:rPr>
                <w:rFonts w:ascii="Arial" w:hAnsi="Arial" w:cs="Arial"/>
                <w:lang w:val="lt-LT"/>
              </w:rPr>
              <w:t>1.10</w:t>
            </w:r>
          </w:p>
        </w:tc>
        <w:tc>
          <w:tcPr>
            <w:tcW w:w="8977" w:type="dxa"/>
          </w:tcPr>
          <w:p w14:paraId="6E574DF0" w14:textId="77777777" w:rsidR="00335D29" w:rsidRPr="0026456A" w:rsidRDefault="00335D29" w:rsidP="00736477">
            <w:pPr>
              <w:pStyle w:val="TableParagraph"/>
              <w:spacing w:line="265" w:lineRule="exact"/>
              <w:rPr>
                <w:rFonts w:ascii="Arial" w:hAnsi="Arial" w:cs="Arial"/>
                <w:lang w:val="lt-LT"/>
              </w:rPr>
            </w:pPr>
            <w:r w:rsidRPr="0026456A">
              <w:rPr>
                <w:rFonts w:ascii="Arial" w:hAnsi="Arial" w:cs="Arial"/>
                <w:lang w:val="lt-LT"/>
              </w:rPr>
              <w:t>Paslaugų</w:t>
            </w:r>
            <w:r>
              <w:rPr>
                <w:rFonts w:ascii="Arial" w:hAnsi="Arial" w:cs="Arial"/>
                <w:lang w:val="lt-LT"/>
              </w:rPr>
              <w:t>/Prekių tiekimo</w:t>
            </w:r>
            <w:r w:rsidRPr="0026456A">
              <w:rPr>
                <w:rFonts w:ascii="Arial" w:hAnsi="Arial" w:cs="Arial"/>
                <w:lang w:val="lt-LT"/>
              </w:rPr>
              <w:t xml:space="preserve"> nutraukimo atveju CDE duomenys turi būti perduodami Pirkėjui su</w:t>
            </w:r>
          </w:p>
          <w:p w14:paraId="2655EEAB" w14:textId="77777777" w:rsidR="00335D29" w:rsidRPr="0026456A" w:rsidRDefault="00335D29" w:rsidP="00736477">
            <w:pPr>
              <w:pStyle w:val="TableParagraph"/>
              <w:spacing w:line="248" w:lineRule="exact"/>
              <w:rPr>
                <w:rFonts w:ascii="Arial" w:hAnsi="Arial" w:cs="Arial"/>
                <w:lang w:val="lt-LT"/>
              </w:rPr>
            </w:pPr>
            <w:r w:rsidRPr="0026456A">
              <w:rPr>
                <w:rFonts w:ascii="Arial" w:hAnsi="Arial" w:cs="Arial"/>
                <w:lang w:val="lt-LT"/>
              </w:rPr>
              <w:t>Pirkėju (užsakovo atstovais) suderinta apimtimi ir terminais.</w:t>
            </w:r>
          </w:p>
        </w:tc>
      </w:tr>
      <w:tr w:rsidR="00335D29" w:rsidRPr="0026456A" w14:paraId="064272DB" w14:textId="77777777" w:rsidTr="00736477">
        <w:trPr>
          <w:trHeight w:val="300"/>
        </w:trPr>
        <w:tc>
          <w:tcPr>
            <w:tcW w:w="1229" w:type="dxa"/>
          </w:tcPr>
          <w:p w14:paraId="48109BE7" w14:textId="77777777" w:rsidR="00335D29" w:rsidRPr="0026456A" w:rsidRDefault="00335D29" w:rsidP="00736477">
            <w:pPr>
              <w:pStyle w:val="TableParagraph"/>
              <w:spacing w:line="265" w:lineRule="exact"/>
              <w:ind w:left="106" w:right="99"/>
              <w:jc w:val="center"/>
              <w:rPr>
                <w:rFonts w:ascii="Arial" w:hAnsi="Arial" w:cs="Arial"/>
                <w:lang w:val="lt-LT"/>
              </w:rPr>
            </w:pPr>
            <w:r w:rsidRPr="0026456A">
              <w:rPr>
                <w:rFonts w:ascii="Arial" w:hAnsi="Arial" w:cs="Arial"/>
                <w:lang w:val="lt-LT"/>
              </w:rPr>
              <w:t>1.11</w:t>
            </w:r>
          </w:p>
        </w:tc>
        <w:tc>
          <w:tcPr>
            <w:tcW w:w="8977" w:type="dxa"/>
          </w:tcPr>
          <w:p w14:paraId="4039D8E4" w14:textId="77777777" w:rsidR="00335D29" w:rsidRPr="0026456A" w:rsidRDefault="00335D29" w:rsidP="00736477">
            <w:pPr>
              <w:rPr>
                <w:rFonts w:ascii="Arial" w:hAnsi="Arial" w:cs="Arial"/>
                <w:sz w:val="22"/>
                <w:szCs w:val="22"/>
              </w:rPr>
            </w:pPr>
            <w:r w:rsidRPr="0026456A">
              <w:rPr>
                <w:rFonts w:ascii="Arial" w:hAnsi="Arial" w:cs="Arial"/>
                <w:sz w:val="22"/>
                <w:szCs w:val="22"/>
              </w:rPr>
              <w:t xml:space="preserve">Sistema </w:t>
            </w:r>
            <w:proofErr w:type="spellStart"/>
            <w:r w:rsidRPr="0026456A">
              <w:rPr>
                <w:rFonts w:ascii="Arial" w:hAnsi="Arial" w:cs="Arial"/>
                <w:sz w:val="22"/>
                <w:szCs w:val="22"/>
              </w:rPr>
              <w:t>turi</w:t>
            </w:r>
            <w:proofErr w:type="spellEnd"/>
            <w:r w:rsidRPr="0026456A">
              <w:rPr>
                <w:rFonts w:ascii="Arial" w:hAnsi="Arial" w:cs="Arial"/>
                <w:sz w:val="22"/>
                <w:szCs w:val="22"/>
              </w:rPr>
              <w:t xml:space="preserve"> </w:t>
            </w:r>
            <w:proofErr w:type="spellStart"/>
            <w:r w:rsidRPr="0026456A">
              <w:rPr>
                <w:rFonts w:ascii="Arial" w:hAnsi="Arial" w:cs="Arial"/>
                <w:sz w:val="22"/>
                <w:szCs w:val="22"/>
              </w:rPr>
              <w:t>palaikyti</w:t>
            </w:r>
            <w:proofErr w:type="spellEnd"/>
            <w:r w:rsidRPr="0026456A">
              <w:rPr>
                <w:rFonts w:ascii="Arial" w:hAnsi="Arial" w:cs="Arial"/>
                <w:sz w:val="22"/>
                <w:szCs w:val="22"/>
              </w:rPr>
              <w:t xml:space="preserve"> </w:t>
            </w:r>
            <w:proofErr w:type="spellStart"/>
            <w:r w:rsidRPr="0026456A">
              <w:rPr>
                <w:rFonts w:ascii="Arial" w:hAnsi="Arial" w:cs="Arial"/>
                <w:sz w:val="22"/>
                <w:szCs w:val="22"/>
              </w:rPr>
              <w:t>failų</w:t>
            </w:r>
            <w:proofErr w:type="spellEnd"/>
            <w:r w:rsidRPr="0026456A">
              <w:rPr>
                <w:rFonts w:ascii="Arial" w:hAnsi="Arial" w:cs="Arial"/>
                <w:sz w:val="22"/>
                <w:szCs w:val="22"/>
              </w:rPr>
              <w:t xml:space="preserve"> </w:t>
            </w:r>
            <w:proofErr w:type="spellStart"/>
            <w:r w:rsidRPr="0026456A">
              <w:rPr>
                <w:rFonts w:ascii="Arial" w:hAnsi="Arial" w:cs="Arial"/>
                <w:sz w:val="22"/>
                <w:szCs w:val="22"/>
              </w:rPr>
              <w:t>vardijimo</w:t>
            </w:r>
            <w:proofErr w:type="spellEnd"/>
            <w:r w:rsidRPr="0026456A">
              <w:rPr>
                <w:rFonts w:ascii="Arial" w:hAnsi="Arial" w:cs="Arial"/>
                <w:sz w:val="22"/>
                <w:szCs w:val="22"/>
              </w:rPr>
              <w:t xml:space="preserve"> </w:t>
            </w:r>
            <w:proofErr w:type="spellStart"/>
            <w:r w:rsidRPr="0026456A">
              <w:rPr>
                <w:rFonts w:ascii="Arial" w:hAnsi="Arial" w:cs="Arial"/>
                <w:sz w:val="22"/>
                <w:szCs w:val="22"/>
              </w:rPr>
              <w:t>standartus</w:t>
            </w:r>
            <w:proofErr w:type="spellEnd"/>
            <w:r w:rsidRPr="0026456A">
              <w:rPr>
                <w:rFonts w:ascii="Arial" w:hAnsi="Arial" w:cs="Arial"/>
                <w:sz w:val="22"/>
                <w:szCs w:val="22"/>
              </w:rPr>
              <w:t xml:space="preserve">, </w:t>
            </w:r>
            <w:proofErr w:type="spellStart"/>
            <w:r w:rsidRPr="0026456A">
              <w:rPr>
                <w:rFonts w:ascii="Arial" w:hAnsi="Arial" w:cs="Arial"/>
                <w:sz w:val="22"/>
                <w:szCs w:val="22"/>
              </w:rPr>
              <w:t>reikalavimus</w:t>
            </w:r>
            <w:proofErr w:type="spellEnd"/>
            <w:r w:rsidRPr="0026456A">
              <w:rPr>
                <w:rFonts w:ascii="Arial" w:hAnsi="Arial" w:cs="Arial"/>
                <w:sz w:val="22"/>
                <w:szCs w:val="22"/>
              </w:rPr>
              <w:t xml:space="preserve">, </w:t>
            </w:r>
            <w:proofErr w:type="spellStart"/>
            <w:r w:rsidRPr="0026456A">
              <w:rPr>
                <w:rFonts w:ascii="Arial" w:hAnsi="Arial" w:cs="Arial"/>
                <w:sz w:val="22"/>
                <w:szCs w:val="22"/>
              </w:rPr>
              <w:t>kaip</w:t>
            </w:r>
            <w:proofErr w:type="spellEnd"/>
            <w:r w:rsidRPr="0026456A">
              <w:rPr>
                <w:rFonts w:ascii="Arial" w:hAnsi="Arial" w:cs="Arial"/>
                <w:sz w:val="22"/>
                <w:szCs w:val="22"/>
              </w:rPr>
              <w:t xml:space="preserve"> </w:t>
            </w:r>
            <w:proofErr w:type="spellStart"/>
            <w:r w:rsidRPr="0026456A">
              <w:rPr>
                <w:rFonts w:ascii="Arial" w:hAnsi="Arial" w:cs="Arial"/>
                <w:sz w:val="22"/>
                <w:szCs w:val="22"/>
              </w:rPr>
              <w:t>numato</w:t>
            </w:r>
            <w:proofErr w:type="spellEnd"/>
            <w:r w:rsidRPr="0026456A">
              <w:rPr>
                <w:rFonts w:ascii="Arial" w:hAnsi="Arial" w:cs="Arial"/>
                <w:sz w:val="22"/>
                <w:szCs w:val="22"/>
              </w:rPr>
              <w:t xml:space="preserve"> ISO19650 </w:t>
            </w:r>
            <w:proofErr w:type="spellStart"/>
            <w:r w:rsidRPr="0026456A">
              <w:rPr>
                <w:rFonts w:ascii="Arial" w:hAnsi="Arial" w:cs="Arial"/>
                <w:sz w:val="22"/>
                <w:szCs w:val="22"/>
              </w:rPr>
              <w:t>standartų</w:t>
            </w:r>
            <w:proofErr w:type="spellEnd"/>
            <w:r w:rsidRPr="0026456A">
              <w:rPr>
                <w:rFonts w:ascii="Arial" w:hAnsi="Arial" w:cs="Arial"/>
                <w:sz w:val="22"/>
                <w:szCs w:val="22"/>
              </w:rPr>
              <w:t xml:space="preserve"> </w:t>
            </w:r>
            <w:proofErr w:type="spellStart"/>
            <w:r w:rsidRPr="0026456A">
              <w:rPr>
                <w:rFonts w:ascii="Arial" w:hAnsi="Arial" w:cs="Arial"/>
                <w:sz w:val="22"/>
                <w:szCs w:val="22"/>
              </w:rPr>
              <w:t>grupė</w:t>
            </w:r>
            <w:proofErr w:type="spellEnd"/>
            <w:r w:rsidRPr="0026456A">
              <w:rPr>
                <w:rFonts w:ascii="Arial" w:hAnsi="Arial" w:cs="Arial"/>
                <w:sz w:val="22"/>
                <w:szCs w:val="22"/>
              </w:rPr>
              <w:t xml:space="preserve"> </w:t>
            </w:r>
            <w:proofErr w:type="spellStart"/>
            <w:r w:rsidRPr="0026456A">
              <w:rPr>
                <w:rFonts w:ascii="Arial" w:hAnsi="Arial" w:cs="Arial"/>
                <w:sz w:val="22"/>
                <w:szCs w:val="22"/>
              </w:rPr>
              <w:t>ar</w:t>
            </w:r>
            <w:proofErr w:type="spellEnd"/>
            <w:r w:rsidRPr="0026456A">
              <w:rPr>
                <w:rFonts w:ascii="Arial" w:hAnsi="Arial" w:cs="Arial"/>
                <w:sz w:val="22"/>
                <w:szCs w:val="22"/>
              </w:rPr>
              <w:t xml:space="preserve"> NSIK. </w:t>
            </w:r>
            <w:proofErr w:type="spellStart"/>
            <w:r w:rsidRPr="0026456A">
              <w:rPr>
                <w:rFonts w:ascii="Arial" w:hAnsi="Arial" w:cs="Arial"/>
                <w:sz w:val="22"/>
                <w:szCs w:val="22"/>
              </w:rPr>
              <w:t>Jeigu</w:t>
            </w:r>
            <w:proofErr w:type="spellEnd"/>
            <w:r w:rsidRPr="0026456A">
              <w:rPr>
                <w:rFonts w:ascii="Arial" w:hAnsi="Arial" w:cs="Arial"/>
                <w:sz w:val="22"/>
                <w:szCs w:val="22"/>
              </w:rPr>
              <w:t xml:space="preserve"> </w:t>
            </w:r>
            <w:proofErr w:type="spellStart"/>
            <w:r w:rsidRPr="0026456A">
              <w:rPr>
                <w:rFonts w:ascii="Arial" w:hAnsi="Arial" w:cs="Arial"/>
                <w:sz w:val="22"/>
                <w:szCs w:val="22"/>
              </w:rPr>
              <w:t>failo</w:t>
            </w:r>
            <w:proofErr w:type="spellEnd"/>
            <w:r w:rsidRPr="0026456A">
              <w:rPr>
                <w:rFonts w:ascii="Arial" w:hAnsi="Arial" w:cs="Arial"/>
                <w:sz w:val="22"/>
                <w:szCs w:val="22"/>
              </w:rPr>
              <w:t xml:space="preserve"> </w:t>
            </w:r>
            <w:proofErr w:type="spellStart"/>
            <w:r w:rsidRPr="0026456A">
              <w:rPr>
                <w:rFonts w:ascii="Arial" w:hAnsi="Arial" w:cs="Arial"/>
                <w:sz w:val="22"/>
                <w:szCs w:val="22"/>
              </w:rPr>
              <w:t>pavadinimas</w:t>
            </w:r>
            <w:proofErr w:type="spellEnd"/>
            <w:r w:rsidRPr="0026456A">
              <w:rPr>
                <w:rFonts w:ascii="Arial" w:hAnsi="Arial" w:cs="Arial"/>
                <w:sz w:val="22"/>
                <w:szCs w:val="22"/>
              </w:rPr>
              <w:t xml:space="preserve"> </w:t>
            </w:r>
            <w:proofErr w:type="spellStart"/>
            <w:r w:rsidRPr="0026456A">
              <w:rPr>
                <w:rFonts w:ascii="Arial" w:hAnsi="Arial" w:cs="Arial"/>
                <w:sz w:val="22"/>
                <w:szCs w:val="22"/>
              </w:rPr>
              <w:t>neatitinka</w:t>
            </w:r>
            <w:proofErr w:type="spellEnd"/>
            <w:r w:rsidRPr="0026456A">
              <w:rPr>
                <w:rFonts w:ascii="Arial" w:hAnsi="Arial" w:cs="Arial"/>
                <w:sz w:val="22"/>
                <w:szCs w:val="22"/>
              </w:rPr>
              <w:t xml:space="preserve"> </w:t>
            </w:r>
            <w:proofErr w:type="spellStart"/>
            <w:r w:rsidRPr="0026456A">
              <w:rPr>
                <w:rFonts w:ascii="Arial" w:hAnsi="Arial" w:cs="Arial"/>
                <w:sz w:val="22"/>
                <w:szCs w:val="22"/>
              </w:rPr>
              <w:t>nurodytų</w:t>
            </w:r>
            <w:proofErr w:type="spellEnd"/>
            <w:r w:rsidRPr="0026456A">
              <w:rPr>
                <w:rFonts w:ascii="Arial" w:hAnsi="Arial" w:cs="Arial"/>
                <w:sz w:val="22"/>
                <w:szCs w:val="22"/>
              </w:rPr>
              <w:t xml:space="preserve"> </w:t>
            </w:r>
            <w:proofErr w:type="spellStart"/>
            <w:r w:rsidRPr="0026456A">
              <w:rPr>
                <w:rFonts w:ascii="Arial" w:hAnsi="Arial" w:cs="Arial"/>
                <w:sz w:val="22"/>
                <w:szCs w:val="22"/>
              </w:rPr>
              <w:t>reikalavimų</w:t>
            </w:r>
            <w:proofErr w:type="spellEnd"/>
            <w:r w:rsidRPr="0026456A">
              <w:rPr>
                <w:rFonts w:ascii="Arial" w:hAnsi="Arial" w:cs="Arial"/>
                <w:sz w:val="22"/>
                <w:szCs w:val="22"/>
              </w:rPr>
              <w:t xml:space="preserve"> </w:t>
            </w:r>
            <w:proofErr w:type="spellStart"/>
            <w:r w:rsidRPr="0026456A">
              <w:rPr>
                <w:rFonts w:ascii="Arial" w:hAnsi="Arial" w:cs="Arial"/>
                <w:sz w:val="22"/>
                <w:szCs w:val="22"/>
              </w:rPr>
              <w:t>jis</w:t>
            </w:r>
            <w:proofErr w:type="spellEnd"/>
            <w:r w:rsidRPr="0026456A">
              <w:rPr>
                <w:rFonts w:ascii="Arial" w:hAnsi="Arial" w:cs="Arial"/>
                <w:sz w:val="22"/>
                <w:szCs w:val="22"/>
              </w:rPr>
              <w:t xml:space="preserve"> </w:t>
            </w:r>
            <w:proofErr w:type="spellStart"/>
            <w:r w:rsidRPr="0026456A">
              <w:rPr>
                <w:rFonts w:ascii="Arial" w:hAnsi="Arial" w:cs="Arial"/>
                <w:sz w:val="22"/>
                <w:szCs w:val="22"/>
              </w:rPr>
              <w:t>nebus</w:t>
            </w:r>
            <w:proofErr w:type="spellEnd"/>
            <w:r w:rsidRPr="0026456A">
              <w:rPr>
                <w:rFonts w:ascii="Arial" w:hAnsi="Arial" w:cs="Arial"/>
                <w:sz w:val="22"/>
                <w:szCs w:val="22"/>
              </w:rPr>
              <w:t xml:space="preserve"> </w:t>
            </w:r>
            <w:proofErr w:type="spellStart"/>
            <w:r w:rsidRPr="0026456A">
              <w:rPr>
                <w:rFonts w:ascii="Arial" w:hAnsi="Arial" w:cs="Arial"/>
                <w:sz w:val="22"/>
                <w:szCs w:val="22"/>
              </w:rPr>
              <w:t>įkeliamas</w:t>
            </w:r>
            <w:proofErr w:type="spellEnd"/>
            <w:r w:rsidRPr="0026456A">
              <w:rPr>
                <w:rFonts w:ascii="Arial" w:hAnsi="Arial" w:cs="Arial"/>
                <w:sz w:val="22"/>
                <w:szCs w:val="22"/>
              </w:rPr>
              <w:t xml:space="preserve"> į CDE </w:t>
            </w:r>
            <w:proofErr w:type="spellStart"/>
            <w:r w:rsidRPr="0026456A">
              <w:rPr>
                <w:rFonts w:ascii="Arial" w:hAnsi="Arial" w:cs="Arial"/>
                <w:sz w:val="22"/>
                <w:szCs w:val="22"/>
              </w:rPr>
              <w:t>nurodytą</w:t>
            </w:r>
            <w:proofErr w:type="spellEnd"/>
            <w:r w:rsidRPr="0026456A">
              <w:rPr>
                <w:rFonts w:ascii="Arial" w:hAnsi="Arial" w:cs="Arial"/>
                <w:sz w:val="22"/>
                <w:szCs w:val="22"/>
              </w:rPr>
              <w:t xml:space="preserve"> </w:t>
            </w:r>
            <w:proofErr w:type="spellStart"/>
            <w:r w:rsidRPr="0026456A">
              <w:rPr>
                <w:rFonts w:ascii="Arial" w:hAnsi="Arial" w:cs="Arial"/>
                <w:sz w:val="22"/>
                <w:szCs w:val="22"/>
              </w:rPr>
              <w:t>vietą</w:t>
            </w:r>
            <w:proofErr w:type="spellEnd"/>
            <w:r w:rsidRPr="0026456A">
              <w:rPr>
                <w:rFonts w:ascii="Arial" w:hAnsi="Arial" w:cs="Arial"/>
                <w:sz w:val="22"/>
                <w:szCs w:val="22"/>
              </w:rPr>
              <w:t xml:space="preserve">, </w:t>
            </w:r>
            <w:proofErr w:type="spellStart"/>
            <w:r w:rsidRPr="0026456A">
              <w:rPr>
                <w:rFonts w:ascii="Arial" w:hAnsi="Arial" w:cs="Arial"/>
                <w:sz w:val="22"/>
                <w:szCs w:val="22"/>
              </w:rPr>
              <w:t>kol</w:t>
            </w:r>
            <w:proofErr w:type="spellEnd"/>
            <w:r w:rsidRPr="0026456A">
              <w:rPr>
                <w:rFonts w:ascii="Arial" w:hAnsi="Arial" w:cs="Arial"/>
                <w:sz w:val="22"/>
                <w:szCs w:val="22"/>
              </w:rPr>
              <w:t xml:space="preserve"> </w:t>
            </w:r>
            <w:proofErr w:type="spellStart"/>
            <w:r w:rsidRPr="0026456A">
              <w:rPr>
                <w:rFonts w:ascii="Arial" w:hAnsi="Arial" w:cs="Arial"/>
                <w:sz w:val="22"/>
                <w:szCs w:val="22"/>
              </w:rPr>
              <w:t>vardas</w:t>
            </w:r>
            <w:proofErr w:type="spellEnd"/>
            <w:r w:rsidRPr="0026456A">
              <w:rPr>
                <w:rFonts w:ascii="Arial" w:hAnsi="Arial" w:cs="Arial"/>
                <w:sz w:val="22"/>
                <w:szCs w:val="22"/>
              </w:rPr>
              <w:t xml:space="preserve"> </w:t>
            </w:r>
            <w:proofErr w:type="spellStart"/>
            <w:r w:rsidRPr="0026456A">
              <w:rPr>
                <w:rFonts w:ascii="Arial" w:hAnsi="Arial" w:cs="Arial"/>
                <w:sz w:val="22"/>
                <w:szCs w:val="22"/>
              </w:rPr>
              <w:t>nebus</w:t>
            </w:r>
            <w:proofErr w:type="spellEnd"/>
            <w:r w:rsidRPr="0026456A">
              <w:rPr>
                <w:rFonts w:ascii="Arial" w:hAnsi="Arial" w:cs="Arial"/>
                <w:sz w:val="22"/>
                <w:szCs w:val="22"/>
              </w:rPr>
              <w:t xml:space="preserve"> </w:t>
            </w:r>
            <w:proofErr w:type="spellStart"/>
            <w:r w:rsidRPr="0026456A">
              <w:rPr>
                <w:rFonts w:ascii="Arial" w:hAnsi="Arial" w:cs="Arial"/>
                <w:sz w:val="22"/>
                <w:szCs w:val="22"/>
              </w:rPr>
              <w:t>sutvarkytas</w:t>
            </w:r>
            <w:proofErr w:type="spellEnd"/>
            <w:r w:rsidRPr="0026456A">
              <w:rPr>
                <w:rFonts w:ascii="Arial" w:hAnsi="Arial" w:cs="Arial"/>
                <w:sz w:val="22"/>
                <w:szCs w:val="22"/>
              </w:rPr>
              <w:t>.</w:t>
            </w:r>
          </w:p>
        </w:tc>
      </w:tr>
      <w:tr w:rsidR="00335D29" w:rsidRPr="0026456A" w14:paraId="7BC33860" w14:textId="77777777" w:rsidTr="00736477">
        <w:trPr>
          <w:trHeight w:val="300"/>
        </w:trPr>
        <w:tc>
          <w:tcPr>
            <w:tcW w:w="1229" w:type="dxa"/>
          </w:tcPr>
          <w:p w14:paraId="3E3CEEBC" w14:textId="77777777" w:rsidR="00335D29" w:rsidRPr="0026456A" w:rsidRDefault="00335D29" w:rsidP="00736477">
            <w:pPr>
              <w:pStyle w:val="TableParagraph"/>
              <w:spacing w:line="265" w:lineRule="exact"/>
              <w:ind w:left="106" w:right="99"/>
              <w:jc w:val="center"/>
              <w:rPr>
                <w:rFonts w:ascii="Arial" w:hAnsi="Arial" w:cs="Arial"/>
                <w:lang w:val="lt-LT"/>
              </w:rPr>
            </w:pPr>
            <w:r w:rsidRPr="0026456A">
              <w:rPr>
                <w:rFonts w:ascii="Arial" w:hAnsi="Arial" w:cs="Arial"/>
                <w:lang w:val="lt-LT"/>
              </w:rPr>
              <w:t>1.12</w:t>
            </w:r>
          </w:p>
        </w:tc>
        <w:tc>
          <w:tcPr>
            <w:tcW w:w="8977" w:type="dxa"/>
          </w:tcPr>
          <w:p w14:paraId="429F7E75" w14:textId="77777777" w:rsidR="00335D29" w:rsidRPr="0026456A" w:rsidRDefault="00335D29" w:rsidP="00736477">
            <w:pPr>
              <w:rPr>
                <w:rFonts w:ascii="Arial" w:hAnsi="Arial" w:cs="Arial"/>
                <w:sz w:val="22"/>
                <w:szCs w:val="22"/>
              </w:rPr>
            </w:pPr>
            <w:r w:rsidRPr="0026456A">
              <w:rPr>
                <w:rFonts w:ascii="Arial" w:hAnsi="Arial" w:cs="Arial"/>
                <w:sz w:val="22"/>
                <w:szCs w:val="22"/>
              </w:rPr>
              <w:t xml:space="preserve">CDE </w:t>
            </w:r>
            <w:proofErr w:type="spellStart"/>
            <w:r w:rsidRPr="0026456A">
              <w:rPr>
                <w:rFonts w:ascii="Arial" w:hAnsi="Arial" w:cs="Arial"/>
                <w:sz w:val="22"/>
                <w:szCs w:val="22"/>
              </w:rPr>
              <w:t>sistema</w:t>
            </w:r>
            <w:proofErr w:type="spellEnd"/>
            <w:r w:rsidRPr="0026456A">
              <w:rPr>
                <w:rFonts w:ascii="Arial" w:hAnsi="Arial" w:cs="Arial"/>
                <w:sz w:val="22"/>
                <w:szCs w:val="22"/>
              </w:rPr>
              <w:t xml:space="preserve"> </w:t>
            </w:r>
            <w:proofErr w:type="spellStart"/>
            <w:r w:rsidRPr="0026456A">
              <w:rPr>
                <w:rFonts w:ascii="Arial" w:hAnsi="Arial" w:cs="Arial"/>
                <w:sz w:val="22"/>
                <w:szCs w:val="22"/>
              </w:rPr>
              <w:t>turi</w:t>
            </w:r>
            <w:proofErr w:type="spellEnd"/>
            <w:r w:rsidRPr="0026456A">
              <w:rPr>
                <w:rFonts w:ascii="Arial" w:hAnsi="Arial" w:cs="Arial"/>
                <w:sz w:val="22"/>
                <w:szCs w:val="22"/>
              </w:rPr>
              <w:t xml:space="preserve"> </w:t>
            </w:r>
            <w:proofErr w:type="spellStart"/>
            <w:r w:rsidRPr="0026456A">
              <w:rPr>
                <w:rFonts w:ascii="Arial" w:hAnsi="Arial" w:cs="Arial"/>
                <w:sz w:val="22"/>
                <w:szCs w:val="22"/>
              </w:rPr>
              <w:t>turėti</w:t>
            </w:r>
            <w:proofErr w:type="spellEnd"/>
            <w:r w:rsidRPr="0026456A">
              <w:rPr>
                <w:rFonts w:ascii="Arial" w:hAnsi="Arial" w:cs="Arial"/>
                <w:sz w:val="22"/>
                <w:szCs w:val="22"/>
              </w:rPr>
              <w:t xml:space="preserve"> </w:t>
            </w:r>
            <w:proofErr w:type="spellStart"/>
            <w:r w:rsidRPr="0026456A">
              <w:rPr>
                <w:rFonts w:ascii="Arial" w:hAnsi="Arial" w:cs="Arial"/>
                <w:sz w:val="22"/>
                <w:szCs w:val="22"/>
              </w:rPr>
              <w:t>skirtingų</w:t>
            </w:r>
            <w:proofErr w:type="spellEnd"/>
            <w:r w:rsidRPr="0026456A">
              <w:rPr>
                <w:rFonts w:ascii="Arial" w:hAnsi="Arial" w:cs="Arial"/>
                <w:sz w:val="22"/>
                <w:szCs w:val="22"/>
              </w:rPr>
              <w:t xml:space="preserve"> </w:t>
            </w:r>
            <w:proofErr w:type="spellStart"/>
            <w:r w:rsidRPr="0026456A">
              <w:rPr>
                <w:rFonts w:ascii="Arial" w:hAnsi="Arial" w:cs="Arial"/>
                <w:sz w:val="22"/>
                <w:szCs w:val="22"/>
              </w:rPr>
              <w:t>versijų</w:t>
            </w:r>
            <w:proofErr w:type="spellEnd"/>
            <w:r w:rsidRPr="0026456A">
              <w:rPr>
                <w:rFonts w:ascii="Arial" w:hAnsi="Arial" w:cs="Arial"/>
                <w:sz w:val="22"/>
                <w:szCs w:val="22"/>
              </w:rPr>
              <w:t xml:space="preserve"> BIM </w:t>
            </w:r>
            <w:proofErr w:type="spellStart"/>
            <w:r w:rsidRPr="0026456A">
              <w:rPr>
                <w:rFonts w:ascii="Arial" w:hAnsi="Arial" w:cs="Arial"/>
                <w:sz w:val="22"/>
                <w:szCs w:val="22"/>
              </w:rPr>
              <w:t>modelių</w:t>
            </w:r>
            <w:proofErr w:type="spellEnd"/>
            <w:r w:rsidRPr="0026456A">
              <w:rPr>
                <w:rFonts w:ascii="Arial" w:hAnsi="Arial" w:cs="Arial"/>
                <w:sz w:val="22"/>
                <w:szCs w:val="22"/>
              </w:rPr>
              <w:t xml:space="preserve">, </w:t>
            </w:r>
            <w:proofErr w:type="spellStart"/>
            <w:r w:rsidRPr="0026456A">
              <w:rPr>
                <w:rFonts w:ascii="Arial" w:hAnsi="Arial" w:cs="Arial"/>
                <w:sz w:val="22"/>
                <w:szCs w:val="22"/>
              </w:rPr>
              <w:t>brėžinių</w:t>
            </w:r>
            <w:proofErr w:type="spellEnd"/>
            <w:r w:rsidRPr="0026456A">
              <w:rPr>
                <w:rFonts w:ascii="Arial" w:hAnsi="Arial" w:cs="Arial"/>
                <w:sz w:val="22"/>
                <w:szCs w:val="22"/>
              </w:rPr>
              <w:t xml:space="preserve"> </w:t>
            </w:r>
            <w:proofErr w:type="spellStart"/>
            <w:r w:rsidRPr="0026456A">
              <w:rPr>
                <w:rFonts w:ascii="Arial" w:hAnsi="Arial" w:cs="Arial"/>
                <w:sz w:val="22"/>
                <w:szCs w:val="22"/>
              </w:rPr>
              <w:t>palyginimo</w:t>
            </w:r>
            <w:proofErr w:type="spellEnd"/>
            <w:r w:rsidRPr="0026456A">
              <w:rPr>
                <w:rFonts w:ascii="Arial" w:hAnsi="Arial" w:cs="Arial"/>
                <w:sz w:val="22"/>
                <w:szCs w:val="22"/>
              </w:rPr>
              <w:t xml:space="preserve"> </w:t>
            </w:r>
            <w:proofErr w:type="spellStart"/>
            <w:r w:rsidRPr="0026456A">
              <w:rPr>
                <w:rFonts w:ascii="Arial" w:hAnsi="Arial" w:cs="Arial"/>
                <w:sz w:val="22"/>
                <w:szCs w:val="22"/>
              </w:rPr>
              <w:t>funkciją</w:t>
            </w:r>
            <w:proofErr w:type="spellEnd"/>
            <w:r w:rsidRPr="0026456A">
              <w:rPr>
                <w:rFonts w:ascii="Arial" w:hAnsi="Arial" w:cs="Arial"/>
                <w:sz w:val="22"/>
                <w:szCs w:val="22"/>
              </w:rPr>
              <w:t xml:space="preserve"> </w:t>
            </w:r>
            <w:proofErr w:type="spellStart"/>
            <w:r w:rsidRPr="0026456A">
              <w:rPr>
                <w:rFonts w:ascii="Arial" w:hAnsi="Arial" w:cs="Arial"/>
                <w:sz w:val="22"/>
                <w:szCs w:val="22"/>
              </w:rPr>
              <w:t>grafiškai</w:t>
            </w:r>
            <w:proofErr w:type="spellEnd"/>
            <w:r w:rsidRPr="0026456A">
              <w:rPr>
                <w:rFonts w:ascii="Arial" w:hAnsi="Arial" w:cs="Arial"/>
                <w:sz w:val="22"/>
                <w:szCs w:val="22"/>
              </w:rPr>
              <w:t xml:space="preserve"> </w:t>
            </w:r>
            <w:proofErr w:type="spellStart"/>
            <w:r w:rsidRPr="0026456A">
              <w:rPr>
                <w:rFonts w:ascii="Arial" w:hAnsi="Arial" w:cs="Arial"/>
                <w:sz w:val="22"/>
                <w:szCs w:val="22"/>
              </w:rPr>
              <w:t>pateikiant</w:t>
            </w:r>
            <w:proofErr w:type="spellEnd"/>
            <w:r w:rsidRPr="0026456A">
              <w:rPr>
                <w:rFonts w:ascii="Arial" w:hAnsi="Arial" w:cs="Arial"/>
                <w:sz w:val="22"/>
                <w:szCs w:val="22"/>
              </w:rPr>
              <w:t xml:space="preserve"> </w:t>
            </w:r>
            <w:proofErr w:type="spellStart"/>
            <w:r w:rsidRPr="0026456A">
              <w:rPr>
                <w:rFonts w:ascii="Arial" w:hAnsi="Arial" w:cs="Arial"/>
                <w:sz w:val="22"/>
                <w:szCs w:val="22"/>
              </w:rPr>
              <w:t>rezultatus</w:t>
            </w:r>
            <w:proofErr w:type="spellEnd"/>
            <w:r w:rsidRPr="0026456A">
              <w:rPr>
                <w:rFonts w:ascii="Arial" w:hAnsi="Arial" w:cs="Arial"/>
                <w:sz w:val="22"/>
                <w:szCs w:val="22"/>
              </w:rPr>
              <w:t xml:space="preserve"> </w:t>
            </w:r>
            <w:proofErr w:type="spellStart"/>
            <w:r w:rsidRPr="0026456A">
              <w:rPr>
                <w:rFonts w:ascii="Arial" w:hAnsi="Arial" w:cs="Arial"/>
                <w:sz w:val="22"/>
                <w:szCs w:val="22"/>
              </w:rPr>
              <w:t>ir</w:t>
            </w:r>
            <w:proofErr w:type="spellEnd"/>
            <w:r w:rsidRPr="0026456A">
              <w:rPr>
                <w:rFonts w:ascii="Arial" w:hAnsi="Arial" w:cs="Arial"/>
                <w:sz w:val="22"/>
                <w:szCs w:val="22"/>
              </w:rPr>
              <w:t xml:space="preserve"> </w:t>
            </w:r>
            <w:proofErr w:type="spellStart"/>
            <w:r w:rsidRPr="0026456A">
              <w:rPr>
                <w:rFonts w:ascii="Arial" w:hAnsi="Arial" w:cs="Arial"/>
                <w:sz w:val="22"/>
                <w:szCs w:val="22"/>
              </w:rPr>
              <w:t>nurodant</w:t>
            </w:r>
            <w:proofErr w:type="spellEnd"/>
            <w:r w:rsidRPr="0026456A">
              <w:rPr>
                <w:rFonts w:ascii="Arial" w:hAnsi="Arial" w:cs="Arial"/>
                <w:sz w:val="22"/>
                <w:szCs w:val="22"/>
              </w:rPr>
              <w:t xml:space="preserve">, kas </w:t>
            </w:r>
            <w:proofErr w:type="spellStart"/>
            <w:r w:rsidRPr="0026456A">
              <w:rPr>
                <w:rFonts w:ascii="Arial" w:hAnsi="Arial" w:cs="Arial"/>
                <w:sz w:val="22"/>
                <w:szCs w:val="22"/>
              </w:rPr>
              <w:t>buvo</w:t>
            </w:r>
            <w:proofErr w:type="spellEnd"/>
            <w:r w:rsidRPr="0026456A">
              <w:rPr>
                <w:rFonts w:ascii="Arial" w:hAnsi="Arial" w:cs="Arial"/>
                <w:sz w:val="22"/>
                <w:szCs w:val="22"/>
              </w:rPr>
              <w:t xml:space="preserve"> </w:t>
            </w:r>
            <w:proofErr w:type="spellStart"/>
            <w:r w:rsidRPr="0026456A">
              <w:rPr>
                <w:rFonts w:ascii="Arial" w:hAnsi="Arial" w:cs="Arial"/>
                <w:sz w:val="22"/>
                <w:szCs w:val="22"/>
              </w:rPr>
              <w:t>koreguota</w:t>
            </w:r>
            <w:proofErr w:type="spellEnd"/>
            <w:r w:rsidRPr="0026456A">
              <w:rPr>
                <w:rFonts w:ascii="Arial" w:hAnsi="Arial" w:cs="Arial"/>
                <w:sz w:val="22"/>
                <w:szCs w:val="22"/>
              </w:rPr>
              <w:t xml:space="preserve">, </w:t>
            </w:r>
            <w:proofErr w:type="spellStart"/>
            <w:r w:rsidRPr="0026456A">
              <w:rPr>
                <w:rFonts w:ascii="Arial" w:hAnsi="Arial" w:cs="Arial"/>
                <w:sz w:val="22"/>
                <w:szCs w:val="22"/>
              </w:rPr>
              <w:t>ištrinta</w:t>
            </w:r>
            <w:proofErr w:type="spellEnd"/>
            <w:r w:rsidRPr="0026456A">
              <w:rPr>
                <w:rFonts w:ascii="Arial" w:hAnsi="Arial" w:cs="Arial"/>
                <w:sz w:val="22"/>
                <w:szCs w:val="22"/>
              </w:rPr>
              <w:t xml:space="preserve"> </w:t>
            </w:r>
            <w:proofErr w:type="spellStart"/>
            <w:r w:rsidRPr="0026456A">
              <w:rPr>
                <w:rFonts w:ascii="Arial" w:hAnsi="Arial" w:cs="Arial"/>
                <w:sz w:val="22"/>
                <w:szCs w:val="22"/>
              </w:rPr>
              <w:t>ar</w:t>
            </w:r>
            <w:proofErr w:type="spellEnd"/>
            <w:r w:rsidRPr="0026456A">
              <w:rPr>
                <w:rFonts w:ascii="Arial" w:hAnsi="Arial" w:cs="Arial"/>
                <w:sz w:val="22"/>
                <w:szCs w:val="22"/>
              </w:rPr>
              <w:t xml:space="preserve"> </w:t>
            </w:r>
            <w:proofErr w:type="spellStart"/>
            <w:r w:rsidRPr="0026456A">
              <w:rPr>
                <w:rFonts w:ascii="Arial" w:hAnsi="Arial" w:cs="Arial"/>
                <w:sz w:val="22"/>
                <w:szCs w:val="22"/>
              </w:rPr>
              <w:t>pridėta</w:t>
            </w:r>
            <w:proofErr w:type="spellEnd"/>
            <w:r w:rsidRPr="0026456A">
              <w:rPr>
                <w:rFonts w:ascii="Arial" w:hAnsi="Arial" w:cs="Arial"/>
                <w:sz w:val="22"/>
                <w:szCs w:val="22"/>
              </w:rPr>
              <w:t>.</w:t>
            </w:r>
          </w:p>
        </w:tc>
      </w:tr>
      <w:tr w:rsidR="00335D29" w:rsidRPr="0026456A" w14:paraId="5AD4D0B6" w14:textId="77777777" w:rsidTr="00736477">
        <w:trPr>
          <w:trHeight w:val="300"/>
        </w:trPr>
        <w:tc>
          <w:tcPr>
            <w:tcW w:w="1229" w:type="dxa"/>
          </w:tcPr>
          <w:p w14:paraId="0B56ADF8" w14:textId="77777777" w:rsidR="00335D29" w:rsidRPr="0026456A" w:rsidRDefault="00335D29" w:rsidP="00736477">
            <w:pPr>
              <w:pStyle w:val="TableParagraph"/>
              <w:spacing w:line="265" w:lineRule="exact"/>
              <w:ind w:left="106" w:right="99"/>
              <w:jc w:val="center"/>
              <w:rPr>
                <w:rFonts w:ascii="Arial" w:hAnsi="Arial" w:cs="Arial"/>
                <w:lang w:val="lt-LT"/>
              </w:rPr>
            </w:pPr>
            <w:r w:rsidRPr="0026456A">
              <w:rPr>
                <w:rFonts w:ascii="Arial" w:hAnsi="Arial" w:cs="Arial"/>
                <w:lang w:val="lt-LT"/>
              </w:rPr>
              <w:t>1.13</w:t>
            </w:r>
          </w:p>
        </w:tc>
        <w:tc>
          <w:tcPr>
            <w:tcW w:w="8977" w:type="dxa"/>
          </w:tcPr>
          <w:p w14:paraId="175CB693" w14:textId="77777777" w:rsidR="00335D29" w:rsidRPr="0026456A" w:rsidRDefault="00335D29" w:rsidP="00736477">
            <w:pPr>
              <w:rPr>
                <w:rFonts w:ascii="Arial" w:hAnsi="Arial" w:cs="Arial"/>
                <w:sz w:val="22"/>
                <w:szCs w:val="22"/>
                <w:lang w:val="lt-LT"/>
              </w:rPr>
            </w:pPr>
            <w:r w:rsidRPr="0026456A">
              <w:rPr>
                <w:rFonts w:ascii="Arial" w:hAnsi="Arial" w:cs="Arial"/>
                <w:sz w:val="22"/>
                <w:szCs w:val="22"/>
                <w:lang w:val="lt-LT"/>
              </w:rPr>
              <w:t xml:space="preserve">CDE sistema turi palaikyti susikirtimų analizę (angl. </w:t>
            </w:r>
            <w:proofErr w:type="spellStart"/>
            <w:r w:rsidRPr="0026456A">
              <w:rPr>
                <w:rFonts w:ascii="Arial" w:hAnsi="Arial" w:cs="Arial"/>
                <w:sz w:val="22"/>
                <w:szCs w:val="22"/>
                <w:lang w:val="lt-LT"/>
              </w:rPr>
              <w:t>clash</w:t>
            </w:r>
            <w:proofErr w:type="spellEnd"/>
            <w:r w:rsidRPr="0026456A">
              <w:rPr>
                <w:rFonts w:ascii="Arial" w:hAnsi="Arial" w:cs="Arial"/>
                <w:sz w:val="22"/>
                <w:szCs w:val="22"/>
                <w:lang w:val="lt-LT"/>
              </w:rPr>
              <w:t xml:space="preserve"> </w:t>
            </w:r>
            <w:proofErr w:type="spellStart"/>
            <w:r w:rsidRPr="0026456A">
              <w:rPr>
                <w:rFonts w:ascii="Arial" w:hAnsi="Arial" w:cs="Arial"/>
                <w:sz w:val="22"/>
                <w:szCs w:val="22"/>
                <w:lang w:val="lt-LT"/>
              </w:rPr>
              <w:t>detection</w:t>
            </w:r>
            <w:proofErr w:type="spellEnd"/>
            <w:r w:rsidRPr="0026456A">
              <w:rPr>
                <w:rFonts w:ascii="Arial" w:hAnsi="Arial" w:cs="Arial"/>
                <w:sz w:val="22"/>
                <w:szCs w:val="22"/>
                <w:lang w:val="lt-LT"/>
              </w:rPr>
              <w:t>), tiek failų, tiek modelio elementų/sistemų lygmenyje.</w:t>
            </w:r>
          </w:p>
        </w:tc>
      </w:tr>
      <w:tr w:rsidR="00335D29" w:rsidRPr="0026456A" w14:paraId="4BBA19E5" w14:textId="77777777" w:rsidTr="00736477">
        <w:trPr>
          <w:trHeight w:val="300"/>
        </w:trPr>
        <w:tc>
          <w:tcPr>
            <w:tcW w:w="1229" w:type="dxa"/>
          </w:tcPr>
          <w:p w14:paraId="3157AF82" w14:textId="77777777" w:rsidR="00335D29" w:rsidRPr="0026456A" w:rsidRDefault="00335D29" w:rsidP="00736477">
            <w:pPr>
              <w:pStyle w:val="TableParagraph"/>
              <w:spacing w:line="265" w:lineRule="exact"/>
              <w:ind w:left="106" w:right="99"/>
              <w:jc w:val="center"/>
              <w:rPr>
                <w:rFonts w:ascii="Arial" w:hAnsi="Arial" w:cs="Arial"/>
                <w:lang w:val="lt-LT"/>
              </w:rPr>
            </w:pPr>
            <w:r w:rsidRPr="0026456A">
              <w:rPr>
                <w:rFonts w:ascii="Arial" w:hAnsi="Arial" w:cs="Arial"/>
                <w:lang w:val="lt-LT"/>
              </w:rPr>
              <w:t>1.14</w:t>
            </w:r>
          </w:p>
        </w:tc>
        <w:tc>
          <w:tcPr>
            <w:tcW w:w="8977" w:type="dxa"/>
          </w:tcPr>
          <w:p w14:paraId="0BF4DC75" w14:textId="77777777" w:rsidR="00335D29" w:rsidRPr="0026456A" w:rsidRDefault="00335D29" w:rsidP="00736477">
            <w:pPr>
              <w:rPr>
                <w:rFonts w:ascii="Arial" w:hAnsi="Arial" w:cs="Arial"/>
                <w:sz w:val="22"/>
                <w:szCs w:val="22"/>
                <w:lang w:val="lt-LT"/>
              </w:rPr>
            </w:pPr>
            <w:r w:rsidRPr="0026456A">
              <w:rPr>
                <w:rFonts w:ascii="Arial" w:hAnsi="Arial" w:cs="Arial"/>
                <w:sz w:val="22"/>
                <w:szCs w:val="22"/>
                <w:lang w:val="lt-LT"/>
              </w:rPr>
              <w:t xml:space="preserve">CDE turi turėti standartines integracijas su kitomis sistemomis, tokiomis kaip Microsoft </w:t>
            </w:r>
            <w:proofErr w:type="spellStart"/>
            <w:r w:rsidRPr="0026456A">
              <w:rPr>
                <w:rFonts w:ascii="Arial" w:hAnsi="Arial" w:cs="Arial"/>
                <w:sz w:val="22"/>
                <w:szCs w:val="22"/>
                <w:lang w:val="lt-LT"/>
              </w:rPr>
              <w:t>Sharepoint</w:t>
            </w:r>
            <w:proofErr w:type="spellEnd"/>
            <w:r w:rsidRPr="0026456A">
              <w:rPr>
                <w:rFonts w:ascii="Arial" w:hAnsi="Arial" w:cs="Arial"/>
                <w:sz w:val="22"/>
                <w:szCs w:val="22"/>
                <w:lang w:val="lt-LT"/>
              </w:rPr>
              <w:t xml:space="preserve">, Power BI ir </w:t>
            </w:r>
            <w:proofErr w:type="spellStart"/>
            <w:r w:rsidRPr="0026456A">
              <w:rPr>
                <w:rFonts w:ascii="Arial" w:hAnsi="Arial" w:cs="Arial"/>
                <w:sz w:val="22"/>
                <w:szCs w:val="22"/>
                <w:lang w:val="lt-LT"/>
              </w:rPr>
              <w:t>Esri</w:t>
            </w:r>
            <w:proofErr w:type="spellEnd"/>
            <w:r w:rsidRPr="0026456A">
              <w:rPr>
                <w:rFonts w:ascii="Arial" w:hAnsi="Arial" w:cs="Arial"/>
                <w:sz w:val="22"/>
                <w:szCs w:val="22"/>
                <w:lang w:val="lt-LT"/>
              </w:rPr>
              <w:t xml:space="preserve"> </w:t>
            </w:r>
            <w:proofErr w:type="spellStart"/>
            <w:r w:rsidRPr="0026456A">
              <w:rPr>
                <w:rFonts w:ascii="Arial" w:hAnsi="Arial" w:cs="Arial"/>
                <w:sz w:val="22"/>
                <w:szCs w:val="22"/>
                <w:lang w:val="lt-LT"/>
              </w:rPr>
              <w:t>Arcg</w:t>
            </w:r>
            <w:proofErr w:type="spellEnd"/>
          </w:p>
        </w:tc>
      </w:tr>
      <w:tr w:rsidR="00335D29" w:rsidRPr="0026456A" w14:paraId="0BE23563" w14:textId="77777777" w:rsidTr="00736477">
        <w:trPr>
          <w:trHeight w:val="416"/>
        </w:trPr>
        <w:tc>
          <w:tcPr>
            <w:tcW w:w="1229" w:type="dxa"/>
          </w:tcPr>
          <w:p w14:paraId="3D80322B" w14:textId="77777777" w:rsidR="00335D29" w:rsidRPr="0026456A" w:rsidRDefault="00335D29" w:rsidP="00736477">
            <w:pPr>
              <w:pStyle w:val="TableParagraph"/>
              <w:spacing w:line="240" w:lineRule="auto"/>
              <w:ind w:left="0"/>
              <w:jc w:val="center"/>
              <w:rPr>
                <w:rFonts w:ascii="Arial" w:hAnsi="Arial" w:cs="Arial"/>
                <w:b/>
                <w:bCs/>
                <w:lang w:val="lt-LT"/>
              </w:rPr>
            </w:pPr>
            <w:r w:rsidRPr="0026456A">
              <w:rPr>
                <w:rFonts w:ascii="Arial" w:hAnsi="Arial" w:cs="Arial"/>
                <w:b/>
                <w:bCs/>
                <w:lang w:val="lt-LT"/>
              </w:rPr>
              <w:t>2.</w:t>
            </w:r>
          </w:p>
        </w:tc>
        <w:tc>
          <w:tcPr>
            <w:tcW w:w="8977" w:type="dxa"/>
          </w:tcPr>
          <w:p w14:paraId="7A117C80" w14:textId="77777777" w:rsidR="00335D29" w:rsidRPr="0026456A" w:rsidRDefault="00335D29" w:rsidP="00736477">
            <w:pPr>
              <w:pStyle w:val="TableParagraph"/>
              <w:spacing w:line="248" w:lineRule="exact"/>
              <w:rPr>
                <w:rFonts w:ascii="Arial" w:hAnsi="Arial" w:cs="Arial"/>
                <w:b/>
                <w:lang w:val="lt-LT"/>
              </w:rPr>
            </w:pPr>
            <w:r w:rsidRPr="0026456A">
              <w:rPr>
                <w:rFonts w:ascii="Arial" w:hAnsi="Arial" w:cs="Arial"/>
                <w:b/>
                <w:lang w:val="lt-LT"/>
              </w:rPr>
              <w:t xml:space="preserve">Atitiktis standartams ir reglamentams (angl. </w:t>
            </w:r>
            <w:proofErr w:type="spellStart"/>
            <w:r w:rsidRPr="0026456A">
              <w:rPr>
                <w:rFonts w:ascii="Arial" w:hAnsi="Arial" w:cs="Arial"/>
                <w:b/>
                <w:lang w:val="lt-LT"/>
              </w:rPr>
              <w:t>Regulation</w:t>
            </w:r>
            <w:proofErr w:type="spellEnd"/>
            <w:r w:rsidRPr="0026456A">
              <w:rPr>
                <w:rFonts w:ascii="Arial" w:hAnsi="Arial" w:cs="Arial"/>
                <w:b/>
                <w:lang w:val="lt-LT"/>
              </w:rPr>
              <w:t>)</w:t>
            </w:r>
          </w:p>
        </w:tc>
      </w:tr>
      <w:tr w:rsidR="00335D29" w:rsidRPr="0026456A" w14:paraId="1388FAD7" w14:textId="77777777" w:rsidTr="00736477">
        <w:trPr>
          <w:trHeight w:val="1344"/>
        </w:trPr>
        <w:tc>
          <w:tcPr>
            <w:tcW w:w="1229" w:type="dxa"/>
          </w:tcPr>
          <w:p w14:paraId="0026C640" w14:textId="77777777" w:rsidR="00335D29" w:rsidRPr="0026456A" w:rsidRDefault="00335D29" w:rsidP="00736477">
            <w:pPr>
              <w:pStyle w:val="TableParagraph"/>
              <w:spacing w:line="240" w:lineRule="auto"/>
              <w:ind w:left="106" w:right="99"/>
              <w:jc w:val="center"/>
              <w:rPr>
                <w:rFonts w:ascii="Arial" w:hAnsi="Arial" w:cs="Arial"/>
                <w:lang w:val="lt-LT"/>
              </w:rPr>
            </w:pPr>
            <w:r w:rsidRPr="0026456A">
              <w:rPr>
                <w:rFonts w:ascii="Arial" w:hAnsi="Arial" w:cs="Arial"/>
                <w:lang w:val="lt-LT"/>
              </w:rPr>
              <w:t>2.1</w:t>
            </w:r>
          </w:p>
        </w:tc>
        <w:tc>
          <w:tcPr>
            <w:tcW w:w="8977" w:type="dxa"/>
          </w:tcPr>
          <w:p w14:paraId="6A9029F6" w14:textId="77777777" w:rsidR="00335D29" w:rsidRPr="0026456A" w:rsidRDefault="00335D29" w:rsidP="00736477">
            <w:pPr>
              <w:pStyle w:val="TableParagraph"/>
              <w:spacing w:line="240" w:lineRule="auto"/>
              <w:ind w:right="102"/>
              <w:jc w:val="both"/>
              <w:rPr>
                <w:rFonts w:ascii="Arial" w:hAnsi="Arial" w:cs="Arial"/>
                <w:lang w:val="lt-LT"/>
              </w:rPr>
            </w:pPr>
            <w:r w:rsidRPr="0026456A">
              <w:rPr>
                <w:rFonts w:ascii="Arial" w:hAnsi="Arial" w:cs="Arial"/>
                <w:lang w:val="lt-LT"/>
              </w:rPr>
              <w:t>CDE, Paslaugos ir Tiekėjas turi atitikti asmens duomenų apsaugos principus ir nuostatas kaip aprašyta Europos parlamento ir Tarybos Reglamente 2016/679 dėl fizinių asmenų apsaugos tvarkant asmens duomenis ir dėl laisvo tokių duomenų judėjimo ir kuriuo panaikinama Direktyva 95/46/EB (toliau BDAR,</w:t>
            </w:r>
          </w:p>
          <w:p w14:paraId="37A6C2B9" w14:textId="77777777" w:rsidR="00335D29" w:rsidRPr="0026456A" w:rsidRDefault="00335D29" w:rsidP="00736477">
            <w:pPr>
              <w:pStyle w:val="TableParagraph"/>
              <w:spacing w:line="249" w:lineRule="exact"/>
              <w:jc w:val="both"/>
              <w:rPr>
                <w:rFonts w:ascii="Arial" w:hAnsi="Arial" w:cs="Arial"/>
                <w:lang w:val="lt-LT"/>
              </w:rPr>
            </w:pPr>
            <w:r w:rsidRPr="0026456A">
              <w:rPr>
                <w:rFonts w:ascii="Arial" w:hAnsi="Arial" w:cs="Arial"/>
                <w:lang w:val="lt-LT"/>
              </w:rPr>
              <w:t>Bendrasis duomenų apsaugos reglamentas).</w:t>
            </w:r>
          </w:p>
        </w:tc>
      </w:tr>
      <w:tr w:rsidR="00335D29" w:rsidRPr="0026456A" w14:paraId="797FBB8F" w14:textId="77777777" w:rsidTr="00736477">
        <w:trPr>
          <w:trHeight w:val="358"/>
        </w:trPr>
        <w:tc>
          <w:tcPr>
            <w:tcW w:w="1229" w:type="dxa"/>
          </w:tcPr>
          <w:p w14:paraId="090BD676" w14:textId="77777777" w:rsidR="00335D29" w:rsidRPr="0026456A" w:rsidRDefault="00335D29" w:rsidP="00736477">
            <w:pPr>
              <w:pStyle w:val="TableParagraph"/>
              <w:spacing w:line="240" w:lineRule="auto"/>
              <w:ind w:left="360"/>
              <w:rPr>
                <w:rFonts w:ascii="Arial" w:hAnsi="Arial" w:cs="Arial"/>
                <w:b/>
                <w:bCs/>
                <w:lang w:val="lt-LT"/>
              </w:rPr>
            </w:pPr>
            <w:r w:rsidRPr="0026456A">
              <w:rPr>
                <w:rFonts w:ascii="Arial" w:hAnsi="Arial" w:cs="Arial"/>
                <w:b/>
                <w:bCs/>
                <w:lang w:val="lt-LT"/>
              </w:rPr>
              <w:t xml:space="preserve">3. </w:t>
            </w:r>
          </w:p>
        </w:tc>
        <w:tc>
          <w:tcPr>
            <w:tcW w:w="8977" w:type="dxa"/>
          </w:tcPr>
          <w:p w14:paraId="262F23DE" w14:textId="77777777" w:rsidR="00335D29" w:rsidRPr="0026456A" w:rsidRDefault="00335D29" w:rsidP="00736477">
            <w:pPr>
              <w:pStyle w:val="TableParagraph"/>
              <w:spacing w:before="1" w:line="257" w:lineRule="exact"/>
              <w:rPr>
                <w:rFonts w:ascii="Arial" w:hAnsi="Arial" w:cs="Arial"/>
                <w:b/>
                <w:bCs/>
                <w:lang w:val="lt-LT"/>
              </w:rPr>
            </w:pPr>
            <w:r w:rsidRPr="0026456A">
              <w:rPr>
                <w:rFonts w:ascii="Arial" w:hAnsi="Arial" w:cs="Arial"/>
                <w:b/>
                <w:bCs/>
                <w:lang w:val="lt-LT"/>
              </w:rPr>
              <w:t xml:space="preserve">Reikalavimai saugumui (angl. </w:t>
            </w:r>
            <w:proofErr w:type="spellStart"/>
            <w:r w:rsidRPr="0026456A">
              <w:rPr>
                <w:rFonts w:ascii="Arial" w:hAnsi="Arial" w:cs="Arial"/>
                <w:b/>
                <w:bCs/>
                <w:lang w:val="lt-LT"/>
              </w:rPr>
              <w:t>Security</w:t>
            </w:r>
            <w:proofErr w:type="spellEnd"/>
            <w:r w:rsidRPr="0026456A">
              <w:rPr>
                <w:rFonts w:ascii="Arial" w:hAnsi="Arial" w:cs="Arial"/>
                <w:b/>
                <w:bCs/>
                <w:lang w:val="lt-LT"/>
              </w:rPr>
              <w:t>)</w:t>
            </w:r>
          </w:p>
        </w:tc>
      </w:tr>
      <w:tr w:rsidR="00335D29" w:rsidRPr="0026456A" w14:paraId="7153CF13" w14:textId="77777777" w:rsidTr="00736477">
        <w:trPr>
          <w:trHeight w:val="806"/>
        </w:trPr>
        <w:tc>
          <w:tcPr>
            <w:tcW w:w="1229" w:type="dxa"/>
          </w:tcPr>
          <w:p w14:paraId="344B5AD4"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3.1</w:t>
            </w:r>
          </w:p>
        </w:tc>
        <w:tc>
          <w:tcPr>
            <w:tcW w:w="8977" w:type="dxa"/>
          </w:tcPr>
          <w:p w14:paraId="49E856D9" w14:textId="77777777" w:rsidR="00335D29" w:rsidRPr="0026456A" w:rsidRDefault="00335D29" w:rsidP="00736477">
            <w:pPr>
              <w:pStyle w:val="TableParagraph"/>
              <w:rPr>
                <w:rFonts w:ascii="Arial" w:hAnsi="Arial" w:cs="Arial"/>
                <w:lang w:val="lt-LT"/>
              </w:rPr>
            </w:pPr>
            <w:r w:rsidRPr="0026456A">
              <w:rPr>
                <w:rFonts w:ascii="Arial" w:hAnsi="Arial" w:cs="Arial"/>
                <w:lang w:val="lt-LT"/>
              </w:rPr>
              <w:t xml:space="preserve">Turi būti galimybė  prisijungti  prie  CDE be  pakartotinio  naudotojo  </w:t>
            </w:r>
            <w:r w:rsidRPr="0026456A">
              <w:rPr>
                <w:rFonts w:ascii="Arial" w:hAnsi="Arial" w:cs="Arial"/>
                <w:spacing w:val="10"/>
                <w:lang w:val="lt-LT"/>
              </w:rPr>
              <w:t xml:space="preserve"> </w:t>
            </w:r>
            <w:r w:rsidRPr="0026456A">
              <w:rPr>
                <w:rFonts w:ascii="Arial" w:hAnsi="Arial" w:cs="Arial"/>
                <w:lang w:val="lt-LT"/>
              </w:rPr>
              <w:t>duomenų</w:t>
            </w:r>
          </w:p>
          <w:p w14:paraId="7158A8E2" w14:textId="77777777" w:rsidR="00335D29" w:rsidRPr="0026456A" w:rsidRDefault="00335D29" w:rsidP="00736477">
            <w:pPr>
              <w:pStyle w:val="TableParagraph"/>
              <w:spacing w:line="240" w:lineRule="auto"/>
              <w:rPr>
                <w:rFonts w:ascii="Arial" w:hAnsi="Arial" w:cs="Arial"/>
                <w:lang w:val="lt-LT"/>
              </w:rPr>
            </w:pPr>
            <w:r w:rsidRPr="0026456A">
              <w:rPr>
                <w:rFonts w:ascii="Arial" w:hAnsi="Arial" w:cs="Arial"/>
                <w:lang w:val="lt-LT"/>
              </w:rPr>
              <w:t xml:space="preserve">suvedimo  (angl.  </w:t>
            </w:r>
            <w:proofErr w:type="spellStart"/>
            <w:r w:rsidRPr="0026456A">
              <w:rPr>
                <w:rFonts w:ascii="Arial" w:hAnsi="Arial" w:cs="Arial"/>
                <w:lang w:val="lt-LT"/>
              </w:rPr>
              <w:t>Single</w:t>
            </w:r>
            <w:proofErr w:type="spellEnd"/>
            <w:r w:rsidRPr="0026456A">
              <w:rPr>
                <w:rFonts w:ascii="Arial" w:hAnsi="Arial" w:cs="Arial"/>
                <w:lang w:val="lt-LT"/>
              </w:rPr>
              <w:t xml:space="preserve">  </w:t>
            </w:r>
            <w:proofErr w:type="spellStart"/>
            <w:r w:rsidRPr="0026456A">
              <w:rPr>
                <w:rFonts w:ascii="Arial" w:hAnsi="Arial" w:cs="Arial"/>
                <w:lang w:val="lt-LT"/>
              </w:rPr>
              <w:t>Sign-On</w:t>
            </w:r>
            <w:proofErr w:type="spellEnd"/>
            <w:r w:rsidRPr="0026456A">
              <w:rPr>
                <w:rFonts w:ascii="Arial" w:hAnsi="Arial" w:cs="Arial"/>
                <w:lang w:val="lt-LT"/>
              </w:rPr>
              <w:t xml:space="preserve">).  Naudotojas  autentifikavosi  Pirkėjo </w:t>
            </w:r>
            <w:r w:rsidRPr="0026456A">
              <w:rPr>
                <w:rFonts w:ascii="Arial" w:hAnsi="Arial" w:cs="Arial"/>
                <w:spacing w:val="24"/>
                <w:lang w:val="lt-LT"/>
              </w:rPr>
              <w:t xml:space="preserve"> </w:t>
            </w:r>
            <w:r w:rsidRPr="0026456A">
              <w:rPr>
                <w:rFonts w:ascii="Arial" w:hAnsi="Arial" w:cs="Arial"/>
                <w:lang w:val="lt-LT"/>
              </w:rPr>
              <w:t>profilio dėka, naudojant SAML ar OAuth2.</w:t>
            </w:r>
          </w:p>
        </w:tc>
      </w:tr>
      <w:tr w:rsidR="00335D29" w:rsidRPr="0026456A" w14:paraId="02E7D608" w14:textId="77777777" w:rsidTr="00736477">
        <w:trPr>
          <w:trHeight w:val="537"/>
        </w:trPr>
        <w:tc>
          <w:tcPr>
            <w:tcW w:w="1229" w:type="dxa"/>
          </w:tcPr>
          <w:p w14:paraId="373BF82D"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3.2</w:t>
            </w:r>
          </w:p>
        </w:tc>
        <w:tc>
          <w:tcPr>
            <w:tcW w:w="8977" w:type="dxa"/>
          </w:tcPr>
          <w:p w14:paraId="12AC9BF6"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CDE slaptažodžiai negali būti saugomi atviru tekstu. Jei tokia informacija yra saugoma, neturi būti galimybės jos dešifruoti.</w:t>
            </w:r>
          </w:p>
        </w:tc>
      </w:tr>
      <w:tr w:rsidR="00335D29" w:rsidRPr="0026456A" w14:paraId="7A906742" w14:textId="77777777" w:rsidTr="00736477">
        <w:trPr>
          <w:trHeight w:val="537"/>
        </w:trPr>
        <w:tc>
          <w:tcPr>
            <w:tcW w:w="1229" w:type="dxa"/>
          </w:tcPr>
          <w:p w14:paraId="130AA416"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3.3</w:t>
            </w:r>
          </w:p>
        </w:tc>
        <w:tc>
          <w:tcPr>
            <w:tcW w:w="8977" w:type="dxa"/>
          </w:tcPr>
          <w:p w14:paraId="1A4595CC"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 xml:space="preserve">Autorizacija, autentifikacija ir duomenų perdavimas turi būti šifruoti (angl. </w:t>
            </w:r>
            <w:proofErr w:type="spellStart"/>
            <w:r w:rsidRPr="0026456A">
              <w:rPr>
                <w:rFonts w:ascii="Arial" w:hAnsi="Arial" w:cs="Arial"/>
                <w:lang w:val="lt-LT"/>
              </w:rPr>
              <w:t>Transport</w:t>
            </w:r>
            <w:proofErr w:type="spellEnd"/>
            <w:r w:rsidRPr="0026456A">
              <w:rPr>
                <w:rFonts w:ascii="Arial" w:hAnsi="Arial" w:cs="Arial"/>
                <w:lang w:val="lt-LT"/>
              </w:rPr>
              <w:t xml:space="preserve"> </w:t>
            </w:r>
            <w:proofErr w:type="spellStart"/>
            <w:r w:rsidRPr="0026456A">
              <w:rPr>
                <w:rFonts w:ascii="Arial" w:hAnsi="Arial" w:cs="Arial"/>
                <w:lang w:val="lt-LT"/>
              </w:rPr>
              <w:t>Layer</w:t>
            </w:r>
            <w:proofErr w:type="spellEnd"/>
            <w:r w:rsidRPr="0026456A">
              <w:rPr>
                <w:rFonts w:ascii="Arial" w:hAnsi="Arial" w:cs="Arial"/>
                <w:lang w:val="lt-LT"/>
              </w:rPr>
              <w:t xml:space="preserve"> </w:t>
            </w:r>
            <w:proofErr w:type="spellStart"/>
            <w:r w:rsidRPr="0026456A">
              <w:rPr>
                <w:rFonts w:ascii="Arial" w:hAnsi="Arial" w:cs="Arial"/>
                <w:lang w:val="lt-LT"/>
              </w:rPr>
              <w:t>Security</w:t>
            </w:r>
            <w:proofErr w:type="spellEnd"/>
            <w:r w:rsidRPr="0026456A">
              <w:rPr>
                <w:rFonts w:ascii="Arial" w:hAnsi="Arial" w:cs="Arial"/>
                <w:lang w:val="lt-LT"/>
              </w:rPr>
              <w:t xml:space="preserve"> - TLS).</w:t>
            </w:r>
          </w:p>
        </w:tc>
      </w:tr>
      <w:tr w:rsidR="00335D29" w:rsidRPr="0026456A" w14:paraId="3E781E3A" w14:textId="77777777" w:rsidTr="00736477">
        <w:trPr>
          <w:trHeight w:val="804"/>
        </w:trPr>
        <w:tc>
          <w:tcPr>
            <w:tcW w:w="1229" w:type="dxa"/>
          </w:tcPr>
          <w:p w14:paraId="10D63901"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3.4</w:t>
            </w:r>
          </w:p>
        </w:tc>
        <w:tc>
          <w:tcPr>
            <w:tcW w:w="8977" w:type="dxa"/>
          </w:tcPr>
          <w:p w14:paraId="05558FBE" w14:textId="77777777" w:rsidR="00335D29" w:rsidRPr="0026456A" w:rsidRDefault="00335D29" w:rsidP="00736477">
            <w:pPr>
              <w:pStyle w:val="TableParagraph"/>
              <w:spacing w:line="240" w:lineRule="auto"/>
              <w:rPr>
                <w:rFonts w:ascii="Arial" w:hAnsi="Arial" w:cs="Arial"/>
                <w:lang w:val="lt-LT"/>
              </w:rPr>
            </w:pPr>
            <w:r w:rsidRPr="0026456A">
              <w:rPr>
                <w:rFonts w:ascii="Arial" w:hAnsi="Arial" w:cs="Arial"/>
                <w:lang w:val="lt-LT"/>
              </w:rPr>
              <w:t>CDE turi unikaliai identifikuoti atskirus sistemos naudotojus.</w:t>
            </w:r>
          </w:p>
        </w:tc>
      </w:tr>
      <w:tr w:rsidR="00335D29" w:rsidRPr="0026456A" w14:paraId="259085A8" w14:textId="77777777" w:rsidTr="00736477">
        <w:trPr>
          <w:trHeight w:val="537"/>
        </w:trPr>
        <w:tc>
          <w:tcPr>
            <w:tcW w:w="1229" w:type="dxa"/>
          </w:tcPr>
          <w:p w14:paraId="212C655F" w14:textId="77777777" w:rsidR="00335D29" w:rsidRPr="0026456A" w:rsidRDefault="00335D29" w:rsidP="00736477">
            <w:pPr>
              <w:pStyle w:val="TableParagraph"/>
              <w:spacing w:line="261" w:lineRule="exact"/>
              <w:ind w:left="106" w:right="98"/>
              <w:jc w:val="center"/>
              <w:rPr>
                <w:rFonts w:ascii="Arial" w:hAnsi="Arial" w:cs="Arial"/>
                <w:lang w:val="lt-LT"/>
              </w:rPr>
            </w:pPr>
            <w:r w:rsidRPr="0026456A">
              <w:rPr>
                <w:rFonts w:ascii="Arial" w:hAnsi="Arial" w:cs="Arial"/>
                <w:lang w:val="lt-LT"/>
              </w:rPr>
              <w:t>3.5</w:t>
            </w:r>
          </w:p>
        </w:tc>
        <w:tc>
          <w:tcPr>
            <w:tcW w:w="8977" w:type="dxa"/>
          </w:tcPr>
          <w:p w14:paraId="3F39C03C" w14:textId="77777777" w:rsidR="00335D29" w:rsidRPr="0026456A" w:rsidRDefault="00335D29" w:rsidP="00736477">
            <w:pPr>
              <w:pStyle w:val="TableParagraph"/>
              <w:spacing w:line="261" w:lineRule="exact"/>
              <w:rPr>
                <w:rFonts w:ascii="Arial" w:hAnsi="Arial" w:cs="Arial"/>
                <w:lang w:val="lt-LT"/>
              </w:rPr>
            </w:pPr>
            <w:r w:rsidRPr="0026456A">
              <w:rPr>
                <w:rFonts w:ascii="Arial" w:hAnsi="Arial" w:cs="Arial"/>
                <w:lang w:val="lt-LT"/>
              </w:rPr>
              <w:t>Turi būti palaikoma dviejų faktorių autentifikacija, kuri turi būti centralizuotai valdoma Pirkėjo.</w:t>
            </w:r>
          </w:p>
        </w:tc>
      </w:tr>
      <w:tr w:rsidR="00335D29" w:rsidRPr="0026456A" w14:paraId="1045591F" w14:textId="77777777" w:rsidTr="00736477">
        <w:trPr>
          <w:trHeight w:val="537"/>
        </w:trPr>
        <w:tc>
          <w:tcPr>
            <w:tcW w:w="1229" w:type="dxa"/>
          </w:tcPr>
          <w:p w14:paraId="346438ED"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3.6</w:t>
            </w:r>
          </w:p>
        </w:tc>
        <w:tc>
          <w:tcPr>
            <w:tcW w:w="8977" w:type="dxa"/>
          </w:tcPr>
          <w:p w14:paraId="03E8AD19"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CDE autorizavimo mechanizmas turi būti realizuotas remiantis rolių modeliu (angl. Role-</w:t>
            </w:r>
            <w:proofErr w:type="spellStart"/>
            <w:r w:rsidRPr="0026456A">
              <w:rPr>
                <w:rFonts w:ascii="Arial" w:hAnsi="Arial" w:cs="Arial"/>
                <w:lang w:val="lt-LT"/>
              </w:rPr>
              <w:t>based</w:t>
            </w:r>
            <w:proofErr w:type="spellEnd"/>
            <w:r w:rsidRPr="0026456A">
              <w:rPr>
                <w:rFonts w:ascii="Arial" w:hAnsi="Arial" w:cs="Arial"/>
                <w:lang w:val="lt-LT"/>
              </w:rPr>
              <w:t xml:space="preserve"> </w:t>
            </w:r>
            <w:proofErr w:type="spellStart"/>
            <w:r w:rsidRPr="0026456A">
              <w:rPr>
                <w:rFonts w:ascii="Arial" w:hAnsi="Arial" w:cs="Arial"/>
                <w:lang w:val="lt-LT"/>
              </w:rPr>
              <w:t>Model</w:t>
            </w:r>
            <w:proofErr w:type="spellEnd"/>
            <w:r w:rsidRPr="0026456A">
              <w:rPr>
                <w:rFonts w:ascii="Arial" w:hAnsi="Arial" w:cs="Arial"/>
                <w:lang w:val="lt-LT"/>
              </w:rPr>
              <w:t>) ir valdomas centralizuotai.</w:t>
            </w:r>
          </w:p>
        </w:tc>
      </w:tr>
      <w:tr w:rsidR="00335D29" w:rsidRPr="0026456A" w14:paraId="1A612219" w14:textId="77777777" w:rsidTr="00736477">
        <w:trPr>
          <w:trHeight w:val="537"/>
        </w:trPr>
        <w:tc>
          <w:tcPr>
            <w:tcW w:w="1229" w:type="dxa"/>
          </w:tcPr>
          <w:p w14:paraId="4F78C736"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3.7</w:t>
            </w:r>
          </w:p>
        </w:tc>
        <w:tc>
          <w:tcPr>
            <w:tcW w:w="8977" w:type="dxa"/>
          </w:tcPr>
          <w:p w14:paraId="677F515C" w14:textId="77777777" w:rsidR="00335D29" w:rsidRPr="0026456A" w:rsidRDefault="00335D29" w:rsidP="00736477">
            <w:pPr>
              <w:pStyle w:val="TableParagraph"/>
              <w:rPr>
                <w:rFonts w:ascii="Arial" w:hAnsi="Arial" w:cs="Arial"/>
                <w:lang w:val="lt-LT"/>
              </w:rPr>
            </w:pPr>
            <w:r w:rsidRPr="0026456A">
              <w:rPr>
                <w:rFonts w:ascii="Arial" w:hAnsi="Arial" w:cs="Arial"/>
                <w:lang w:val="lt-LT"/>
              </w:rPr>
              <w:t>Turi būti galimybė valdyti prieigą katalogų lygyje.</w:t>
            </w:r>
          </w:p>
        </w:tc>
      </w:tr>
      <w:tr w:rsidR="00335D29" w:rsidRPr="0026456A" w14:paraId="5285C438" w14:textId="77777777" w:rsidTr="00736477">
        <w:trPr>
          <w:trHeight w:val="537"/>
        </w:trPr>
        <w:tc>
          <w:tcPr>
            <w:tcW w:w="1229" w:type="dxa"/>
          </w:tcPr>
          <w:p w14:paraId="1B65CD3C"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3.8</w:t>
            </w:r>
          </w:p>
        </w:tc>
        <w:tc>
          <w:tcPr>
            <w:tcW w:w="8977" w:type="dxa"/>
          </w:tcPr>
          <w:p w14:paraId="2B7F3A75" w14:textId="77777777" w:rsidR="00335D29" w:rsidRPr="0026456A" w:rsidRDefault="00335D29" w:rsidP="00736477">
            <w:pPr>
              <w:pStyle w:val="TableParagraph"/>
              <w:rPr>
                <w:rFonts w:ascii="Arial" w:hAnsi="Arial" w:cs="Arial"/>
                <w:lang w:val="lt-LT"/>
              </w:rPr>
            </w:pPr>
            <w:r w:rsidRPr="0026456A">
              <w:rPr>
                <w:rFonts w:ascii="Arial" w:hAnsi="Arial" w:cs="Arial"/>
                <w:lang w:val="lt-LT"/>
              </w:rPr>
              <w:t>Turi būti galimybė sudaryti darbo grupes, naudotojus priskirti vienai ar kelioms</w:t>
            </w:r>
          </w:p>
          <w:p w14:paraId="4AF2752B"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darbo grupėms.</w:t>
            </w:r>
          </w:p>
        </w:tc>
      </w:tr>
      <w:tr w:rsidR="00335D29" w:rsidRPr="0026456A" w14:paraId="557A0A50" w14:textId="77777777" w:rsidTr="00736477">
        <w:trPr>
          <w:trHeight w:val="537"/>
        </w:trPr>
        <w:tc>
          <w:tcPr>
            <w:tcW w:w="1229" w:type="dxa"/>
          </w:tcPr>
          <w:p w14:paraId="70C56AC3"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3.9</w:t>
            </w:r>
          </w:p>
        </w:tc>
        <w:tc>
          <w:tcPr>
            <w:tcW w:w="8977" w:type="dxa"/>
          </w:tcPr>
          <w:p w14:paraId="609DB38C" w14:textId="77777777" w:rsidR="00335D29" w:rsidRPr="0026456A" w:rsidRDefault="00335D29" w:rsidP="00736477">
            <w:pPr>
              <w:pStyle w:val="TableParagraph"/>
              <w:rPr>
                <w:rFonts w:ascii="Arial" w:hAnsi="Arial" w:cs="Arial"/>
                <w:lang w:val="lt-LT"/>
              </w:rPr>
            </w:pPr>
            <w:r w:rsidRPr="0026456A">
              <w:rPr>
                <w:rFonts w:ascii="Arial" w:hAnsi="Arial" w:cs="Arial"/>
                <w:lang w:val="lt-LT"/>
              </w:rPr>
              <w:t>Turi būti galimybė valdyti naudotojui prieinamą sąrankos elementų, objektų</w:t>
            </w:r>
          </w:p>
          <w:p w14:paraId="1CFDF3AE"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informaciją atsižvelgiant į paskirtas teises.</w:t>
            </w:r>
          </w:p>
        </w:tc>
      </w:tr>
      <w:tr w:rsidR="00335D29" w:rsidRPr="0026456A" w14:paraId="68356FC7" w14:textId="77777777" w:rsidTr="00736477">
        <w:trPr>
          <w:trHeight w:val="537"/>
        </w:trPr>
        <w:tc>
          <w:tcPr>
            <w:tcW w:w="1229" w:type="dxa"/>
          </w:tcPr>
          <w:p w14:paraId="45EA906E"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3.10</w:t>
            </w:r>
          </w:p>
        </w:tc>
        <w:tc>
          <w:tcPr>
            <w:tcW w:w="8977" w:type="dxa"/>
          </w:tcPr>
          <w:p w14:paraId="52B39EFB" w14:textId="77777777" w:rsidR="00335D29" w:rsidRPr="0026456A" w:rsidRDefault="00335D29" w:rsidP="00736477">
            <w:pPr>
              <w:pStyle w:val="TableParagraph"/>
              <w:rPr>
                <w:rFonts w:ascii="Arial" w:hAnsi="Arial" w:cs="Arial"/>
                <w:lang w:val="lt-LT"/>
              </w:rPr>
            </w:pPr>
            <w:r w:rsidRPr="0026456A">
              <w:rPr>
                <w:rFonts w:ascii="Arial" w:hAnsi="Arial" w:cs="Arial"/>
                <w:lang w:val="lt-LT"/>
              </w:rPr>
              <w:t>CDE turi būti galimybė registruoti įvykius įvykių žurnale (apimant, bet</w:t>
            </w:r>
          </w:p>
          <w:p w14:paraId="4FE6E6EA"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neapsiribojant):</w:t>
            </w:r>
          </w:p>
        </w:tc>
      </w:tr>
      <w:tr w:rsidR="00335D29" w:rsidRPr="0026456A" w14:paraId="5D6B374D" w14:textId="77777777" w:rsidTr="00736477">
        <w:trPr>
          <w:trHeight w:val="537"/>
        </w:trPr>
        <w:tc>
          <w:tcPr>
            <w:tcW w:w="1229" w:type="dxa"/>
          </w:tcPr>
          <w:p w14:paraId="650E1E26"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3.10.1</w:t>
            </w:r>
          </w:p>
        </w:tc>
        <w:tc>
          <w:tcPr>
            <w:tcW w:w="8977" w:type="dxa"/>
          </w:tcPr>
          <w:p w14:paraId="69A7977B" w14:textId="77777777" w:rsidR="00335D29" w:rsidRPr="0026456A" w:rsidRDefault="00335D29" w:rsidP="00736477">
            <w:pPr>
              <w:pStyle w:val="TableParagraph"/>
              <w:rPr>
                <w:rFonts w:ascii="Arial" w:hAnsi="Arial" w:cs="Arial"/>
                <w:lang w:val="lt-LT"/>
              </w:rPr>
            </w:pPr>
            <w:r w:rsidRPr="0026456A">
              <w:rPr>
                <w:rFonts w:ascii="Arial" w:hAnsi="Arial" w:cs="Arial"/>
                <w:lang w:val="lt-LT"/>
              </w:rPr>
              <w:t>Naudotojų veiksmai (darbo stočių, stalinių kompiuterių, mob. įrenginių);</w:t>
            </w:r>
          </w:p>
        </w:tc>
      </w:tr>
      <w:tr w:rsidR="00335D29" w:rsidRPr="0026456A" w14:paraId="532A52D2" w14:textId="77777777" w:rsidTr="00736477">
        <w:trPr>
          <w:trHeight w:val="537"/>
        </w:trPr>
        <w:tc>
          <w:tcPr>
            <w:tcW w:w="1229" w:type="dxa"/>
          </w:tcPr>
          <w:p w14:paraId="75357B35"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3.10.2</w:t>
            </w:r>
          </w:p>
        </w:tc>
        <w:tc>
          <w:tcPr>
            <w:tcW w:w="8977" w:type="dxa"/>
          </w:tcPr>
          <w:p w14:paraId="1FC49239" w14:textId="77777777" w:rsidR="00335D29" w:rsidRPr="0026456A" w:rsidRDefault="00335D29" w:rsidP="00736477">
            <w:pPr>
              <w:pStyle w:val="TableParagraph"/>
              <w:rPr>
                <w:rFonts w:ascii="Arial" w:hAnsi="Arial" w:cs="Arial"/>
                <w:lang w:val="lt-LT"/>
              </w:rPr>
            </w:pPr>
            <w:r w:rsidRPr="0026456A">
              <w:rPr>
                <w:rFonts w:ascii="Arial" w:hAnsi="Arial" w:cs="Arial"/>
                <w:lang w:val="lt-LT"/>
              </w:rPr>
              <w:t>Sisteminiai veiksmai (apimant ir integruotas posistemes);</w:t>
            </w:r>
          </w:p>
        </w:tc>
      </w:tr>
      <w:tr w:rsidR="00335D29" w:rsidRPr="0026456A" w14:paraId="3B7B9C78" w14:textId="77777777" w:rsidTr="00736477">
        <w:trPr>
          <w:trHeight w:val="536"/>
        </w:trPr>
        <w:tc>
          <w:tcPr>
            <w:tcW w:w="1229" w:type="dxa"/>
          </w:tcPr>
          <w:p w14:paraId="19B83262"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3.10.3</w:t>
            </w:r>
          </w:p>
        </w:tc>
        <w:tc>
          <w:tcPr>
            <w:tcW w:w="8977" w:type="dxa"/>
          </w:tcPr>
          <w:p w14:paraId="4A71A940" w14:textId="77777777" w:rsidR="00335D29" w:rsidRPr="0026456A" w:rsidRDefault="00335D29" w:rsidP="00736477">
            <w:pPr>
              <w:pStyle w:val="TableParagraph"/>
              <w:rPr>
                <w:rFonts w:ascii="Arial" w:hAnsi="Arial" w:cs="Arial"/>
                <w:lang w:val="lt-LT"/>
              </w:rPr>
            </w:pPr>
            <w:r w:rsidRPr="0026456A">
              <w:rPr>
                <w:rFonts w:ascii="Arial" w:hAnsi="Arial" w:cs="Arial"/>
                <w:lang w:val="lt-LT"/>
              </w:rPr>
              <w:t>Esminiai įvykiai ir elementai (tokie kaip prisijungimas, atidarymas, peržiūra,</w:t>
            </w:r>
          </w:p>
          <w:p w14:paraId="0576D951" w14:textId="77777777" w:rsidR="00335D29" w:rsidRPr="0026456A" w:rsidRDefault="00335D29" w:rsidP="00736477">
            <w:pPr>
              <w:pStyle w:val="TableParagraph"/>
              <w:spacing w:line="256" w:lineRule="exact"/>
              <w:rPr>
                <w:rFonts w:ascii="Arial" w:hAnsi="Arial" w:cs="Arial"/>
                <w:lang w:val="lt-LT"/>
              </w:rPr>
            </w:pPr>
            <w:r w:rsidRPr="0026456A">
              <w:rPr>
                <w:rFonts w:ascii="Arial" w:hAnsi="Arial" w:cs="Arial"/>
                <w:lang w:val="lt-LT"/>
              </w:rPr>
              <w:t>pakeitimas, ištrynimas ir pan.);</w:t>
            </w:r>
          </w:p>
        </w:tc>
      </w:tr>
      <w:tr w:rsidR="00335D29" w:rsidRPr="0026456A" w14:paraId="35684947" w14:textId="77777777" w:rsidTr="00736477">
        <w:trPr>
          <w:trHeight w:val="537"/>
        </w:trPr>
        <w:tc>
          <w:tcPr>
            <w:tcW w:w="1229" w:type="dxa"/>
          </w:tcPr>
          <w:p w14:paraId="102E693C" w14:textId="77777777" w:rsidR="00335D29" w:rsidRPr="0026456A" w:rsidRDefault="00335D29" w:rsidP="00736477">
            <w:pPr>
              <w:pStyle w:val="TableParagraph"/>
              <w:spacing w:line="261" w:lineRule="exact"/>
              <w:ind w:left="106" w:right="98"/>
              <w:jc w:val="center"/>
              <w:rPr>
                <w:rFonts w:ascii="Arial" w:hAnsi="Arial" w:cs="Arial"/>
                <w:lang w:val="lt-LT"/>
              </w:rPr>
            </w:pPr>
            <w:r w:rsidRPr="0026456A">
              <w:rPr>
                <w:rFonts w:ascii="Arial" w:hAnsi="Arial" w:cs="Arial"/>
                <w:lang w:val="lt-LT"/>
              </w:rPr>
              <w:t>3.10.4</w:t>
            </w:r>
          </w:p>
        </w:tc>
        <w:tc>
          <w:tcPr>
            <w:tcW w:w="8977" w:type="dxa"/>
          </w:tcPr>
          <w:p w14:paraId="5F87DAC4" w14:textId="77777777" w:rsidR="00335D29" w:rsidRPr="0026456A" w:rsidRDefault="00335D29" w:rsidP="00736477">
            <w:pPr>
              <w:pStyle w:val="TableParagraph"/>
              <w:spacing w:line="261" w:lineRule="exact"/>
              <w:rPr>
                <w:rFonts w:ascii="Arial" w:hAnsi="Arial" w:cs="Arial"/>
                <w:lang w:val="lt-LT"/>
              </w:rPr>
            </w:pPr>
            <w:r w:rsidRPr="0026456A">
              <w:rPr>
                <w:rFonts w:ascii="Arial" w:hAnsi="Arial" w:cs="Arial"/>
                <w:lang w:val="lt-LT"/>
              </w:rPr>
              <w:t>Žurnaliniuose įrašuose turi būti užfiksuota įrašo data, laikas ir užfiksuoto</w:t>
            </w:r>
          </w:p>
          <w:p w14:paraId="79E08557" w14:textId="77777777" w:rsidR="00335D29" w:rsidRPr="0026456A" w:rsidRDefault="00335D29" w:rsidP="00736477">
            <w:pPr>
              <w:pStyle w:val="TableParagraph"/>
              <w:spacing w:line="256" w:lineRule="exact"/>
              <w:rPr>
                <w:rFonts w:ascii="Arial" w:hAnsi="Arial" w:cs="Arial"/>
                <w:lang w:val="lt-LT"/>
              </w:rPr>
            </w:pPr>
            <w:r w:rsidRPr="0026456A">
              <w:rPr>
                <w:rFonts w:ascii="Arial" w:hAnsi="Arial" w:cs="Arial"/>
                <w:lang w:val="lt-LT"/>
              </w:rPr>
              <w:t>veiksmo aprašymas.</w:t>
            </w:r>
          </w:p>
        </w:tc>
      </w:tr>
      <w:tr w:rsidR="00335D29" w:rsidRPr="0026456A" w14:paraId="5F4AD416" w14:textId="77777777" w:rsidTr="00736477">
        <w:trPr>
          <w:trHeight w:val="537"/>
        </w:trPr>
        <w:tc>
          <w:tcPr>
            <w:tcW w:w="1229" w:type="dxa"/>
          </w:tcPr>
          <w:p w14:paraId="7CCFE734"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3.10.5</w:t>
            </w:r>
          </w:p>
        </w:tc>
        <w:tc>
          <w:tcPr>
            <w:tcW w:w="8977" w:type="dxa"/>
          </w:tcPr>
          <w:p w14:paraId="4EE5C1DB" w14:textId="77777777" w:rsidR="00335D29" w:rsidRPr="0026456A" w:rsidRDefault="00335D29" w:rsidP="00736477">
            <w:pPr>
              <w:pStyle w:val="TableParagraph"/>
              <w:rPr>
                <w:rFonts w:ascii="Arial" w:hAnsi="Arial" w:cs="Arial"/>
                <w:lang w:val="lt-LT"/>
              </w:rPr>
            </w:pPr>
            <w:r w:rsidRPr="0026456A">
              <w:rPr>
                <w:rFonts w:ascii="Arial" w:hAnsi="Arial" w:cs="Arial"/>
                <w:lang w:val="lt-LT"/>
              </w:rPr>
              <w:t>Žurnaliniai įrašai turi būti saugomi ne mažiau kaip 6 mėnesius.</w:t>
            </w:r>
          </w:p>
        </w:tc>
      </w:tr>
      <w:tr w:rsidR="00335D29" w:rsidRPr="0026456A" w14:paraId="15C5B53A" w14:textId="77777777" w:rsidTr="00736477">
        <w:trPr>
          <w:trHeight w:val="537"/>
        </w:trPr>
        <w:tc>
          <w:tcPr>
            <w:tcW w:w="1229" w:type="dxa"/>
          </w:tcPr>
          <w:p w14:paraId="54B72E8D"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3.11</w:t>
            </w:r>
          </w:p>
        </w:tc>
        <w:tc>
          <w:tcPr>
            <w:tcW w:w="8977" w:type="dxa"/>
          </w:tcPr>
          <w:p w14:paraId="1281B9E8" w14:textId="77777777" w:rsidR="00335D29" w:rsidRPr="0026456A" w:rsidRDefault="00335D29" w:rsidP="00736477">
            <w:pPr>
              <w:pStyle w:val="TableParagraph"/>
              <w:rPr>
                <w:rFonts w:ascii="Arial" w:hAnsi="Arial" w:cs="Arial"/>
                <w:lang w:val="lt-LT"/>
              </w:rPr>
            </w:pPr>
            <w:r w:rsidRPr="0026456A">
              <w:rPr>
                <w:rFonts w:ascii="Arial" w:hAnsi="Arial" w:cs="Arial"/>
                <w:lang w:val="lt-LT"/>
              </w:rPr>
              <w:t>Turi būti galimybė apriboti prieigą prie įvykių žurnalų.</w:t>
            </w:r>
          </w:p>
        </w:tc>
      </w:tr>
      <w:tr w:rsidR="00335D29" w:rsidRPr="0026456A" w14:paraId="057777C8" w14:textId="77777777" w:rsidTr="00736477">
        <w:trPr>
          <w:trHeight w:val="537"/>
        </w:trPr>
        <w:tc>
          <w:tcPr>
            <w:tcW w:w="1229" w:type="dxa"/>
          </w:tcPr>
          <w:p w14:paraId="5CC63188"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3.12</w:t>
            </w:r>
          </w:p>
        </w:tc>
        <w:tc>
          <w:tcPr>
            <w:tcW w:w="8977" w:type="dxa"/>
          </w:tcPr>
          <w:p w14:paraId="3A6728D7" w14:textId="77777777" w:rsidR="00335D29" w:rsidRPr="0026456A" w:rsidRDefault="00335D29" w:rsidP="00736477">
            <w:pPr>
              <w:pStyle w:val="TableParagraph"/>
              <w:rPr>
                <w:rFonts w:ascii="Arial" w:hAnsi="Arial" w:cs="Arial"/>
                <w:lang w:val="lt-LT"/>
              </w:rPr>
            </w:pPr>
            <w:r w:rsidRPr="0026456A">
              <w:rPr>
                <w:rFonts w:ascii="Arial" w:hAnsi="Arial" w:cs="Arial"/>
                <w:lang w:val="lt-LT"/>
              </w:rPr>
              <w:t>Įvykių</w:t>
            </w:r>
            <w:r w:rsidRPr="0026456A">
              <w:rPr>
                <w:rFonts w:ascii="Arial" w:hAnsi="Arial" w:cs="Arial"/>
                <w:spacing w:val="-14"/>
                <w:lang w:val="lt-LT"/>
              </w:rPr>
              <w:t xml:space="preserve"> </w:t>
            </w:r>
            <w:r w:rsidRPr="0026456A">
              <w:rPr>
                <w:rFonts w:ascii="Arial" w:hAnsi="Arial" w:cs="Arial"/>
                <w:lang w:val="lt-LT"/>
              </w:rPr>
              <w:t>žurnalų</w:t>
            </w:r>
            <w:r w:rsidRPr="0026456A">
              <w:rPr>
                <w:rFonts w:ascii="Arial" w:hAnsi="Arial" w:cs="Arial"/>
                <w:spacing w:val="-13"/>
                <w:lang w:val="lt-LT"/>
              </w:rPr>
              <w:t xml:space="preserve"> </w:t>
            </w:r>
            <w:r w:rsidRPr="0026456A">
              <w:rPr>
                <w:rFonts w:ascii="Arial" w:hAnsi="Arial" w:cs="Arial"/>
                <w:lang w:val="lt-LT"/>
              </w:rPr>
              <w:t>duomenys</w:t>
            </w:r>
            <w:r w:rsidRPr="0026456A">
              <w:rPr>
                <w:rFonts w:ascii="Arial" w:hAnsi="Arial" w:cs="Arial"/>
                <w:spacing w:val="-12"/>
                <w:lang w:val="lt-LT"/>
              </w:rPr>
              <w:t xml:space="preserve"> </w:t>
            </w:r>
            <w:r w:rsidRPr="0026456A">
              <w:rPr>
                <w:rFonts w:ascii="Arial" w:hAnsi="Arial" w:cs="Arial"/>
                <w:lang w:val="lt-LT"/>
              </w:rPr>
              <w:t>turi</w:t>
            </w:r>
            <w:r w:rsidRPr="0026456A">
              <w:rPr>
                <w:rFonts w:ascii="Arial" w:hAnsi="Arial" w:cs="Arial"/>
                <w:spacing w:val="-14"/>
                <w:lang w:val="lt-LT"/>
              </w:rPr>
              <w:t xml:space="preserve"> </w:t>
            </w:r>
            <w:r w:rsidRPr="0026456A">
              <w:rPr>
                <w:rFonts w:ascii="Arial" w:hAnsi="Arial" w:cs="Arial"/>
                <w:lang w:val="lt-LT"/>
              </w:rPr>
              <w:t>būti</w:t>
            </w:r>
            <w:r w:rsidRPr="0026456A">
              <w:rPr>
                <w:rFonts w:ascii="Arial" w:hAnsi="Arial" w:cs="Arial"/>
                <w:spacing w:val="-14"/>
                <w:lang w:val="lt-LT"/>
              </w:rPr>
              <w:t xml:space="preserve"> </w:t>
            </w:r>
            <w:r w:rsidRPr="0026456A">
              <w:rPr>
                <w:rFonts w:ascii="Arial" w:hAnsi="Arial" w:cs="Arial"/>
                <w:lang w:val="lt-LT"/>
              </w:rPr>
              <w:t>apsaugoti</w:t>
            </w:r>
            <w:r w:rsidRPr="0026456A">
              <w:rPr>
                <w:rFonts w:ascii="Arial" w:hAnsi="Arial" w:cs="Arial"/>
                <w:spacing w:val="-14"/>
                <w:lang w:val="lt-LT"/>
              </w:rPr>
              <w:t xml:space="preserve"> </w:t>
            </w:r>
            <w:r w:rsidRPr="0026456A">
              <w:rPr>
                <w:rFonts w:ascii="Arial" w:hAnsi="Arial" w:cs="Arial"/>
                <w:lang w:val="lt-LT"/>
              </w:rPr>
              <w:t>nuo</w:t>
            </w:r>
            <w:r w:rsidRPr="0026456A">
              <w:rPr>
                <w:rFonts w:ascii="Arial" w:hAnsi="Arial" w:cs="Arial"/>
                <w:spacing w:val="-10"/>
                <w:lang w:val="lt-LT"/>
              </w:rPr>
              <w:t xml:space="preserve"> </w:t>
            </w:r>
            <w:r w:rsidRPr="0026456A">
              <w:rPr>
                <w:rFonts w:ascii="Arial" w:hAnsi="Arial" w:cs="Arial"/>
                <w:lang w:val="lt-LT"/>
              </w:rPr>
              <w:t>neleistinų</w:t>
            </w:r>
            <w:r w:rsidRPr="0026456A">
              <w:rPr>
                <w:rFonts w:ascii="Arial" w:hAnsi="Arial" w:cs="Arial"/>
                <w:spacing w:val="-13"/>
                <w:lang w:val="lt-LT"/>
              </w:rPr>
              <w:t xml:space="preserve"> </w:t>
            </w:r>
            <w:r w:rsidRPr="0026456A">
              <w:rPr>
                <w:rFonts w:ascii="Arial" w:hAnsi="Arial" w:cs="Arial"/>
                <w:lang w:val="lt-LT"/>
              </w:rPr>
              <w:t>pakeitimų</w:t>
            </w:r>
            <w:r w:rsidRPr="0026456A">
              <w:rPr>
                <w:rFonts w:ascii="Arial" w:hAnsi="Arial" w:cs="Arial"/>
                <w:spacing w:val="-13"/>
                <w:lang w:val="lt-LT"/>
              </w:rPr>
              <w:t xml:space="preserve"> </w:t>
            </w:r>
            <w:r w:rsidRPr="0026456A">
              <w:rPr>
                <w:rFonts w:ascii="Arial" w:hAnsi="Arial" w:cs="Arial"/>
                <w:lang w:val="lt-LT"/>
              </w:rPr>
              <w:t>ir</w:t>
            </w:r>
            <w:r w:rsidRPr="0026456A">
              <w:rPr>
                <w:rFonts w:ascii="Arial" w:hAnsi="Arial" w:cs="Arial"/>
                <w:spacing w:val="-13"/>
                <w:lang w:val="lt-LT"/>
              </w:rPr>
              <w:t xml:space="preserve"> </w:t>
            </w:r>
            <w:r w:rsidRPr="0026456A">
              <w:rPr>
                <w:rFonts w:ascii="Arial" w:hAnsi="Arial" w:cs="Arial"/>
                <w:lang w:val="lt-LT"/>
              </w:rPr>
              <w:t>sistemos</w:t>
            </w:r>
          </w:p>
          <w:p w14:paraId="2296924E"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veikimo problemų.</w:t>
            </w:r>
          </w:p>
        </w:tc>
      </w:tr>
      <w:tr w:rsidR="00335D29" w:rsidRPr="0026456A" w14:paraId="38628BA2" w14:textId="77777777" w:rsidTr="00736477">
        <w:trPr>
          <w:trHeight w:val="805"/>
        </w:trPr>
        <w:tc>
          <w:tcPr>
            <w:tcW w:w="1229" w:type="dxa"/>
          </w:tcPr>
          <w:p w14:paraId="533AE508"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3.13</w:t>
            </w:r>
          </w:p>
        </w:tc>
        <w:tc>
          <w:tcPr>
            <w:tcW w:w="8977" w:type="dxa"/>
          </w:tcPr>
          <w:p w14:paraId="157158A6" w14:textId="77777777" w:rsidR="00335D29" w:rsidRPr="0026456A" w:rsidRDefault="00335D29" w:rsidP="00736477">
            <w:pPr>
              <w:pStyle w:val="TableParagraph"/>
              <w:spacing w:line="240" w:lineRule="auto"/>
              <w:ind w:right="99"/>
              <w:rPr>
                <w:rFonts w:ascii="Arial" w:hAnsi="Arial" w:cs="Arial"/>
                <w:lang w:val="lt-LT"/>
              </w:rPr>
            </w:pPr>
            <w:r w:rsidRPr="0026456A">
              <w:rPr>
                <w:rFonts w:ascii="Arial" w:hAnsi="Arial" w:cs="Arial"/>
                <w:lang w:val="lt-LT"/>
              </w:rPr>
              <w:t xml:space="preserve">CDE debesijos (angl. </w:t>
            </w:r>
            <w:proofErr w:type="spellStart"/>
            <w:r w:rsidRPr="0026456A">
              <w:rPr>
                <w:rFonts w:ascii="Arial" w:hAnsi="Arial" w:cs="Arial"/>
                <w:lang w:val="lt-LT"/>
              </w:rPr>
              <w:t>Cloud</w:t>
            </w:r>
            <w:proofErr w:type="spellEnd"/>
            <w:r w:rsidRPr="0026456A">
              <w:rPr>
                <w:rFonts w:ascii="Arial" w:hAnsi="Arial" w:cs="Arial"/>
                <w:lang w:val="lt-LT"/>
              </w:rPr>
              <w:t xml:space="preserve">) duomenų centrai, kuriuose yra CDE duomenų bazė, turi būti dislokuoti tik EEE (angl. </w:t>
            </w:r>
            <w:proofErr w:type="spellStart"/>
            <w:r w:rsidRPr="0026456A">
              <w:rPr>
                <w:rFonts w:ascii="Arial" w:hAnsi="Arial" w:cs="Arial"/>
                <w:lang w:val="lt-LT"/>
              </w:rPr>
              <w:t>European</w:t>
            </w:r>
            <w:proofErr w:type="spellEnd"/>
            <w:r w:rsidRPr="0026456A">
              <w:rPr>
                <w:rFonts w:ascii="Arial" w:hAnsi="Arial" w:cs="Arial"/>
                <w:lang w:val="lt-LT"/>
              </w:rPr>
              <w:t xml:space="preserve"> </w:t>
            </w:r>
            <w:proofErr w:type="spellStart"/>
            <w:r w:rsidRPr="0026456A">
              <w:rPr>
                <w:rFonts w:ascii="Arial" w:hAnsi="Arial" w:cs="Arial"/>
                <w:lang w:val="lt-LT"/>
              </w:rPr>
              <w:t>Economic</w:t>
            </w:r>
            <w:proofErr w:type="spellEnd"/>
            <w:r w:rsidRPr="0026456A">
              <w:rPr>
                <w:rFonts w:ascii="Arial" w:hAnsi="Arial" w:cs="Arial"/>
                <w:lang w:val="lt-LT"/>
              </w:rPr>
              <w:t xml:space="preserve"> </w:t>
            </w:r>
            <w:proofErr w:type="spellStart"/>
            <w:r w:rsidRPr="0026456A">
              <w:rPr>
                <w:rFonts w:ascii="Arial" w:hAnsi="Arial" w:cs="Arial"/>
                <w:lang w:val="lt-LT"/>
              </w:rPr>
              <w:t>Area</w:t>
            </w:r>
            <w:proofErr w:type="spellEnd"/>
            <w:r w:rsidRPr="0026456A">
              <w:rPr>
                <w:rFonts w:ascii="Arial" w:hAnsi="Arial" w:cs="Arial"/>
                <w:lang w:val="lt-LT"/>
              </w:rPr>
              <w:t>) teritorijoje. CDE duomenys neturi būti iškeliami už šios zonos ribų.</w:t>
            </w:r>
          </w:p>
        </w:tc>
      </w:tr>
      <w:tr w:rsidR="00335D29" w:rsidRPr="0026456A" w14:paraId="7C8D9619" w14:textId="77777777" w:rsidTr="00736477">
        <w:trPr>
          <w:trHeight w:val="537"/>
        </w:trPr>
        <w:tc>
          <w:tcPr>
            <w:tcW w:w="1229" w:type="dxa"/>
          </w:tcPr>
          <w:p w14:paraId="37938996"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3.14</w:t>
            </w:r>
          </w:p>
        </w:tc>
        <w:tc>
          <w:tcPr>
            <w:tcW w:w="8977" w:type="dxa"/>
          </w:tcPr>
          <w:p w14:paraId="32122120"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CDE infrastruktūra ir joje esanti Pirkėjo informacija turi būti apsaugota nuo bet kokios nesankcionuotos prieigos, kopijų darymo ar kitokio atkūrimo.</w:t>
            </w:r>
          </w:p>
        </w:tc>
      </w:tr>
      <w:tr w:rsidR="00335D29" w:rsidRPr="0026456A" w14:paraId="47C68E57" w14:textId="77777777" w:rsidTr="00736477">
        <w:trPr>
          <w:trHeight w:val="805"/>
        </w:trPr>
        <w:tc>
          <w:tcPr>
            <w:tcW w:w="1229" w:type="dxa"/>
          </w:tcPr>
          <w:p w14:paraId="5EC4363D"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3.15</w:t>
            </w:r>
          </w:p>
        </w:tc>
        <w:tc>
          <w:tcPr>
            <w:tcW w:w="8977" w:type="dxa"/>
          </w:tcPr>
          <w:p w14:paraId="2861B76D" w14:textId="77777777" w:rsidR="00335D29" w:rsidRPr="0026456A" w:rsidRDefault="00335D29" w:rsidP="00736477">
            <w:pPr>
              <w:pStyle w:val="TableParagraph"/>
              <w:spacing w:line="240" w:lineRule="auto"/>
              <w:rPr>
                <w:rFonts w:ascii="Arial" w:hAnsi="Arial" w:cs="Arial"/>
                <w:lang w:val="lt-LT"/>
              </w:rPr>
            </w:pPr>
            <w:r w:rsidRPr="0026456A">
              <w:rPr>
                <w:rFonts w:ascii="Arial" w:hAnsi="Arial" w:cs="Arial"/>
                <w:lang w:val="lt-LT"/>
              </w:rPr>
              <w:t>Turi būti vykdomas nuolatinis CDE infrastruktūros stebėjimas ir užtikrinamas greitas reagavimas į įtariamus ir žinomus saugumo incidentus (reaguoti kaip į aukšto kritiškumo lygio incidentus).</w:t>
            </w:r>
          </w:p>
        </w:tc>
      </w:tr>
      <w:tr w:rsidR="00335D29" w:rsidRPr="0026456A" w14:paraId="57BC93C0" w14:textId="77777777" w:rsidTr="00736477">
        <w:trPr>
          <w:trHeight w:val="537"/>
        </w:trPr>
        <w:tc>
          <w:tcPr>
            <w:tcW w:w="1229" w:type="dxa"/>
          </w:tcPr>
          <w:p w14:paraId="274F6CDC" w14:textId="77777777" w:rsidR="00335D29" w:rsidRPr="0026456A" w:rsidRDefault="00335D29" w:rsidP="00736477">
            <w:pPr>
              <w:pStyle w:val="TableParagraph"/>
              <w:spacing w:line="240" w:lineRule="auto"/>
              <w:ind w:left="0"/>
              <w:jc w:val="center"/>
              <w:rPr>
                <w:rFonts w:ascii="Arial" w:hAnsi="Arial" w:cs="Arial"/>
                <w:lang w:val="lt-LT"/>
              </w:rPr>
            </w:pPr>
            <w:r w:rsidRPr="0026456A">
              <w:rPr>
                <w:rFonts w:ascii="Arial" w:hAnsi="Arial" w:cs="Arial"/>
                <w:lang w:val="lt-LT"/>
              </w:rPr>
              <w:t>4.</w:t>
            </w:r>
          </w:p>
        </w:tc>
        <w:tc>
          <w:tcPr>
            <w:tcW w:w="8977" w:type="dxa"/>
          </w:tcPr>
          <w:p w14:paraId="2D0FF1D0" w14:textId="77777777" w:rsidR="00335D29" w:rsidRPr="0026456A" w:rsidRDefault="00335D29" w:rsidP="00736477">
            <w:pPr>
              <w:pStyle w:val="TableParagraph"/>
              <w:tabs>
                <w:tab w:val="left" w:pos="1514"/>
                <w:tab w:val="left" w:pos="3044"/>
                <w:tab w:val="left" w:pos="3419"/>
                <w:tab w:val="left" w:pos="4730"/>
                <w:tab w:val="left" w:pos="5484"/>
                <w:tab w:val="left" w:pos="6845"/>
              </w:tabs>
              <w:spacing w:line="257" w:lineRule="exact"/>
              <w:rPr>
                <w:rFonts w:ascii="Arial" w:hAnsi="Arial" w:cs="Arial"/>
                <w:b/>
                <w:bCs/>
                <w:lang w:val="lt-LT"/>
              </w:rPr>
            </w:pPr>
            <w:r w:rsidRPr="0026456A">
              <w:rPr>
                <w:rFonts w:ascii="Arial" w:hAnsi="Arial" w:cs="Arial"/>
                <w:b/>
                <w:bCs/>
                <w:lang w:val="lt-LT"/>
              </w:rPr>
              <w:t>Reikalavimai prieinamumui ir greitaveikai (angl.</w:t>
            </w:r>
            <w:r>
              <w:rPr>
                <w:rFonts w:ascii="Arial" w:hAnsi="Arial" w:cs="Arial"/>
              </w:rPr>
              <w:t xml:space="preserve"> </w:t>
            </w:r>
            <w:proofErr w:type="spellStart"/>
            <w:r w:rsidRPr="0026456A">
              <w:rPr>
                <w:rFonts w:ascii="Arial" w:hAnsi="Arial" w:cs="Arial"/>
                <w:b/>
                <w:bCs/>
                <w:lang w:val="lt-LT"/>
              </w:rPr>
              <w:t>Accessibility</w:t>
            </w:r>
            <w:proofErr w:type="spellEnd"/>
            <w:r w:rsidRPr="0026456A">
              <w:rPr>
                <w:rFonts w:ascii="Arial" w:hAnsi="Arial" w:cs="Arial"/>
                <w:b/>
                <w:bCs/>
                <w:lang w:val="lt-LT"/>
              </w:rPr>
              <w:t xml:space="preserve"> </w:t>
            </w:r>
            <w:proofErr w:type="spellStart"/>
            <w:r w:rsidRPr="0026456A">
              <w:rPr>
                <w:rFonts w:ascii="Arial" w:hAnsi="Arial" w:cs="Arial"/>
                <w:b/>
                <w:bCs/>
                <w:lang w:val="lt-LT"/>
              </w:rPr>
              <w:t>and</w:t>
            </w:r>
            <w:proofErr w:type="spellEnd"/>
            <w:r w:rsidRPr="0026456A">
              <w:rPr>
                <w:rFonts w:ascii="Arial" w:hAnsi="Arial" w:cs="Arial"/>
                <w:b/>
                <w:bCs/>
                <w:lang w:val="lt-LT"/>
              </w:rPr>
              <w:t xml:space="preserve"> </w:t>
            </w:r>
            <w:proofErr w:type="spellStart"/>
            <w:r w:rsidRPr="0026456A">
              <w:rPr>
                <w:rFonts w:ascii="Arial" w:hAnsi="Arial" w:cs="Arial"/>
                <w:b/>
                <w:bCs/>
                <w:lang w:val="lt-LT"/>
              </w:rPr>
              <w:t>Performance</w:t>
            </w:r>
            <w:proofErr w:type="spellEnd"/>
            <w:r w:rsidRPr="0026456A">
              <w:rPr>
                <w:rFonts w:ascii="Arial" w:hAnsi="Arial" w:cs="Arial"/>
                <w:b/>
                <w:bCs/>
                <w:lang w:val="lt-LT"/>
              </w:rPr>
              <w:t>)</w:t>
            </w:r>
          </w:p>
        </w:tc>
      </w:tr>
      <w:tr w:rsidR="00335D29" w:rsidRPr="0026456A" w14:paraId="197F3357" w14:textId="77777777" w:rsidTr="00736477">
        <w:trPr>
          <w:trHeight w:val="805"/>
        </w:trPr>
        <w:tc>
          <w:tcPr>
            <w:tcW w:w="1229" w:type="dxa"/>
          </w:tcPr>
          <w:p w14:paraId="787D08C2"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4.1</w:t>
            </w:r>
          </w:p>
        </w:tc>
        <w:tc>
          <w:tcPr>
            <w:tcW w:w="8977" w:type="dxa"/>
          </w:tcPr>
          <w:p w14:paraId="6FC5FCC6" w14:textId="77777777" w:rsidR="00335D29" w:rsidRPr="0026456A" w:rsidRDefault="00335D29" w:rsidP="00736477">
            <w:pPr>
              <w:pStyle w:val="TableParagraph"/>
              <w:spacing w:line="240" w:lineRule="auto"/>
              <w:rPr>
                <w:rFonts w:ascii="Arial" w:hAnsi="Arial" w:cs="Arial"/>
                <w:lang w:val="lt-LT"/>
              </w:rPr>
            </w:pPr>
            <w:r w:rsidRPr="0026456A">
              <w:rPr>
                <w:rFonts w:ascii="Arial" w:hAnsi="Arial" w:cs="Arial"/>
                <w:lang w:val="lt-LT"/>
              </w:rPr>
              <w:t>Tiekėjas turi užtikrinti, kad CDE technologiškai funkcionuotų (prieinama darbui, atitinkančiam greičio reikalavimus) „24 valandas per parą, 7 dienas per savaitę, 365 dienas per metus“.</w:t>
            </w:r>
          </w:p>
        </w:tc>
      </w:tr>
      <w:tr w:rsidR="00335D29" w:rsidRPr="0026456A" w14:paraId="30BC412E" w14:textId="77777777" w:rsidTr="00736477">
        <w:trPr>
          <w:trHeight w:val="537"/>
        </w:trPr>
        <w:tc>
          <w:tcPr>
            <w:tcW w:w="1229" w:type="dxa"/>
          </w:tcPr>
          <w:p w14:paraId="3FE14A60"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4.2</w:t>
            </w:r>
          </w:p>
        </w:tc>
        <w:tc>
          <w:tcPr>
            <w:tcW w:w="8977" w:type="dxa"/>
          </w:tcPr>
          <w:p w14:paraId="40EF2070" w14:textId="77777777" w:rsidR="00335D29" w:rsidRPr="0026456A" w:rsidRDefault="00335D29" w:rsidP="00736477">
            <w:pPr>
              <w:pStyle w:val="TableParagraph"/>
              <w:rPr>
                <w:rFonts w:ascii="Arial" w:hAnsi="Arial" w:cs="Arial"/>
                <w:lang w:val="lt-LT"/>
              </w:rPr>
            </w:pPr>
            <w:r w:rsidRPr="0026456A">
              <w:rPr>
                <w:rFonts w:ascii="Arial" w:hAnsi="Arial" w:cs="Arial"/>
                <w:lang w:val="lt-LT"/>
              </w:rPr>
              <w:t>CDE turi būti pasiekiama ne mažiau kaip 98 procentus laiko kiekvieną mėnesį.</w:t>
            </w:r>
          </w:p>
        </w:tc>
      </w:tr>
      <w:tr w:rsidR="00335D29" w:rsidRPr="0026456A" w14:paraId="4BBB5C96" w14:textId="77777777" w:rsidTr="00736477">
        <w:trPr>
          <w:trHeight w:val="537"/>
        </w:trPr>
        <w:tc>
          <w:tcPr>
            <w:tcW w:w="1229" w:type="dxa"/>
          </w:tcPr>
          <w:p w14:paraId="411D490B" w14:textId="77777777" w:rsidR="00335D29" w:rsidRPr="0026456A" w:rsidRDefault="00335D29" w:rsidP="00736477">
            <w:pPr>
              <w:pStyle w:val="TableParagraph"/>
              <w:ind w:left="297"/>
              <w:rPr>
                <w:rFonts w:ascii="Arial" w:hAnsi="Arial" w:cs="Arial"/>
                <w:lang w:val="lt-LT"/>
              </w:rPr>
            </w:pPr>
            <w:r w:rsidRPr="0026456A">
              <w:rPr>
                <w:rFonts w:ascii="Arial" w:hAnsi="Arial" w:cs="Arial"/>
                <w:lang w:val="lt-LT"/>
              </w:rPr>
              <w:t>4.3</w:t>
            </w:r>
          </w:p>
        </w:tc>
        <w:tc>
          <w:tcPr>
            <w:tcW w:w="8977" w:type="dxa"/>
          </w:tcPr>
          <w:p w14:paraId="1B8801D7" w14:textId="77777777" w:rsidR="00335D29" w:rsidRPr="0026456A" w:rsidRDefault="00335D29" w:rsidP="00736477">
            <w:pPr>
              <w:pStyle w:val="TableParagraph"/>
              <w:rPr>
                <w:rFonts w:ascii="Arial" w:hAnsi="Arial" w:cs="Arial"/>
                <w:lang w:val="lt-LT"/>
              </w:rPr>
            </w:pPr>
            <w:r w:rsidRPr="0026456A">
              <w:rPr>
                <w:rFonts w:ascii="Arial" w:hAnsi="Arial" w:cs="Arial"/>
                <w:lang w:val="lt-LT"/>
              </w:rPr>
              <w:t>CDE leistinas prastovos laikas per mėnesį ne daugiau kaip 14 val. 29 min. 23 s.</w:t>
            </w:r>
          </w:p>
        </w:tc>
      </w:tr>
      <w:tr w:rsidR="00335D29" w:rsidRPr="0026456A" w14:paraId="60F0B4A6" w14:textId="77777777" w:rsidTr="00736477">
        <w:trPr>
          <w:trHeight w:val="320"/>
        </w:trPr>
        <w:tc>
          <w:tcPr>
            <w:tcW w:w="1229" w:type="dxa"/>
          </w:tcPr>
          <w:p w14:paraId="6DDBCB45" w14:textId="77777777" w:rsidR="00335D29" w:rsidRPr="0026456A" w:rsidRDefault="00335D29" w:rsidP="00736477">
            <w:pPr>
              <w:pStyle w:val="TableParagraph"/>
              <w:spacing w:line="240" w:lineRule="auto"/>
              <w:ind w:left="0"/>
              <w:jc w:val="center"/>
              <w:rPr>
                <w:rFonts w:ascii="Arial" w:hAnsi="Arial" w:cs="Arial"/>
                <w:lang w:val="lt-LT"/>
              </w:rPr>
            </w:pPr>
            <w:r w:rsidRPr="0026456A">
              <w:rPr>
                <w:rFonts w:ascii="Arial" w:hAnsi="Arial" w:cs="Arial"/>
                <w:lang w:val="lt-LT"/>
              </w:rPr>
              <w:t>5.</w:t>
            </w:r>
          </w:p>
        </w:tc>
        <w:tc>
          <w:tcPr>
            <w:tcW w:w="8977" w:type="dxa"/>
          </w:tcPr>
          <w:p w14:paraId="2411FBAC" w14:textId="77777777" w:rsidR="00335D29" w:rsidRPr="0026456A" w:rsidRDefault="00335D29" w:rsidP="00736477">
            <w:pPr>
              <w:pStyle w:val="TableParagraph"/>
              <w:spacing w:before="1" w:line="257" w:lineRule="exact"/>
              <w:rPr>
                <w:rFonts w:ascii="Arial" w:hAnsi="Arial" w:cs="Arial"/>
                <w:b/>
                <w:lang w:val="lt-LT"/>
              </w:rPr>
            </w:pPr>
            <w:r w:rsidRPr="0026456A">
              <w:rPr>
                <w:rFonts w:ascii="Arial" w:hAnsi="Arial" w:cs="Arial"/>
                <w:b/>
                <w:lang w:val="lt-LT"/>
              </w:rPr>
              <w:t xml:space="preserve">Reikalavimai naudotojo sąsajos naudojimui (angl. </w:t>
            </w:r>
            <w:proofErr w:type="spellStart"/>
            <w:r w:rsidRPr="0026456A">
              <w:rPr>
                <w:rFonts w:ascii="Arial" w:hAnsi="Arial" w:cs="Arial"/>
                <w:b/>
                <w:lang w:val="lt-LT"/>
              </w:rPr>
              <w:t>Usability</w:t>
            </w:r>
            <w:proofErr w:type="spellEnd"/>
            <w:r w:rsidRPr="0026456A">
              <w:rPr>
                <w:rFonts w:ascii="Arial" w:hAnsi="Arial" w:cs="Arial"/>
                <w:b/>
                <w:lang w:val="lt-LT"/>
              </w:rPr>
              <w:t>)</w:t>
            </w:r>
          </w:p>
        </w:tc>
      </w:tr>
      <w:tr w:rsidR="00335D29" w:rsidRPr="0026456A" w14:paraId="0C23980A" w14:textId="77777777" w:rsidTr="00736477">
        <w:trPr>
          <w:trHeight w:val="537"/>
        </w:trPr>
        <w:tc>
          <w:tcPr>
            <w:tcW w:w="1229" w:type="dxa"/>
          </w:tcPr>
          <w:p w14:paraId="0D4F22DE" w14:textId="77777777" w:rsidR="00335D29" w:rsidRPr="0026456A" w:rsidRDefault="00335D29" w:rsidP="00736477">
            <w:pPr>
              <w:pStyle w:val="TableParagraph"/>
              <w:ind w:left="290"/>
              <w:rPr>
                <w:rFonts w:ascii="Arial" w:hAnsi="Arial" w:cs="Arial"/>
                <w:lang w:val="lt-LT"/>
              </w:rPr>
            </w:pPr>
            <w:r w:rsidRPr="0026456A">
              <w:rPr>
                <w:rFonts w:ascii="Arial" w:hAnsi="Arial" w:cs="Arial"/>
                <w:lang w:val="lt-LT"/>
              </w:rPr>
              <w:t>5.1</w:t>
            </w:r>
          </w:p>
        </w:tc>
        <w:tc>
          <w:tcPr>
            <w:tcW w:w="8977" w:type="dxa"/>
          </w:tcPr>
          <w:p w14:paraId="2FF95AF8"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Visos naudotojams skirtos funkcijos turi būti atliekamos naudojant grafinę naudotojo sąsają.</w:t>
            </w:r>
          </w:p>
        </w:tc>
      </w:tr>
      <w:tr w:rsidR="00335D29" w:rsidRPr="0026456A" w14:paraId="7D0E805C" w14:textId="77777777" w:rsidTr="00736477">
        <w:trPr>
          <w:trHeight w:val="574"/>
        </w:trPr>
        <w:tc>
          <w:tcPr>
            <w:tcW w:w="1229" w:type="dxa"/>
            <w:vAlign w:val="center"/>
          </w:tcPr>
          <w:p w14:paraId="4C8C7719" w14:textId="77777777" w:rsidR="00335D29" w:rsidRPr="0026456A" w:rsidRDefault="00335D29" w:rsidP="00736477">
            <w:pPr>
              <w:pStyle w:val="TableParagraph"/>
              <w:spacing w:line="240" w:lineRule="auto"/>
              <w:ind w:left="0"/>
              <w:jc w:val="center"/>
              <w:rPr>
                <w:rFonts w:ascii="Arial" w:hAnsi="Arial" w:cs="Arial"/>
                <w:b/>
                <w:bCs/>
                <w:lang w:val="lt-LT"/>
              </w:rPr>
            </w:pPr>
            <w:r w:rsidRPr="0026456A">
              <w:rPr>
                <w:rFonts w:ascii="Arial" w:hAnsi="Arial" w:cs="Arial"/>
                <w:b/>
                <w:bCs/>
                <w:lang w:val="lt-LT"/>
              </w:rPr>
              <w:t>6.</w:t>
            </w:r>
          </w:p>
        </w:tc>
        <w:tc>
          <w:tcPr>
            <w:tcW w:w="8977" w:type="dxa"/>
          </w:tcPr>
          <w:p w14:paraId="43C1CE27" w14:textId="77777777" w:rsidR="00335D29" w:rsidRPr="0026456A" w:rsidRDefault="00335D29" w:rsidP="00736477">
            <w:pPr>
              <w:pStyle w:val="TableParagraph"/>
              <w:spacing w:line="240" w:lineRule="auto"/>
              <w:rPr>
                <w:rFonts w:ascii="Arial" w:hAnsi="Arial" w:cs="Arial"/>
                <w:b/>
                <w:bCs/>
                <w:lang w:val="lt-LT"/>
              </w:rPr>
            </w:pPr>
            <w:r w:rsidRPr="0026456A">
              <w:rPr>
                <w:rFonts w:ascii="Arial" w:hAnsi="Arial" w:cs="Arial"/>
                <w:b/>
                <w:bCs/>
                <w:lang w:val="lt-LT"/>
              </w:rPr>
              <w:t xml:space="preserve">Reikalavimai dokumentų, informacijos, darbų eigų ir užduočių valdymui (angl. </w:t>
            </w:r>
            <w:proofErr w:type="spellStart"/>
            <w:r w:rsidRPr="0026456A">
              <w:rPr>
                <w:rFonts w:ascii="Arial" w:hAnsi="Arial" w:cs="Arial"/>
                <w:b/>
                <w:bCs/>
                <w:lang w:val="lt-LT"/>
              </w:rPr>
              <w:t>Management</w:t>
            </w:r>
            <w:proofErr w:type="spellEnd"/>
            <w:r w:rsidRPr="0026456A">
              <w:rPr>
                <w:rFonts w:ascii="Arial" w:hAnsi="Arial" w:cs="Arial"/>
                <w:b/>
                <w:bCs/>
                <w:lang w:val="lt-LT"/>
              </w:rPr>
              <w:t>)</w:t>
            </w:r>
          </w:p>
        </w:tc>
      </w:tr>
      <w:tr w:rsidR="00335D29" w:rsidRPr="0026456A" w14:paraId="1F1456B2" w14:textId="77777777" w:rsidTr="00736477">
        <w:trPr>
          <w:trHeight w:val="535"/>
        </w:trPr>
        <w:tc>
          <w:tcPr>
            <w:tcW w:w="1229" w:type="dxa"/>
          </w:tcPr>
          <w:p w14:paraId="305F5397"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6.1</w:t>
            </w:r>
          </w:p>
        </w:tc>
        <w:tc>
          <w:tcPr>
            <w:tcW w:w="8977" w:type="dxa"/>
          </w:tcPr>
          <w:p w14:paraId="54169F98" w14:textId="77777777" w:rsidR="00335D29" w:rsidRPr="0026456A" w:rsidRDefault="00335D29" w:rsidP="00736477">
            <w:pPr>
              <w:pStyle w:val="TableParagraph"/>
              <w:rPr>
                <w:rFonts w:ascii="Arial" w:hAnsi="Arial" w:cs="Arial"/>
                <w:lang w:val="lt-LT"/>
              </w:rPr>
            </w:pPr>
            <w:r w:rsidRPr="0026456A">
              <w:rPr>
                <w:rFonts w:ascii="Arial" w:hAnsi="Arial" w:cs="Arial"/>
                <w:lang w:val="lt-LT"/>
              </w:rPr>
              <w:t>Turi būti pasirinktinio failų grupavimo (katalogais, metaduomenimis ar kt.) bei</w:t>
            </w:r>
          </w:p>
          <w:p w14:paraId="02F57EF6" w14:textId="77777777" w:rsidR="00335D29" w:rsidRPr="0026456A" w:rsidRDefault="00335D29" w:rsidP="00736477">
            <w:pPr>
              <w:pStyle w:val="TableParagraph"/>
              <w:spacing w:line="256" w:lineRule="exact"/>
              <w:rPr>
                <w:rFonts w:ascii="Arial" w:hAnsi="Arial" w:cs="Arial"/>
                <w:lang w:val="lt-LT"/>
              </w:rPr>
            </w:pPr>
            <w:r w:rsidRPr="0026456A">
              <w:rPr>
                <w:rFonts w:ascii="Arial" w:hAnsi="Arial" w:cs="Arial"/>
                <w:lang w:val="lt-LT"/>
              </w:rPr>
              <w:t>grupių priskyrimo naudotojams galimybė</w:t>
            </w:r>
          </w:p>
        </w:tc>
      </w:tr>
      <w:tr w:rsidR="00335D29" w:rsidRPr="0026456A" w14:paraId="064D85B7" w14:textId="77777777" w:rsidTr="00736477">
        <w:trPr>
          <w:trHeight w:val="537"/>
        </w:trPr>
        <w:tc>
          <w:tcPr>
            <w:tcW w:w="1229" w:type="dxa"/>
          </w:tcPr>
          <w:p w14:paraId="6A4EAE66" w14:textId="77777777" w:rsidR="00335D29" w:rsidRPr="0026456A" w:rsidRDefault="00335D29" w:rsidP="00736477">
            <w:pPr>
              <w:pStyle w:val="TableParagraph"/>
              <w:spacing w:line="261" w:lineRule="exact"/>
              <w:ind w:left="0"/>
              <w:jc w:val="center"/>
              <w:rPr>
                <w:rFonts w:ascii="Arial" w:hAnsi="Arial" w:cs="Arial"/>
                <w:lang w:val="lt-LT"/>
              </w:rPr>
            </w:pPr>
            <w:r w:rsidRPr="0026456A">
              <w:rPr>
                <w:rFonts w:ascii="Arial" w:hAnsi="Arial" w:cs="Arial"/>
                <w:lang w:val="lt-LT"/>
              </w:rPr>
              <w:t>6.2</w:t>
            </w:r>
          </w:p>
        </w:tc>
        <w:tc>
          <w:tcPr>
            <w:tcW w:w="8977" w:type="dxa"/>
          </w:tcPr>
          <w:p w14:paraId="678577B0" w14:textId="77777777" w:rsidR="00335D29" w:rsidRPr="0026456A" w:rsidRDefault="00335D29" w:rsidP="00736477">
            <w:pPr>
              <w:pStyle w:val="TableParagraph"/>
              <w:spacing w:line="261" w:lineRule="exact"/>
              <w:rPr>
                <w:rFonts w:ascii="Arial" w:hAnsi="Arial" w:cs="Arial"/>
                <w:lang w:val="lt-LT"/>
              </w:rPr>
            </w:pPr>
            <w:r w:rsidRPr="0026456A">
              <w:rPr>
                <w:rFonts w:ascii="Arial" w:hAnsi="Arial" w:cs="Arial"/>
                <w:lang w:val="lt-LT"/>
              </w:rPr>
              <w:t>CDE turi užtikrinti efektyvų keitimąsi dokumentais ir informacija bei jų valdymą, kuris reiškia kad:</w:t>
            </w:r>
          </w:p>
        </w:tc>
      </w:tr>
      <w:tr w:rsidR="00335D29" w:rsidRPr="0026456A" w14:paraId="764FC94F" w14:textId="77777777" w:rsidTr="00736477">
        <w:trPr>
          <w:trHeight w:val="537"/>
        </w:trPr>
        <w:tc>
          <w:tcPr>
            <w:tcW w:w="1229" w:type="dxa"/>
          </w:tcPr>
          <w:p w14:paraId="670F6ABC" w14:textId="77777777" w:rsidR="00335D29" w:rsidRPr="0026456A" w:rsidRDefault="00335D29" w:rsidP="00736477">
            <w:pPr>
              <w:pStyle w:val="TableParagraph"/>
              <w:spacing w:line="261" w:lineRule="exact"/>
              <w:ind w:left="0"/>
              <w:jc w:val="center"/>
              <w:rPr>
                <w:rFonts w:ascii="Arial" w:hAnsi="Arial" w:cs="Arial"/>
                <w:lang w:val="lt-LT"/>
              </w:rPr>
            </w:pPr>
            <w:r w:rsidRPr="0026456A">
              <w:rPr>
                <w:rFonts w:ascii="Arial" w:hAnsi="Arial" w:cs="Arial"/>
                <w:lang w:val="lt-LT"/>
              </w:rPr>
              <w:t>6.2.1</w:t>
            </w:r>
          </w:p>
        </w:tc>
        <w:tc>
          <w:tcPr>
            <w:tcW w:w="8977" w:type="dxa"/>
          </w:tcPr>
          <w:p w14:paraId="557EA369" w14:textId="77777777" w:rsidR="00335D29" w:rsidRPr="0026456A" w:rsidRDefault="00335D29" w:rsidP="00736477">
            <w:pPr>
              <w:pStyle w:val="TableParagraph"/>
              <w:spacing w:line="261" w:lineRule="exact"/>
              <w:rPr>
                <w:rFonts w:ascii="Arial" w:hAnsi="Arial" w:cs="Arial"/>
                <w:lang w:val="lt-LT"/>
              </w:rPr>
            </w:pPr>
            <w:r w:rsidRPr="0026456A">
              <w:rPr>
                <w:rFonts w:ascii="Arial" w:hAnsi="Arial" w:cs="Arial"/>
                <w:lang w:val="lt-LT"/>
              </w:rPr>
              <w:t>Galima dirbti su failais, kurių dydis didesnis nei 2 GB;</w:t>
            </w:r>
          </w:p>
        </w:tc>
      </w:tr>
      <w:tr w:rsidR="00335D29" w:rsidRPr="0026456A" w14:paraId="1FFCA289" w14:textId="77777777" w:rsidTr="00736477">
        <w:trPr>
          <w:trHeight w:val="537"/>
        </w:trPr>
        <w:tc>
          <w:tcPr>
            <w:tcW w:w="1229" w:type="dxa"/>
          </w:tcPr>
          <w:p w14:paraId="6DEAD78E"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6.2.2</w:t>
            </w:r>
          </w:p>
        </w:tc>
        <w:tc>
          <w:tcPr>
            <w:tcW w:w="8977" w:type="dxa"/>
          </w:tcPr>
          <w:p w14:paraId="655C462A" w14:textId="77777777" w:rsidR="00335D29" w:rsidRPr="0026456A" w:rsidRDefault="00335D29" w:rsidP="00736477">
            <w:pPr>
              <w:pStyle w:val="TableParagraph"/>
              <w:rPr>
                <w:rFonts w:ascii="Arial" w:hAnsi="Arial" w:cs="Arial"/>
                <w:lang w:val="lt-LT"/>
              </w:rPr>
            </w:pPr>
            <w:r w:rsidRPr="0026456A">
              <w:rPr>
                <w:rFonts w:ascii="Arial" w:hAnsi="Arial" w:cs="Arial"/>
                <w:lang w:val="lt-LT"/>
              </w:rPr>
              <w:t>Galima įkelti dokumentus;</w:t>
            </w:r>
          </w:p>
        </w:tc>
      </w:tr>
      <w:tr w:rsidR="00335D29" w:rsidRPr="0026456A" w14:paraId="79C4C31E" w14:textId="77777777" w:rsidTr="00736477">
        <w:trPr>
          <w:trHeight w:val="537"/>
        </w:trPr>
        <w:tc>
          <w:tcPr>
            <w:tcW w:w="1229" w:type="dxa"/>
          </w:tcPr>
          <w:p w14:paraId="39F41D1D"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6.3</w:t>
            </w:r>
          </w:p>
        </w:tc>
        <w:tc>
          <w:tcPr>
            <w:tcW w:w="8977" w:type="dxa"/>
          </w:tcPr>
          <w:p w14:paraId="650DB5FA" w14:textId="77777777" w:rsidR="00335D29" w:rsidRPr="0026456A" w:rsidRDefault="00335D29" w:rsidP="00736477">
            <w:pPr>
              <w:pStyle w:val="TableParagraph"/>
              <w:rPr>
                <w:rFonts w:ascii="Arial" w:hAnsi="Arial" w:cs="Arial"/>
                <w:lang w:val="lt-LT"/>
              </w:rPr>
            </w:pPr>
            <w:r w:rsidRPr="0026456A">
              <w:rPr>
                <w:rFonts w:ascii="Arial" w:hAnsi="Arial" w:cs="Arial"/>
                <w:lang w:val="lt-LT"/>
              </w:rPr>
              <w:t>CDE aplinkoje yra integruotos pagrindinių dokumentų formatų peržiūros</w:t>
            </w:r>
          </w:p>
          <w:p w14:paraId="5A0B2CDB"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priemonės</w:t>
            </w:r>
          </w:p>
        </w:tc>
      </w:tr>
      <w:tr w:rsidR="00335D29" w:rsidRPr="0026456A" w14:paraId="5F2A1B9D" w14:textId="77777777" w:rsidTr="00736477">
        <w:trPr>
          <w:trHeight w:val="537"/>
        </w:trPr>
        <w:tc>
          <w:tcPr>
            <w:tcW w:w="1229" w:type="dxa"/>
          </w:tcPr>
          <w:p w14:paraId="0C7E55E1"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6.3.1</w:t>
            </w:r>
          </w:p>
        </w:tc>
        <w:tc>
          <w:tcPr>
            <w:tcW w:w="8977" w:type="dxa"/>
          </w:tcPr>
          <w:p w14:paraId="65B15581" w14:textId="77777777" w:rsidR="00335D29" w:rsidRPr="0026456A" w:rsidRDefault="00335D29" w:rsidP="00736477">
            <w:pPr>
              <w:pStyle w:val="TableParagraph"/>
              <w:rPr>
                <w:rFonts w:ascii="Arial" w:hAnsi="Arial" w:cs="Arial"/>
                <w:lang w:val="lt-LT"/>
              </w:rPr>
            </w:pPr>
            <w:r w:rsidRPr="0026456A">
              <w:rPr>
                <w:rFonts w:ascii="Arial" w:hAnsi="Arial" w:cs="Arial"/>
                <w:lang w:val="lt-LT"/>
              </w:rPr>
              <w:t xml:space="preserve">BIM modeliai IFC formatu; </w:t>
            </w:r>
          </w:p>
        </w:tc>
      </w:tr>
      <w:tr w:rsidR="00335D29" w:rsidRPr="0026456A" w14:paraId="7C05FA5A" w14:textId="77777777" w:rsidTr="00736477">
        <w:trPr>
          <w:trHeight w:val="537"/>
        </w:trPr>
        <w:tc>
          <w:tcPr>
            <w:tcW w:w="1229" w:type="dxa"/>
          </w:tcPr>
          <w:p w14:paraId="6D72497F"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6.3.2</w:t>
            </w:r>
          </w:p>
        </w:tc>
        <w:tc>
          <w:tcPr>
            <w:tcW w:w="8977" w:type="dxa"/>
          </w:tcPr>
          <w:p w14:paraId="547A89D1" w14:textId="77777777" w:rsidR="00335D29" w:rsidRPr="0026456A" w:rsidRDefault="00335D29" w:rsidP="00736477">
            <w:pPr>
              <w:pStyle w:val="TableParagraph"/>
              <w:rPr>
                <w:rFonts w:ascii="Arial" w:hAnsi="Arial" w:cs="Arial"/>
                <w:lang w:val="lt-LT"/>
              </w:rPr>
            </w:pPr>
            <w:r w:rsidRPr="0026456A">
              <w:rPr>
                <w:rFonts w:ascii="Arial" w:hAnsi="Arial" w:cs="Arial"/>
                <w:lang w:val="lt-LT"/>
              </w:rPr>
              <w:t>Brėžiniai DWG, PDF formatais;</w:t>
            </w:r>
          </w:p>
        </w:tc>
      </w:tr>
      <w:tr w:rsidR="00335D29" w:rsidRPr="0026456A" w14:paraId="2E1DE920" w14:textId="77777777" w:rsidTr="00736477">
        <w:trPr>
          <w:trHeight w:val="300"/>
        </w:trPr>
        <w:tc>
          <w:tcPr>
            <w:tcW w:w="1229" w:type="dxa"/>
          </w:tcPr>
          <w:p w14:paraId="0C625053"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6.3.3</w:t>
            </w:r>
          </w:p>
        </w:tc>
        <w:tc>
          <w:tcPr>
            <w:tcW w:w="8977" w:type="dxa"/>
          </w:tcPr>
          <w:p w14:paraId="32B03CEC" w14:textId="77777777" w:rsidR="00335D29" w:rsidRPr="0026456A" w:rsidRDefault="00335D29" w:rsidP="00736477">
            <w:pPr>
              <w:pStyle w:val="TableParagraph"/>
              <w:rPr>
                <w:rFonts w:ascii="Arial" w:hAnsi="Arial" w:cs="Arial"/>
                <w:lang w:val="lt-LT"/>
              </w:rPr>
            </w:pPr>
            <w:r w:rsidRPr="0026456A">
              <w:rPr>
                <w:rFonts w:ascii="Arial" w:hAnsi="Arial" w:cs="Arial"/>
                <w:lang w:val="lt-LT"/>
              </w:rPr>
              <w:t>Projektinę dokumentaciją DOCX, XLSX, PPTX formatu.</w:t>
            </w:r>
          </w:p>
        </w:tc>
      </w:tr>
      <w:tr w:rsidR="00335D29" w:rsidRPr="0026456A" w14:paraId="3A5C6574" w14:textId="77777777" w:rsidTr="00736477">
        <w:trPr>
          <w:trHeight w:val="1075"/>
        </w:trPr>
        <w:tc>
          <w:tcPr>
            <w:tcW w:w="1229" w:type="dxa"/>
          </w:tcPr>
          <w:p w14:paraId="4C853DBA"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6.4</w:t>
            </w:r>
          </w:p>
        </w:tc>
        <w:tc>
          <w:tcPr>
            <w:tcW w:w="8977" w:type="dxa"/>
          </w:tcPr>
          <w:p w14:paraId="2E9DDEE4" w14:textId="77777777" w:rsidR="00335D29" w:rsidRPr="0026456A" w:rsidRDefault="00335D29" w:rsidP="00736477">
            <w:pPr>
              <w:pStyle w:val="TableParagraph"/>
              <w:spacing w:line="240" w:lineRule="auto"/>
              <w:ind w:right="100"/>
              <w:jc w:val="both"/>
              <w:rPr>
                <w:rFonts w:ascii="Arial" w:hAnsi="Arial" w:cs="Arial"/>
                <w:lang w:val="lt-LT"/>
              </w:rPr>
            </w:pPr>
            <w:r w:rsidRPr="0026456A">
              <w:rPr>
                <w:rFonts w:ascii="Arial" w:hAnsi="Arial" w:cs="Arial"/>
                <w:lang w:val="lt-LT"/>
              </w:rPr>
              <w:t>Turi būti galima pridėti pastabas, žymes ir komentarus prie informacijos konteinerių (2D brėžinių, 3D ir BIM modelių bei dokumentų) užtikrinant atsekamumą su pastabų/komentarų struktūrizavimu pagal sprendimo būseną</w:t>
            </w:r>
          </w:p>
          <w:p w14:paraId="797C8DE4" w14:textId="77777777" w:rsidR="00335D29" w:rsidRPr="0026456A" w:rsidRDefault="00335D29" w:rsidP="00736477">
            <w:pPr>
              <w:pStyle w:val="TableParagraph"/>
              <w:spacing w:line="257" w:lineRule="exact"/>
              <w:jc w:val="both"/>
              <w:rPr>
                <w:rFonts w:ascii="Arial" w:hAnsi="Arial" w:cs="Arial"/>
                <w:lang w:val="lt-LT"/>
              </w:rPr>
            </w:pPr>
            <w:r w:rsidRPr="0026456A">
              <w:rPr>
                <w:rFonts w:ascii="Arial" w:hAnsi="Arial" w:cs="Arial"/>
                <w:lang w:val="lt-LT"/>
              </w:rPr>
              <w:t>(pavyzdžiui: priskirta, vykdoma, išspręsta, baigta ir pan.).</w:t>
            </w:r>
          </w:p>
        </w:tc>
      </w:tr>
      <w:tr w:rsidR="00335D29" w:rsidRPr="0026456A" w14:paraId="15F03765" w14:textId="77777777" w:rsidTr="00736477">
        <w:trPr>
          <w:trHeight w:val="805"/>
        </w:trPr>
        <w:tc>
          <w:tcPr>
            <w:tcW w:w="1229" w:type="dxa"/>
          </w:tcPr>
          <w:p w14:paraId="05ACF646"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6.5</w:t>
            </w:r>
          </w:p>
        </w:tc>
        <w:tc>
          <w:tcPr>
            <w:tcW w:w="8977" w:type="dxa"/>
          </w:tcPr>
          <w:p w14:paraId="57709AD1" w14:textId="4BB20EBB" w:rsidR="00335D29" w:rsidRPr="0026456A" w:rsidRDefault="00335D29" w:rsidP="00736477">
            <w:pPr>
              <w:pStyle w:val="TableParagraph"/>
              <w:tabs>
                <w:tab w:val="left" w:pos="1556"/>
                <w:tab w:val="left" w:pos="2508"/>
                <w:tab w:val="left" w:pos="3702"/>
                <w:tab w:val="left" w:pos="4950"/>
                <w:tab w:val="left" w:pos="5959"/>
                <w:tab w:val="left" w:pos="6372"/>
                <w:tab w:val="left" w:pos="6750"/>
              </w:tabs>
              <w:spacing w:line="240" w:lineRule="auto"/>
              <w:ind w:right="100"/>
              <w:rPr>
                <w:rFonts w:ascii="Arial" w:hAnsi="Arial" w:cs="Arial"/>
                <w:lang w:val="lt-LT"/>
              </w:rPr>
            </w:pPr>
            <w:r w:rsidRPr="0026456A">
              <w:rPr>
                <w:rFonts w:ascii="Arial" w:hAnsi="Arial" w:cs="Arial"/>
                <w:lang w:val="lt-LT"/>
              </w:rPr>
              <w:t>Turi būti galimybė susieti komentarus sistemos lygyje (</w:t>
            </w:r>
            <w:proofErr w:type="spellStart"/>
            <w:r w:rsidRPr="0026456A">
              <w:rPr>
                <w:rFonts w:ascii="Arial" w:hAnsi="Arial" w:cs="Arial"/>
                <w:lang w:val="lt-LT"/>
              </w:rPr>
              <w:t>t.y</w:t>
            </w:r>
            <w:proofErr w:type="spellEnd"/>
            <w:r w:rsidRPr="0026456A">
              <w:rPr>
                <w:rFonts w:ascii="Arial" w:hAnsi="Arial" w:cs="Arial"/>
                <w:lang w:val="lt-LT"/>
              </w:rPr>
              <w:t xml:space="preserve">. vienalytė komentavimo </w:t>
            </w:r>
            <w:proofErr w:type="spellStart"/>
            <w:r w:rsidR="007853B0">
              <w:rPr>
                <w:rFonts w:ascii="Arial" w:hAnsi="Arial" w:cs="Arial"/>
                <w:lang w:val="lt-LT"/>
              </w:rPr>
              <w:t>s</w:t>
            </w:r>
            <w:r w:rsidRPr="0026456A">
              <w:rPr>
                <w:rFonts w:ascii="Arial" w:hAnsi="Arial" w:cs="Arial"/>
                <w:lang w:val="lt-LT"/>
              </w:rPr>
              <w:t>istema,neapribota</w:t>
            </w:r>
            <w:proofErr w:type="spellEnd"/>
            <w:r w:rsidRPr="0026456A">
              <w:rPr>
                <w:rFonts w:ascii="Arial" w:hAnsi="Arial" w:cs="Arial"/>
                <w:lang w:val="lt-LT"/>
              </w:rPr>
              <w:t xml:space="preserve"> dokumentų formatų) su jų </w:t>
            </w:r>
            <w:r w:rsidRPr="0026456A">
              <w:rPr>
                <w:rFonts w:ascii="Arial" w:hAnsi="Arial" w:cs="Arial"/>
                <w:spacing w:val="-3"/>
                <w:lang w:val="lt-LT"/>
              </w:rPr>
              <w:t xml:space="preserve">vieta </w:t>
            </w:r>
            <w:r w:rsidRPr="0026456A">
              <w:rPr>
                <w:rFonts w:ascii="Arial" w:hAnsi="Arial" w:cs="Arial"/>
                <w:lang w:val="lt-LT"/>
              </w:rPr>
              <w:t>dokumentuose.</w:t>
            </w:r>
          </w:p>
        </w:tc>
      </w:tr>
      <w:tr w:rsidR="00335D29" w:rsidRPr="0026456A" w14:paraId="7B9E15C5" w14:textId="77777777" w:rsidTr="00736477">
        <w:trPr>
          <w:trHeight w:val="537"/>
        </w:trPr>
        <w:tc>
          <w:tcPr>
            <w:tcW w:w="1229" w:type="dxa"/>
          </w:tcPr>
          <w:p w14:paraId="3B89CDA5"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6.6</w:t>
            </w:r>
          </w:p>
        </w:tc>
        <w:tc>
          <w:tcPr>
            <w:tcW w:w="8977" w:type="dxa"/>
          </w:tcPr>
          <w:p w14:paraId="30A3165F" w14:textId="77777777" w:rsidR="00335D29" w:rsidRPr="0026456A" w:rsidRDefault="00335D29" w:rsidP="00736477">
            <w:pPr>
              <w:pStyle w:val="TableParagraph"/>
              <w:tabs>
                <w:tab w:val="left" w:pos="1211"/>
                <w:tab w:val="left" w:pos="2003"/>
                <w:tab w:val="left" w:pos="2994"/>
                <w:tab w:val="left" w:pos="3322"/>
                <w:tab w:val="left" w:pos="4102"/>
                <w:tab w:val="left" w:pos="6092"/>
                <w:tab w:val="left" w:pos="6691"/>
              </w:tabs>
              <w:rPr>
                <w:rFonts w:ascii="Arial" w:hAnsi="Arial" w:cs="Arial"/>
                <w:lang w:val="lt-LT"/>
              </w:rPr>
            </w:pPr>
            <w:r w:rsidRPr="0026456A">
              <w:rPr>
                <w:rFonts w:ascii="Arial" w:hAnsi="Arial" w:cs="Arial"/>
                <w:lang w:val="lt-LT"/>
              </w:rPr>
              <w:t xml:space="preserve">Turi  </w:t>
            </w:r>
            <w:r w:rsidRPr="0026456A">
              <w:rPr>
                <w:rFonts w:ascii="Arial" w:hAnsi="Arial" w:cs="Arial"/>
                <w:spacing w:val="45"/>
                <w:lang w:val="lt-LT"/>
              </w:rPr>
              <w:t xml:space="preserve"> </w:t>
            </w:r>
            <w:r w:rsidRPr="0026456A">
              <w:rPr>
                <w:rFonts w:ascii="Arial" w:hAnsi="Arial" w:cs="Arial"/>
                <w:lang w:val="lt-LT"/>
              </w:rPr>
              <w:t>būti galima formuoti ir matyti</w:t>
            </w:r>
            <w:r w:rsidRPr="0026456A">
              <w:rPr>
                <w:rFonts w:ascii="Arial" w:hAnsi="Arial" w:cs="Arial"/>
                <w:lang w:val="lt-LT"/>
              </w:rPr>
              <w:tab/>
              <w:t xml:space="preserve">pastabų/komentarų gijas (angl. </w:t>
            </w:r>
            <w:proofErr w:type="spellStart"/>
            <w:r w:rsidRPr="0026456A">
              <w:rPr>
                <w:rFonts w:ascii="Arial" w:hAnsi="Arial" w:cs="Arial"/>
                <w:lang w:val="lt-LT"/>
              </w:rPr>
              <w:t>Conversations</w:t>
            </w:r>
            <w:proofErr w:type="spellEnd"/>
            <w:r w:rsidRPr="0026456A">
              <w:rPr>
                <w:rFonts w:ascii="Arial" w:hAnsi="Arial" w:cs="Arial"/>
                <w:lang w:val="lt-LT"/>
              </w:rPr>
              <w:t>).</w:t>
            </w:r>
          </w:p>
        </w:tc>
      </w:tr>
      <w:tr w:rsidR="00335D29" w:rsidRPr="0026456A" w14:paraId="7D04C527" w14:textId="77777777" w:rsidTr="00736477">
        <w:trPr>
          <w:trHeight w:val="537"/>
        </w:trPr>
        <w:tc>
          <w:tcPr>
            <w:tcW w:w="1229" w:type="dxa"/>
          </w:tcPr>
          <w:p w14:paraId="7AB62FE8"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6.7</w:t>
            </w:r>
          </w:p>
        </w:tc>
        <w:tc>
          <w:tcPr>
            <w:tcW w:w="8977" w:type="dxa"/>
          </w:tcPr>
          <w:p w14:paraId="3A58D589" w14:textId="77777777" w:rsidR="00335D29" w:rsidRPr="0026456A" w:rsidRDefault="00335D29" w:rsidP="00736477">
            <w:pPr>
              <w:pStyle w:val="TableParagraph"/>
              <w:rPr>
                <w:rFonts w:ascii="Arial" w:hAnsi="Arial" w:cs="Arial"/>
                <w:lang w:val="lt-LT"/>
              </w:rPr>
            </w:pPr>
            <w:r w:rsidRPr="0026456A">
              <w:rPr>
                <w:rFonts w:ascii="Arial" w:hAnsi="Arial" w:cs="Arial"/>
                <w:lang w:val="lt-LT"/>
              </w:rPr>
              <w:t>Turi būti galimybė CDE aplinkoje dirbti su BIM modeliais:</w:t>
            </w:r>
          </w:p>
        </w:tc>
      </w:tr>
      <w:tr w:rsidR="00335D29" w:rsidRPr="0026456A" w14:paraId="26058F8B" w14:textId="77777777" w:rsidTr="00736477">
        <w:trPr>
          <w:trHeight w:val="537"/>
        </w:trPr>
        <w:tc>
          <w:tcPr>
            <w:tcW w:w="1229" w:type="dxa"/>
          </w:tcPr>
          <w:p w14:paraId="3B0C67F2"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6.8</w:t>
            </w:r>
          </w:p>
        </w:tc>
        <w:tc>
          <w:tcPr>
            <w:tcW w:w="8977" w:type="dxa"/>
          </w:tcPr>
          <w:p w14:paraId="65FC95A4"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 xml:space="preserve">Sujungti BIM modelius į jungtinį/kombinuotą BIM modelį (angl. </w:t>
            </w:r>
            <w:proofErr w:type="spellStart"/>
            <w:r w:rsidRPr="0026456A">
              <w:rPr>
                <w:rFonts w:ascii="Arial" w:hAnsi="Arial" w:cs="Arial"/>
                <w:lang w:val="lt-LT"/>
              </w:rPr>
              <w:t>Federated</w:t>
            </w:r>
            <w:proofErr w:type="spellEnd"/>
            <w:r w:rsidRPr="0026456A">
              <w:rPr>
                <w:rFonts w:ascii="Arial" w:hAnsi="Arial" w:cs="Arial"/>
                <w:lang w:val="lt-LT"/>
              </w:rPr>
              <w:t xml:space="preserve"> </w:t>
            </w:r>
            <w:proofErr w:type="spellStart"/>
            <w:r w:rsidRPr="0026456A">
              <w:rPr>
                <w:rFonts w:ascii="Arial" w:hAnsi="Arial" w:cs="Arial"/>
                <w:lang w:val="lt-LT"/>
              </w:rPr>
              <w:t>model</w:t>
            </w:r>
            <w:proofErr w:type="spellEnd"/>
            <w:r w:rsidRPr="0026456A">
              <w:rPr>
                <w:rFonts w:ascii="Arial" w:hAnsi="Arial" w:cs="Arial"/>
                <w:lang w:val="lt-LT"/>
              </w:rPr>
              <w:t>) ir juos peržiūrėti;</w:t>
            </w:r>
          </w:p>
        </w:tc>
      </w:tr>
      <w:tr w:rsidR="00335D29" w:rsidRPr="0026456A" w14:paraId="03364EBC" w14:textId="77777777" w:rsidTr="00736477">
        <w:trPr>
          <w:trHeight w:val="891"/>
        </w:trPr>
        <w:tc>
          <w:tcPr>
            <w:tcW w:w="1229" w:type="dxa"/>
          </w:tcPr>
          <w:p w14:paraId="3E608E9A"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6.9</w:t>
            </w:r>
          </w:p>
        </w:tc>
        <w:tc>
          <w:tcPr>
            <w:tcW w:w="8977" w:type="dxa"/>
          </w:tcPr>
          <w:p w14:paraId="194B9240" w14:textId="77777777" w:rsidR="00335D29" w:rsidRPr="0026456A" w:rsidRDefault="00335D29" w:rsidP="00736477">
            <w:pPr>
              <w:pStyle w:val="TableParagraph"/>
              <w:spacing w:line="240" w:lineRule="auto"/>
              <w:ind w:right="101"/>
              <w:jc w:val="both"/>
              <w:rPr>
                <w:rFonts w:ascii="Arial" w:hAnsi="Arial" w:cs="Arial"/>
                <w:lang w:val="lt-LT"/>
              </w:rPr>
            </w:pPr>
            <w:r w:rsidRPr="0026456A">
              <w:rPr>
                <w:rFonts w:ascii="Arial" w:hAnsi="Arial" w:cs="Arial"/>
                <w:lang w:val="lt-LT"/>
              </w:rPr>
              <w:t xml:space="preserve">Turi būti realizuotas informavimo procesas (įskaitant ir pranešimus el. paštu) apie pasikeitimus, susijusius su darbų eigomis, užduotimis, komentarais ir dokumentais aktyvaus siuntimo būdu (angl. </w:t>
            </w:r>
            <w:proofErr w:type="spellStart"/>
            <w:r w:rsidRPr="0026456A">
              <w:rPr>
                <w:rFonts w:ascii="Arial" w:hAnsi="Arial" w:cs="Arial"/>
                <w:lang w:val="lt-LT"/>
              </w:rPr>
              <w:t>push</w:t>
            </w:r>
            <w:proofErr w:type="spellEnd"/>
            <w:r w:rsidRPr="0026456A">
              <w:rPr>
                <w:rFonts w:ascii="Arial" w:hAnsi="Arial" w:cs="Arial"/>
                <w:lang w:val="lt-LT"/>
              </w:rPr>
              <w:t>).</w:t>
            </w:r>
          </w:p>
        </w:tc>
      </w:tr>
      <w:tr w:rsidR="00335D29" w:rsidRPr="0026456A" w14:paraId="5DE33A03" w14:textId="77777777" w:rsidTr="00736477">
        <w:trPr>
          <w:trHeight w:val="806"/>
        </w:trPr>
        <w:tc>
          <w:tcPr>
            <w:tcW w:w="1229" w:type="dxa"/>
          </w:tcPr>
          <w:p w14:paraId="55773F96"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6.10</w:t>
            </w:r>
          </w:p>
        </w:tc>
        <w:tc>
          <w:tcPr>
            <w:tcW w:w="8977" w:type="dxa"/>
          </w:tcPr>
          <w:p w14:paraId="5ACF4DA9" w14:textId="77777777" w:rsidR="00335D29" w:rsidRPr="0026456A" w:rsidRDefault="00335D29" w:rsidP="00736477">
            <w:pPr>
              <w:pStyle w:val="TableParagraph"/>
              <w:spacing w:line="270" w:lineRule="atLeast"/>
              <w:rPr>
                <w:rFonts w:ascii="Arial" w:hAnsi="Arial" w:cs="Arial"/>
                <w:lang w:val="lt-LT"/>
              </w:rPr>
            </w:pPr>
            <w:r w:rsidRPr="0026456A">
              <w:rPr>
                <w:rFonts w:ascii="Arial" w:hAnsi="Arial" w:cs="Arial"/>
                <w:lang w:val="lt-LT"/>
              </w:rPr>
              <w:t xml:space="preserve">CDE turi būti galimybė susiformuoti informacinius skydus (angl. </w:t>
            </w:r>
            <w:proofErr w:type="spellStart"/>
            <w:r w:rsidRPr="0026456A">
              <w:rPr>
                <w:rFonts w:ascii="Arial" w:hAnsi="Arial" w:cs="Arial"/>
                <w:lang w:val="lt-LT"/>
              </w:rPr>
              <w:t>Dashboard</w:t>
            </w:r>
            <w:proofErr w:type="spellEnd"/>
            <w:r w:rsidRPr="0026456A">
              <w:rPr>
                <w:rFonts w:ascii="Arial" w:hAnsi="Arial" w:cs="Arial"/>
                <w:lang w:val="lt-LT"/>
              </w:rPr>
              <w:t>), kuriame būtų pateikta vykdomų projektų rodikliai ir kita aktuali projekto bei naudotojo informacija.</w:t>
            </w:r>
          </w:p>
        </w:tc>
      </w:tr>
      <w:tr w:rsidR="00335D29" w:rsidRPr="0026456A" w14:paraId="0689A2F9" w14:textId="77777777" w:rsidTr="00736477">
        <w:trPr>
          <w:trHeight w:val="537"/>
        </w:trPr>
        <w:tc>
          <w:tcPr>
            <w:tcW w:w="1229" w:type="dxa"/>
          </w:tcPr>
          <w:p w14:paraId="71357B53"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6.11</w:t>
            </w:r>
          </w:p>
        </w:tc>
        <w:tc>
          <w:tcPr>
            <w:tcW w:w="8977" w:type="dxa"/>
          </w:tcPr>
          <w:p w14:paraId="2BC9111F" w14:textId="77777777" w:rsidR="00335D29" w:rsidRPr="0026456A" w:rsidRDefault="00335D29" w:rsidP="00736477">
            <w:pPr>
              <w:pStyle w:val="TableParagraph"/>
              <w:rPr>
                <w:rFonts w:ascii="Arial" w:hAnsi="Arial" w:cs="Arial"/>
                <w:lang w:val="lt-LT"/>
              </w:rPr>
            </w:pPr>
            <w:r w:rsidRPr="0026456A">
              <w:rPr>
                <w:rFonts w:ascii="Arial" w:hAnsi="Arial" w:cs="Arial"/>
                <w:lang w:val="lt-LT"/>
              </w:rPr>
              <w:t>CDE turi sudaryti sąlygas valdyti darbų eigas, skirti užduotis, skirtas keistis</w:t>
            </w:r>
          </w:p>
          <w:p w14:paraId="5BA29060"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informacija ir dokumentais, įskaitant:</w:t>
            </w:r>
          </w:p>
        </w:tc>
      </w:tr>
      <w:tr w:rsidR="00335D29" w:rsidRPr="0026456A" w14:paraId="1937ADB2" w14:textId="77777777" w:rsidTr="00736477">
        <w:trPr>
          <w:trHeight w:val="537"/>
        </w:trPr>
        <w:tc>
          <w:tcPr>
            <w:tcW w:w="1229" w:type="dxa"/>
          </w:tcPr>
          <w:p w14:paraId="693DD3BE"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6.12</w:t>
            </w:r>
          </w:p>
        </w:tc>
        <w:tc>
          <w:tcPr>
            <w:tcW w:w="8977" w:type="dxa"/>
          </w:tcPr>
          <w:p w14:paraId="03F0FD17" w14:textId="77777777" w:rsidR="00335D29" w:rsidRPr="0026456A" w:rsidRDefault="00335D29" w:rsidP="00736477">
            <w:pPr>
              <w:pStyle w:val="TableParagraph"/>
              <w:rPr>
                <w:rFonts w:ascii="Arial" w:hAnsi="Arial" w:cs="Arial"/>
                <w:lang w:val="lt-LT"/>
              </w:rPr>
            </w:pPr>
            <w:r w:rsidRPr="0026456A">
              <w:rPr>
                <w:rFonts w:ascii="Arial" w:hAnsi="Arial" w:cs="Arial"/>
                <w:lang w:val="lt-LT"/>
              </w:rPr>
              <w:t>Turi būti galima sukurti, stebėti ir valdyti sukurtų darbų eigų ar užduočių</w:t>
            </w:r>
          </w:p>
          <w:p w14:paraId="4F29FF65"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vykdymą (užduočių kontrolė) bei matyti vykdymo istoriją;</w:t>
            </w:r>
          </w:p>
        </w:tc>
      </w:tr>
      <w:tr w:rsidR="00335D29" w:rsidRPr="0026456A" w14:paraId="1554CF95" w14:textId="77777777" w:rsidTr="00736477">
        <w:trPr>
          <w:trHeight w:val="537"/>
        </w:trPr>
        <w:tc>
          <w:tcPr>
            <w:tcW w:w="1229" w:type="dxa"/>
          </w:tcPr>
          <w:p w14:paraId="080F3DA4"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6.13</w:t>
            </w:r>
          </w:p>
        </w:tc>
        <w:tc>
          <w:tcPr>
            <w:tcW w:w="8977" w:type="dxa"/>
          </w:tcPr>
          <w:p w14:paraId="4BBC63FD"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Dokumentų patvirtinimas pagal naudotojo apibrėžtus procesus (grandinės, derinimai);</w:t>
            </w:r>
          </w:p>
        </w:tc>
      </w:tr>
      <w:tr w:rsidR="00335D29" w:rsidRPr="0026456A" w14:paraId="73D9F9CB" w14:textId="77777777" w:rsidTr="00736477">
        <w:trPr>
          <w:trHeight w:val="537"/>
        </w:trPr>
        <w:tc>
          <w:tcPr>
            <w:tcW w:w="1229" w:type="dxa"/>
          </w:tcPr>
          <w:p w14:paraId="71AC4577"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6.14</w:t>
            </w:r>
          </w:p>
        </w:tc>
        <w:tc>
          <w:tcPr>
            <w:tcW w:w="8977" w:type="dxa"/>
          </w:tcPr>
          <w:p w14:paraId="78F1EB3A"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Dokumentų ir užduočių valdymas pagal būseną (duomenys, derinimui, patvirtinta, archyvas);</w:t>
            </w:r>
          </w:p>
        </w:tc>
      </w:tr>
      <w:tr w:rsidR="00335D29" w:rsidRPr="0026456A" w14:paraId="38B389E6" w14:textId="77777777" w:rsidTr="00736477">
        <w:trPr>
          <w:trHeight w:val="537"/>
        </w:trPr>
        <w:tc>
          <w:tcPr>
            <w:tcW w:w="1229" w:type="dxa"/>
          </w:tcPr>
          <w:p w14:paraId="0C50C5FA"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6.15</w:t>
            </w:r>
          </w:p>
        </w:tc>
        <w:tc>
          <w:tcPr>
            <w:tcW w:w="8977" w:type="dxa"/>
          </w:tcPr>
          <w:p w14:paraId="11C7CA96" w14:textId="77777777" w:rsidR="00335D29" w:rsidRPr="0026456A" w:rsidRDefault="00335D29" w:rsidP="00736477">
            <w:pPr>
              <w:pStyle w:val="TableParagraph"/>
              <w:spacing w:line="258" w:lineRule="exact"/>
              <w:rPr>
                <w:rFonts w:ascii="Arial" w:hAnsi="Arial" w:cs="Arial"/>
                <w:lang w:val="lt-LT"/>
              </w:rPr>
            </w:pPr>
            <w:r w:rsidRPr="0026456A">
              <w:rPr>
                <w:rFonts w:ascii="Arial" w:hAnsi="Arial" w:cs="Arial"/>
                <w:lang w:val="lt-LT"/>
              </w:rPr>
              <w:t>Turi būti galima komentarų/pastabų pagrindu formuoti darbų eigas arba užduotis;</w:t>
            </w:r>
          </w:p>
        </w:tc>
      </w:tr>
      <w:tr w:rsidR="00335D29" w:rsidRPr="0026456A" w14:paraId="786B6B04" w14:textId="77777777" w:rsidTr="00736477">
        <w:trPr>
          <w:trHeight w:val="537"/>
        </w:trPr>
        <w:tc>
          <w:tcPr>
            <w:tcW w:w="1229" w:type="dxa"/>
          </w:tcPr>
          <w:p w14:paraId="5ABE193D" w14:textId="77777777" w:rsidR="00335D29" w:rsidRPr="0026456A" w:rsidRDefault="00335D29" w:rsidP="00736477">
            <w:pPr>
              <w:pStyle w:val="TableParagraph"/>
              <w:ind w:left="0" w:right="99"/>
              <w:jc w:val="center"/>
              <w:rPr>
                <w:rFonts w:ascii="Arial" w:hAnsi="Arial" w:cs="Arial"/>
                <w:lang w:val="lt-LT"/>
              </w:rPr>
            </w:pPr>
            <w:r w:rsidRPr="0026456A">
              <w:rPr>
                <w:rFonts w:ascii="Arial" w:hAnsi="Arial" w:cs="Arial"/>
                <w:lang w:val="lt-LT"/>
              </w:rPr>
              <w:t>6.16</w:t>
            </w:r>
          </w:p>
        </w:tc>
        <w:tc>
          <w:tcPr>
            <w:tcW w:w="8977" w:type="dxa"/>
          </w:tcPr>
          <w:p w14:paraId="49DB2D73" w14:textId="77777777" w:rsidR="00335D29" w:rsidRPr="0026456A" w:rsidRDefault="00335D29" w:rsidP="00736477">
            <w:pPr>
              <w:pStyle w:val="TableParagraph"/>
              <w:rPr>
                <w:rFonts w:ascii="Arial" w:hAnsi="Arial" w:cs="Arial"/>
                <w:lang w:val="lt-LT"/>
              </w:rPr>
            </w:pPr>
            <w:r w:rsidRPr="0026456A">
              <w:rPr>
                <w:rFonts w:ascii="Arial" w:hAnsi="Arial" w:cs="Arial"/>
                <w:lang w:val="lt-LT"/>
              </w:rPr>
              <w:t>Turi būti galima prisegti (arba susieti) failus kaip darbų eigų arba kaip užduoties priedus;</w:t>
            </w:r>
          </w:p>
        </w:tc>
      </w:tr>
      <w:tr w:rsidR="00335D29" w:rsidRPr="0026456A" w14:paraId="14A28AB3" w14:textId="77777777" w:rsidTr="00736477">
        <w:trPr>
          <w:trHeight w:val="282"/>
        </w:trPr>
        <w:tc>
          <w:tcPr>
            <w:tcW w:w="1229" w:type="dxa"/>
            <w:vAlign w:val="center"/>
          </w:tcPr>
          <w:p w14:paraId="4BF57B47" w14:textId="77777777" w:rsidR="00335D29" w:rsidRPr="0026456A" w:rsidRDefault="00335D29" w:rsidP="00736477">
            <w:pPr>
              <w:pStyle w:val="TableParagraph"/>
              <w:spacing w:line="240" w:lineRule="auto"/>
              <w:ind w:left="0"/>
              <w:jc w:val="center"/>
              <w:rPr>
                <w:rFonts w:ascii="Arial" w:hAnsi="Arial" w:cs="Arial"/>
                <w:b/>
                <w:bCs/>
                <w:lang w:val="lt-LT"/>
              </w:rPr>
            </w:pPr>
            <w:r w:rsidRPr="0026456A">
              <w:rPr>
                <w:rFonts w:ascii="Arial" w:hAnsi="Arial" w:cs="Arial"/>
                <w:b/>
                <w:bCs/>
                <w:lang w:val="lt-LT"/>
              </w:rPr>
              <w:t>7.</w:t>
            </w:r>
          </w:p>
        </w:tc>
        <w:tc>
          <w:tcPr>
            <w:tcW w:w="8977" w:type="dxa"/>
          </w:tcPr>
          <w:p w14:paraId="23873254" w14:textId="77777777" w:rsidR="00335D29" w:rsidRPr="0026456A" w:rsidRDefault="00335D29" w:rsidP="00736477">
            <w:pPr>
              <w:pStyle w:val="TableParagraph"/>
              <w:spacing w:before="1" w:line="257" w:lineRule="exact"/>
              <w:rPr>
                <w:rFonts w:ascii="Arial" w:hAnsi="Arial" w:cs="Arial"/>
                <w:b/>
                <w:bCs/>
                <w:lang w:val="lt-LT"/>
              </w:rPr>
            </w:pPr>
            <w:r w:rsidRPr="0026456A">
              <w:rPr>
                <w:rFonts w:ascii="Arial" w:hAnsi="Arial" w:cs="Arial"/>
                <w:b/>
                <w:bCs/>
                <w:lang w:val="lt-LT"/>
              </w:rPr>
              <w:t>Reikalavimai pagalbos teikimui</w:t>
            </w:r>
          </w:p>
        </w:tc>
      </w:tr>
      <w:tr w:rsidR="00335D29" w:rsidRPr="0026456A" w14:paraId="11A4DD01" w14:textId="77777777" w:rsidTr="00736477">
        <w:trPr>
          <w:trHeight w:val="537"/>
        </w:trPr>
        <w:tc>
          <w:tcPr>
            <w:tcW w:w="1229" w:type="dxa"/>
          </w:tcPr>
          <w:p w14:paraId="3AAFA1C3"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7.1</w:t>
            </w:r>
          </w:p>
        </w:tc>
        <w:tc>
          <w:tcPr>
            <w:tcW w:w="8977" w:type="dxa"/>
          </w:tcPr>
          <w:p w14:paraId="7EDD7A2C"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Tiekėjas programinės įrangos veikimo problemoms valdyti turi naudoti problemų registravimo ir sekimo sistemą.</w:t>
            </w:r>
          </w:p>
        </w:tc>
      </w:tr>
      <w:tr w:rsidR="00335D29" w:rsidRPr="0026456A" w14:paraId="74BA94E3" w14:textId="77777777" w:rsidTr="00736477">
        <w:trPr>
          <w:trHeight w:val="586"/>
        </w:trPr>
        <w:tc>
          <w:tcPr>
            <w:tcW w:w="1229" w:type="dxa"/>
          </w:tcPr>
          <w:p w14:paraId="7CBF1BF1"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7.2</w:t>
            </w:r>
          </w:p>
        </w:tc>
        <w:tc>
          <w:tcPr>
            <w:tcW w:w="8977" w:type="dxa"/>
          </w:tcPr>
          <w:p w14:paraId="4A9FEFAD" w14:textId="77777777" w:rsidR="00335D29" w:rsidRPr="0026456A" w:rsidRDefault="00335D29" w:rsidP="00736477">
            <w:pPr>
              <w:pStyle w:val="TableParagraph"/>
              <w:spacing w:line="284" w:lineRule="exact"/>
              <w:rPr>
                <w:rFonts w:ascii="Arial" w:hAnsi="Arial" w:cs="Arial"/>
                <w:lang w:val="lt-LT"/>
              </w:rPr>
            </w:pPr>
            <w:r w:rsidRPr="0026456A">
              <w:rPr>
                <w:rFonts w:ascii="Arial" w:hAnsi="Arial" w:cs="Arial"/>
                <w:lang w:val="lt-LT"/>
              </w:rPr>
              <w:t>Registruojant problemą (incidentą) turi būti galimybė priskirti skirtingus kritiškumo lygius:</w:t>
            </w:r>
          </w:p>
        </w:tc>
      </w:tr>
      <w:tr w:rsidR="00335D29" w:rsidRPr="0026456A" w14:paraId="7EE56ECC" w14:textId="77777777" w:rsidTr="00736477">
        <w:trPr>
          <w:trHeight w:val="536"/>
        </w:trPr>
        <w:tc>
          <w:tcPr>
            <w:tcW w:w="1229" w:type="dxa"/>
          </w:tcPr>
          <w:p w14:paraId="34EECEE3"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7.3</w:t>
            </w:r>
          </w:p>
        </w:tc>
        <w:tc>
          <w:tcPr>
            <w:tcW w:w="8977" w:type="dxa"/>
          </w:tcPr>
          <w:p w14:paraId="4883AF35" w14:textId="77777777" w:rsidR="00335D29" w:rsidRPr="0026456A" w:rsidRDefault="00335D29" w:rsidP="00736477">
            <w:pPr>
              <w:pStyle w:val="TableParagraph"/>
              <w:spacing w:line="256" w:lineRule="exact"/>
              <w:rPr>
                <w:rFonts w:ascii="Arial" w:hAnsi="Arial" w:cs="Arial"/>
                <w:lang w:val="lt-LT"/>
              </w:rPr>
            </w:pPr>
            <w:r w:rsidRPr="0026456A">
              <w:rPr>
                <w:rFonts w:ascii="Arial" w:hAnsi="Arial" w:cs="Arial"/>
                <w:lang w:val="lt-LT"/>
              </w:rPr>
              <w:t>Aukštas – CDE aplinka visiškai neveikia, nėra galimybės prisijungti, patalpinti ir atidaryti dokumentų;</w:t>
            </w:r>
          </w:p>
        </w:tc>
      </w:tr>
      <w:tr w:rsidR="00335D29" w:rsidRPr="0026456A" w14:paraId="0F6F8F29" w14:textId="77777777" w:rsidTr="00736477">
        <w:trPr>
          <w:trHeight w:val="537"/>
        </w:trPr>
        <w:tc>
          <w:tcPr>
            <w:tcW w:w="1229" w:type="dxa"/>
          </w:tcPr>
          <w:p w14:paraId="42D8938D" w14:textId="77777777" w:rsidR="00335D29" w:rsidRPr="0026456A" w:rsidRDefault="00335D29" w:rsidP="00736477">
            <w:pPr>
              <w:pStyle w:val="TableParagraph"/>
              <w:spacing w:line="261" w:lineRule="exact"/>
              <w:ind w:left="106" w:right="98"/>
              <w:jc w:val="center"/>
              <w:rPr>
                <w:rFonts w:ascii="Arial" w:hAnsi="Arial" w:cs="Arial"/>
                <w:lang w:val="lt-LT"/>
              </w:rPr>
            </w:pPr>
            <w:r w:rsidRPr="0026456A">
              <w:rPr>
                <w:rFonts w:ascii="Arial" w:hAnsi="Arial" w:cs="Arial"/>
                <w:lang w:val="lt-LT"/>
              </w:rPr>
              <w:t>7.4</w:t>
            </w:r>
          </w:p>
        </w:tc>
        <w:tc>
          <w:tcPr>
            <w:tcW w:w="8977" w:type="dxa"/>
          </w:tcPr>
          <w:p w14:paraId="09A1636A" w14:textId="77777777" w:rsidR="00335D29" w:rsidRPr="0026456A" w:rsidRDefault="00335D29" w:rsidP="00736477">
            <w:pPr>
              <w:pStyle w:val="TableParagraph"/>
              <w:spacing w:line="261" w:lineRule="exact"/>
              <w:rPr>
                <w:rFonts w:ascii="Arial" w:hAnsi="Arial" w:cs="Arial"/>
                <w:lang w:val="lt-LT"/>
              </w:rPr>
            </w:pPr>
            <w:r w:rsidRPr="0026456A">
              <w:rPr>
                <w:rFonts w:ascii="Arial" w:hAnsi="Arial" w:cs="Arial"/>
                <w:lang w:val="lt-LT"/>
              </w:rPr>
              <w:t>Žemas – visi kiti smulkūs sutrikimai, nepatenkantys po „Aukštas“ sąvoka.</w:t>
            </w:r>
          </w:p>
        </w:tc>
      </w:tr>
      <w:tr w:rsidR="00335D29" w:rsidRPr="0026456A" w14:paraId="2CD8F267" w14:textId="77777777" w:rsidTr="00736477">
        <w:trPr>
          <w:trHeight w:val="537"/>
        </w:trPr>
        <w:tc>
          <w:tcPr>
            <w:tcW w:w="1229" w:type="dxa"/>
          </w:tcPr>
          <w:p w14:paraId="45D3CD78"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7.5</w:t>
            </w:r>
          </w:p>
        </w:tc>
        <w:tc>
          <w:tcPr>
            <w:tcW w:w="8977" w:type="dxa"/>
          </w:tcPr>
          <w:p w14:paraId="697E498F" w14:textId="77777777" w:rsidR="00335D29" w:rsidRPr="0026456A" w:rsidRDefault="00335D29" w:rsidP="00736477">
            <w:pPr>
              <w:pStyle w:val="TableParagraph"/>
              <w:rPr>
                <w:rFonts w:ascii="Arial" w:hAnsi="Arial" w:cs="Arial"/>
                <w:lang w:val="lt-LT"/>
              </w:rPr>
            </w:pPr>
            <w:r w:rsidRPr="0026456A">
              <w:rPr>
                <w:rFonts w:ascii="Arial" w:hAnsi="Arial" w:cs="Arial"/>
                <w:lang w:val="lt-LT"/>
              </w:rPr>
              <w:t>Tiekėjas turi užtikrinti problemų (incidentų) šalinimo laiką, atsižvelgiant į jų kritiškumą:</w:t>
            </w:r>
          </w:p>
        </w:tc>
      </w:tr>
      <w:tr w:rsidR="00335D29" w:rsidRPr="0026456A" w14:paraId="508A5155" w14:textId="77777777" w:rsidTr="00736477">
        <w:trPr>
          <w:trHeight w:val="537"/>
        </w:trPr>
        <w:tc>
          <w:tcPr>
            <w:tcW w:w="1229" w:type="dxa"/>
          </w:tcPr>
          <w:p w14:paraId="19D83223"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7.5.1</w:t>
            </w:r>
          </w:p>
        </w:tc>
        <w:tc>
          <w:tcPr>
            <w:tcW w:w="8977" w:type="dxa"/>
          </w:tcPr>
          <w:p w14:paraId="16081E97" w14:textId="77777777" w:rsidR="00335D29" w:rsidRPr="0026456A" w:rsidRDefault="00335D29" w:rsidP="00736477">
            <w:pPr>
              <w:pStyle w:val="TableParagraph"/>
              <w:rPr>
                <w:rFonts w:ascii="Arial" w:hAnsi="Arial" w:cs="Arial"/>
                <w:lang w:val="lt-LT"/>
              </w:rPr>
            </w:pPr>
            <w:r w:rsidRPr="0026456A">
              <w:rPr>
                <w:rFonts w:ascii="Arial" w:hAnsi="Arial" w:cs="Arial"/>
                <w:lang w:val="lt-LT"/>
              </w:rPr>
              <w:t>Aukštas – ne vėliau kaip per 24 val. nuo registravimo momento;</w:t>
            </w:r>
          </w:p>
        </w:tc>
      </w:tr>
      <w:tr w:rsidR="00335D29" w:rsidRPr="0026456A" w14:paraId="6B05F582" w14:textId="77777777" w:rsidTr="00736477">
        <w:trPr>
          <w:trHeight w:val="537"/>
        </w:trPr>
        <w:tc>
          <w:tcPr>
            <w:tcW w:w="1229" w:type="dxa"/>
          </w:tcPr>
          <w:p w14:paraId="655F18D9"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7.5.2</w:t>
            </w:r>
          </w:p>
        </w:tc>
        <w:tc>
          <w:tcPr>
            <w:tcW w:w="8977" w:type="dxa"/>
          </w:tcPr>
          <w:p w14:paraId="0C49170D" w14:textId="77777777" w:rsidR="00335D29" w:rsidRPr="0026456A" w:rsidRDefault="00335D29" w:rsidP="00736477">
            <w:pPr>
              <w:pStyle w:val="TableParagraph"/>
              <w:rPr>
                <w:rFonts w:ascii="Arial" w:hAnsi="Arial" w:cs="Arial"/>
                <w:lang w:val="lt-LT"/>
              </w:rPr>
            </w:pPr>
            <w:r w:rsidRPr="0026456A">
              <w:rPr>
                <w:rFonts w:ascii="Arial" w:hAnsi="Arial" w:cs="Arial"/>
                <w:lang w:val="lt-LT"/>
              </w:rPr>
              <w:t>Žemas – ne vėliau kaip per 72 val. nuo registravimo momento.</w:t>
            </w:r>
          </w:p>
        </w:tc>
      </w:tr>
      <w:tr w:rsidR="00335D29" w:rsidRPr="0026456A" w14:paraId="7CC8F9B4" w14:textId="77777777" w:rsidTr="00736477">
        <w:trPr>
          <w:trHeight w:val="370"/>
        </w:trPr>
        <w:tc>
          <w:tcPr>
            <w:tcW w:w="1229" w:type="dxa"/>
            <w:vAlign w:val="center"/>
          </w:tcPr>
          <w:p w14:paraId="5EA8675F" w14:textId="77777777" w:rsidR="00335D29" w:rsidRPr="0026456A" w:rsidRDefault="00335D29" w:rsidP="00736477">
            <w:pPr>
              <w:pStyle w:val="TableParagraph"/>
              <w:spacing w:line="240" w:lineRule="auto"/>
              <w:ind w:left="0"/>
              <w:jc w:val="center"/>
              <w:rPr>
                <w:rFonts w:ascii="Arial" w:hAnsi="Arial" w:cs="Arial"/>
                <w:b/>
                <w:bCs/>
                <w:lang w:val="lt-LT"/>
              </w:rPr>
            </w:pPr>
            <w:r w:rsidRPr="0026456A">
              <w:rPr>
                <w:rFonts w:ascii="Arial" w:hAnsi="Arial" w:cs="Arial"/>
                <w:b/>
                <w:bCs/>
                <w:lang w:val="lt-LT"/>
              </w:rPr>
              <w:t>8.</w:t>
            </w:r>
          </w:p>
        </w:tc>
        <w:tc>
          <w:tcPr>
            <w:tcW w:w="8977" w:type="dxa"/>
          </w:tcPr>
          <w:p w14:paraId="7D929E1F" w14:textId="77777777" w:rsidR="00335D29" w:rsidRPr="0026456A" w:rsidRDefault="00335D29" w:rsidP="00736477">
            <w:pPr>
              <w:pStyle w:val="TableParagraph"/>
              <w:spacing w:before="1" w:line="257" w:lineRule="exact"/>
              <w:rPr>
                <w:rFonts w:ascii="Arial" w:hAnsi="Arial" w:cs="Arial"/>
                <w:b/>
                <w:lang w:val="lt-LT"/>
              </w:rPr>
            </w:pPr>
            <w:r w:rsidRPr="0026456A">
              <w:rPr>
                <w:rFonts w:ascii="Arial" w:hAnsi="Arial" w:cs="Arial"/>
                <w:b/>
                <w:lang w:val="lt-LT"/>
              </w:rPr>
              <w:t>Reikalavimai palaikymo paslaugoms</w:t>
            </w:r>
          </w:p>
        </w:tc>
      </w:tr>
      <w:tr w:rsidR="00335D29" w:rsidRPr="0026456A" w14:paraId="2D0DE086" w14:textId="77777777" w:rsidTr="00736477">
        <w:trPr>
          <w:trHeight w:val="537"/>
        </w:trPr>
        <w:tc>
          <w:tcPr>
            <w:tcW w:w="1229" w:type="dxa"/>
          </w:tcPr>
          <w:p w14:paraId="452064B4"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8.1</w:t>
            </w:r>
          </w:p>
        </w:tc>
        <w:tc>
          <w:tcPr>
            <w:tcW w:w="8977" w:type="dxa"/>
          </w:tcPr>
          <w:p w14:paraId="06C4200A" w14:textId="77777777" w:rsidR="00335D29" w:rsidRPr="0026456A" w:rsidDel="00302693" w:rsidRDefault="00335D29" w:rsidP="00736477">
            <w:pPr>
              <w:pStyle w:val="TableParagraph"/>
              <w:tabs>
                <w:tab w:val="left" w:pos="6274"/>
              </w:tabs>
              <w:rPr>
                <w:rFonts w:ascii="Arial" w:hAnsi="Arial" w:cs="Arial"/>
                <w:lang w:val="lt-LT"/>
              </w:rPr>
            </w:pPr>
            <w:r w:rsidRPr="0026456A">
              <w:rPr>
                <w:rFonts w:ascii="Arial" w:hAnsi="Arial" w:cs="Arial"/>
                <w:lang w:val="lt-LT"/>
              </w:rPr>
              <w:t>Visą  Paslaugos  teikimo  laikotarpį  Tiekėjas  privalo</w:t>
            </w:r>
            <w:r w:rsidRPr="0026456A">
              <w:rPr>
                <w:rFonts w:ascii="Arial" w:hAnsi="Arial" w:cs="Arial"/>
                <w:spacing w:val="33"/>
                <w:lang w:val="lt-LT"/>
              </w:rPr>
              <w:t xml:space="preserve"> </w:t>
            </w:r>
            <w:r w:rsidRPr="0026456A">
              <w:rPr>
                <w:rFonts w:ascii="Arial" w:hAnsi="Arial" w:cs="Arial"/>
                <w:lang w:val="lt-LT"/>
              </w:rPr>
              <w:t>užtikrinti</w:t>
            </w:r>
            <w:r w:rsidRPr="0026456A">
              <w:rPr>
                <w:rFonts w:ascii="Arial" w:hAnsi="Arial" w:cs="Arial"/>
                <w:spacing w:val="46"/>
                <w:lang w:val="lt-LT"/>
              </w:rPr>
              <w:t xml:space="preserve"> </w:t>
            </w:r>
            <w:r w:rsidRPr="0026456A">
              <w:rPr>
                <w:rFonts w:ascii="Arial" w:hAnsi="Arial" w:cs="Arial"/>
                <w:lang w:val="lt-LT"/>
              </w:rPr>
              <w:t>CDE</w:t>
            </w:r>
            <w:r w:rsidRPr="0026456A">
              <w:rPr>
                <w:rFonts w:ascii="Arial" w:hAnsi="Arial" w:cs="Arial"/>
                <w:lang w:val="lt-LT"/>
              </w:rPr>
              <w:tab/>
              <w:t>palaikymo paslaugas, kurios apima:</w:t>
            </w:r>
          </w:p>
        </w:tc>
      </w:tr>
      <w:tr w:rsidR="00335D29" w:rsidRPr="0026456A" w14:paraId="22D04F72" w14:textId="77777777" w:rsidTr="00736477">
        <w:trPr>
          <w:trHeight w:val="537"/>
        </w:trPr>
        <w:tc>
          <w:tcPr>
            <w:tcW w:w="1229" w:type="dxa"/>
          </w:tcPr>
          <w:p w14:paraId="086B33B3" w14:textId="77777777" w:rsidR="00335D29" w:rsidRPr="0026456A" w:rsidRDefault="00335D29" w:rsidP="00736477">
            <w:pPr>
              <w:pStyle w:val="TableParagraph"/>
              <w:ind w:left="105" w:right="99"/>
              <w:jc w:val="center"/>
              <w:rPr>
                <w:rFonts w:ascii="Arial" w:hAnsi="Arial" w:cs="Arial"/>
                <w:lang w:val="lt-LT"/>
              </w:rPr>
            </w:pPr>
            <w:r w:rsidRPr="0026456A">
              <w:rPr>
                <w:rFonts w:ascii="Arial" w:hAnsi="Arial" w:cs="Arial"/>
                <w:lang w:val="lt-LT"/>
              </w:rPr>
              <w:t>8.1.1</w:t>
            </w:r>
          </w:p>
        </w:tc>
        <w:tc>
          <w:tcPr>
            <w:tcW w:w="8977" w:type="dxa"/>
          </w:tcPr>
          <w:p w14:paraId="13AB044A" w14:textId="77777777" w:rsidR="00335D29" w:rsidRPr="0026456A" w:rsidRDefault="00335D29" w:rsidP="00736477">
            <w:pPr>
              <w:pStyle w:val="TableParagraph"/>
              <w:rPr>
                <w:rFonts w:ascii="Arial" w:hAnsi="Arial" w:cs="Arial"/>
                <w:lang w:val="lt-LT"/>
              </w:rPr>
            </w:pPr>
            <w:r w:rsidRPr="0026456A">
              <w:rPr>
                <w:rFonts w:ascii="Arial" w:hAnsi="Arial" w:cs="Arial"/>
                <w:lang w:val="lt-LT"/>
              </w:rPr>
              <w:t>Klaidų ir neatitikimų taisymą;</w:t>
            </w:r>
          </w:p>
        </w:tc>
      </w:tr>
      <w:tr w:rsidR="00335D29" w:rsidRPr="0026456A" w14:paraId="5AC1C1A0" w14:textId="77777777" w:rsidTr="00736477">
        <w:trPr>
          <w:trHeight w:val="536"/>
        </w:trPr>
        <w:tc>
          <w:tcPr>
            <w:tcW w:w="1229" w:type="dxa"/>
          </w:tcPr>
          <w:p w14:paraId="2C84839C" w14:textId="77777777" w:rsidR="00335D29" w:rsidRPr="0026456A" w:rsidRDefault="00335D29" w:rsidP="00736477">
            <w:pPr>
              <w:pStyle w:val="TableParagraph"/>
              <w:ind w:left="105" w:right="99"/>
              <w:jc w:val="center"/>
              <w:rPr>
                <w:rFonts w:ascii="Arial" w:hAnsi="Arial" w:cs="Arial"/>
                <w:lang w:val="lt-LT"/>
              </w:rPr>
            </w:pPr>
            <w:r w:rsidRPr="0026456A">
              <w:rPr>
                <w:rFonts w:ascii="Arial" w:hAnsi="Arial" w:cs="Arial"/>
                <w:lang w:val="lt-LT"/>
              </w:rPr>
              <w:t>8.1.2</w:t>
            </w:r>
          </w:p>
        </w:tc>
        <w:tc>
          <w:tcPr>
            <w:tcW w:w="8977" w:type="dxa"/>
          </w:tcPr>
          <w:p w14:paraId="72B9BE2D" w14:textId="77777777" w:rsidR="00335D29" w:rsidRPr="0026456A" w:rsidRDefault="00335D29" w:rsidP="00736477">
            <w:pPr>
              <w:pStyle w:val="TableParagraph"/>
              <w:rPr>
                <w:rFonts w:ascii="Arial" w:hAnsi="Arial" w:cs="Arial"/>
                <w:lang w:val="lt-LT"/>
              </w:rPr>
            </w:pPr>
            <w:r w:rsidRPr="0026456A">
              <w:rPr>
                <w:rFonts w:ascii="Arial" w:hAnsi="Arial" w:cs="Arial"/>
                <w:lang w:val="lt-LT"/>
              </w:rPr>
              <w:t>Sistemos sutrikimų ir saugos pažeidžiamumų šalinimą;</w:t>
            </w:r>
          </w:p>
        </w:tc>
      </w:tr>
      <w:tr w:rsidR="00335D29" w:rsidRPr="0026456A" w14:paraId="191B0273" w14:textId="77777777" w:rsidTr="00736477">
        <w:trPr>
          <w:trHeight w:val="537"/>
        </w:trPr>
        <w:tc>
          <w:tcPr>
            <w:tcW w:w="1229" w:type="dxa"/>
          </w:tcPr>
          <w:p w14:paraId="562E0BF0" w14:textId="77777777" w:rsidR="00335D29" w:rsidRPr="0026456A" w:rsidRDefault="00335D29" w:rsidP="00736477">
            <w:pPr>
              <w:pStyle w:val="TableParagraph"/>
              <w:spacing w:line="261" w:lineRule="exact"/>
              <w:ind w:left="105" w:right="99"/>
              <w:jc w:val="center"/>
              <w:rPr>
                <w:rFonts w:ascii="Arial" w:hAnsi="Arial" w:cs="Arial"/>
                <w:lang w:val="lt-LT"/>
              </w:rPr>
            </w:pPr>
            <w:r w:rsidRPr="0026456A">
              <w:rPr>
                <w:rFonts w:ascii="Arial" w:hAnsi="Arial" w:cs="Arial"/>
                <w:lang w:val="lt-LT"/>
              </w:rPr>
              <w:t>8.1.3</w:t>
            </w:r>
          </w:p>
        </w:tc>
        <w:tc>
          <w:tcPr>
            <w:tcW w:w="8977" w:type="dxa"/>
          </w:tcPr>
          <w:p w14:paraId="3F8CD6D8" w14:textId="77777777" w:rsidR="00335D29" w:rsidRPr="0026456A" w:rsidRDefault="00335D29" w:rsidP="00736477">
            <w:pPr>
              <w:pStyle w:val="TableParagraph"/>
              <w:spacing w:line="261" w:lineRule="exact"/>
              <w:rPr>
                <w:rFonts w:ascii="Arial" w:hAnsi="Arial" w:cs="Arial"/>
                <w:lang w:val="lt-LT"/>
              </w:rPr>
            </w:pPr>
            <w:r w:rsidRPr="0026456A">
              <w:rPr>
                <w:rFonts w:ascii="Arial" w:hAnsi="Arial" w:cs="Arial"/>
                <w:lang w:val="lt-LT"/>
              </w:rPr>
              <w:t>Nepertraukiamą CDE veikimo užtikrinimą pagal kitus šioje Techninėje specifikacijoje esančius atitinkamuose punktuose pateiktus reikalavimus;</w:t>
            </w:r>
          </w:p>
        </w:tc>
      </w:tr>
      <w:tr w:rsidR="00335D29" w:rsidRPr="0026456A" w14:paraId="318983FE" w14:textId="77777777" w:rsidTr="00736477">
        <w:trPr>
          <w:trHeight w:val="537"/>
        </w:trPr>
        <w:tc>
          <w:tcPr>
            <w:tcW w:w="1229" w:type="dxa"/>
          </w:tcPr>
          <w:p w14:paraId="3C39B16C" w14:textId="77777777" w:rsidR="00335D29" w:rsidRPr="0026456A" w:rsidRDefault="00335D29" w:rsidP="00736477">
            <w:pPr>
              <w:pStyle w:val="TableParagraph"/>
              <w:ind w:left="105" w:right="99"/>
              <w:jc w:val="center"/>
              <w:rPr>
                <w:rFonts w:ascii="Arial" w:hAnsi="Arial" w:cs="Arial"/>
                <w:lang w:val="lt-LT"/>
              </w:rPr>
            </w:pPr>
            <w:r w:rsidRPr="0026456A">
              <w:rPr>
                <w:rFonts w:ascii="Arial" w:hAnsi="Arial" w:cs="Arial"/>
                <w:lang w:val="lt-LT"/>
              </w:rPr>
              <w:t>8.1.4</w:t>
            </w:r>
          </w:p>
        </w:tc>
        <w:tc>
          <w:tcPr>
            <w:tcW w:w="8977" w:type="dxa"/>
          </w:tcPr>
          <w:p w14:paraId="0C584631" w14:textId="77777777" w:rsidR="00335D29" w:rsidRPr="0026456A" w:rsidRDefault="00335D29" w:rsidP="00736477">
            <w:pPr>
              <w:pStyle w:val="TableParagraph"/>
              <w:rPr>
                <w:rFonts w:ascii="Arial" w:hAnsi="Arial" w:cs="Arial"/>
                <w:lang w:val="lt-LT"/>
              </w:rPr>
            </w:pPr>
            <w:r w:rsidRPr="0026456A">
              <w:rPr>
                <w:rFonts w:ascii="Arial" w:hAnsi="Arial" w:cs="Arial"/>
                <w:lang w:val="lt-LT"/>
              </w:rPr>
              <w:t>CDE darbingumo atstatymą CDE sutrikimams, kai tai įvyksta dėl Tiekėjo atliktų pakeitimų, atnaujinimų ar kitų Tiekėjo veiksmų ar neveikimo;</w:t>
            </w:r>
          </w:p>
        </w:tc>
      </w:tr>
      <w:tr w:rsidR="00335D29" w:rsidRPr="0026456A" w14:paraId="55C1DEFB" w14:textId="77777777" w:rsidTr="00736477">
        <w:trPr>
          <w:trHeight w:val="537"/>
        </w:trPr>
        <w:tc>
          <w:tcPr>
            <w:tcW w:w="1229" w:type="dxa"/>
          </w:tcPr>
          <w:p w14:paraId="039977FA" w14:textId="77777777" w:rsidR="00335D29" w:rsidRPr="0026456A" w:rsidRDefault="00335D29" w:rsidP="00736477">
            <w:pPr>
              <w:pStyle w:val="TableParagraph"/>
              <w:ind w:left="105" w:right="99"/>
              <w:jc w:val="center"/>
              <w:rPr>
                <w:rFonts w:ascii="Arial" w:hAnsi="Arial" w:cs="Arial"/>
                <w:lang w:val="lt-LT"/>
              </w:rPr>
            </w:pPr>
            <w:r w:rsidRPr="0026456A">
              <w:rPr>
                <w:rFonts w:ascii="Arial" w:hAnsi="Arial" w:cs="Arial"/>
                <w:lang w:val="lt-LT"/>
              </w:rPr>
              <w:t>8.1.5</w:t>
            </w:r>
          </w:p>
        </w:tc>
        <w:tc>
          <w:tcPr>
            <w:tcW w:w="8977" w:type="dxa"/>
          </w:tcPr>
          <w:p w14:paraId="319C56FC"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Sugadintų duomenų atstatymą, kai to priežastis yra Tiekėjo veiksmai (naujinant versijas, sprendžiant problemas ar pan.).</w:t>
            </w:r>
          </w:p>
        </w:tc>
      </w:tr>
      <w:tr w:rsidR="00335D29" w:rsidRPr="0026456A" w14:paraId="0B43E645" w14:textId="77777777" w:rsidTr="00736477">
        <w:trPr>
          <w:trHeight w:val="368"/>
        </w:trPr>
        <w:tc>
          <w:tcPr>
            <w:tcW w:w="1229" w:type="dxa"/>
            <w:vAlign w:val="center"/>
          </w:tcPr>
          <w:p w14:paraId="0994306F" w14:textId="77777777" w:rsidR="00335D29" w:rsidRPr="0026456A" w:rsidRDefault="00335D29" w:rsidP="00736477">
            <w:pPr>
              <w:pStyle w:val="TableParagraph"/>
              <w:spacing w:line="240" w:lineRule="auto"/>
              <w:ind w:left="0"/>
              <w:jc w:val="center"/>
              <w:rPr>
                <w:rFonts w:ascii="Arial" w:hAnsi="Arial" w:cs="Arial"/>
                <w:lang w:val="lt-LT"/>
              </w:rPr>
            </w:pPr>
            <w:r w:rsidRPr="0026456A">
              <w:rPr>
                <w:rFonts w:ascii="Arial" w:hAnsi="Arial" w:cs="Arial"/>
                <w:lang w:val="lt-LT"/>
              </w:rPr>
              <w:t>9.</w:t>
            </w:r>
          </w:p>
        </w:tc>
        <w:tc>
          <w:tcPr>
            <w:tcW w:w="8977" w:type="dxa"/>
          </w:tcPr>
          <w:p w14:paraId="1512BF5C" w14:textId="77777777" w:rsidR="00335D29" w:rsidRPr="0026456A" w:rsidRDefault="00335D29" w:rsidP="00736477">
            <w:pPr>
              <w:pStyle w:val="TableParagraph"/>
              <w:spacing w:before="1" w:line="257" w:lineRule="exact"/>
              <w:rPr>
                <w:rFonts w:ascii="Arial" w:hAnsi="Arial" w:cs="Arial"/>
                <w:b/>
                <w:lang w:val="lt-LT"/>
              </w:rPr>
            </w:pPr>
            <w:r w:rsidRPr="0026456A">
              <w:rPr>
                <w:rFonts w:ascii="Arial" w:hAnsi="Arial" w:cs="Arial"/>
                <w:b/>
                <w:lang w:val="lt-LT"/>
              </w:rPr>
              <w:t xml:space="preserve">Reikalavimai licencijoms (angl. </w:t>
            </w:r>
            <w:proofErr w:type="spellStart"/>
            <w:r w:rsidRPr="0026456A">
              <w:rPr>
                <w:rFonts w:ascii="Arial" w:hAnsi="Arial" w:cs="Arial"/>
                <w:b/>
                <w:lang w:val="lt-LT"/>
              </w:rPr>
              <w:t>Licencing</w:t>
            </w:r>
            <w:proofErr w:type="spellEnd"/>
            <w:r w:rsidRPr="0026456A">
              <w:rPr>
                <w:rFonts w:ascii="Arial" w:hAnsi="Arial" w:cs="Arial"/>
                <w:b/>
                <w:lang w:val="lt-LT"/>
              </w:rPr>
              <w:t>)</w:t>
            </w:r>
          </w:p>
        </w:tc>
      </w:tr>
      <w:tr w:rsidR="00335D29" w:rsidRPr="0026456A" w14:paraId="0054EC55" w14:textId="77777777" w:rsidTr="00736477">
        <w:trPr>
          <w:trHeight w:val="537"/>
        </w:trPr>
        <w:tc>
          <w:tcPr>
            <w:tcW w:w="1229" w:type="dxa"/>
          </w:tcPr>
          <w:p w14:paraId="46E5A13C"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9.1</w:t>
            </w:r>
          </w:p>
        </w:tc>
        <w:tc>
          <w:tcPr>
            <w:tcW w:w="8977" w:type="dxa"/>
          </w:tcPr>
          <w:p w14:paraId="72674F2A" w14:textId="71395F01" w:rsidR="00335D29" w:rsidRPr="0026456A" w:rsidRDefault="00335D29" w:rsidP="00736477">
            <w:pPr>
              <w:pStyle w:val="TableParagraph"/>
              <w:rPr>
                <w:rFonts w:ascii="Arial" w:hAnsi="Arial" w:cs="Arial"/>
                <w:lang w:val="lt-LT"/>
              </w:rPr>
            </w:pPr>
            <w:r w:rsidRPr="00DD7205">
              <w:rPr>
                <w:rFonts w:ascii="Arial" w:hAnsi="Arial" w:cs="Arial"/>
                <w:lang w:val="lt-LT"/>
              </w:rPr>
              <w:t>Licencij</w:t>
            </w:r>
            <w:r w:rsidR="00340D57" w:rsidRPr="00DD7205">
              <w:rPr>
                <w:rFonts w:ascii="Arial" w:hAnsi="Arial" w:cs="Arial"/>
                <w:lang w:val="lt-LT"/>
              </w:rPr>
              <w:t>a</w:t>
            </w:r>
            <w:r w:rsidRPr="00DD7205">
              <w:rPr>
                <w:rFonts w:ascii="Arial" w:hAnsi="Arial" w:cs="Arial"/>
                <w:lang w:val="lt-LT"/>
              </w:rPr>
              <w:t xml:space="preserve"> turi būti perduot</w:t>
            </w:r>
            <w:r w:rsidR="00D764FD" w:rsidRPr="00DD7205">
              <w:rPr>
                <w:rFonts w:ascii="Arial" w:hAnsi="Arial" w:cs="Arial"/>
                <w:lang w:val="lt-LT"/>
              </w:rPr>
              <w:t>a</w:t>
            </w:r>
            <w:r w:rsidRPr="00DD7205">
              <w:rPr>
                <w:rFonts w:ascii="Arial" w:hAnsi="Arial" w:cs="Arial"/>
                <w:lang w:val="lt-LT"/>
              </w:rPr>
              <w:t xml:space="preserve"> nuomos</w:t>
            </w:r>
            <w:r w:rsidRPr="6FB3C0D8">
              <w:rPr>
                <w:rFonts w:ascii="Arial" w:hAnsi="Arial" w:cs="Arial"/>
                <w:lang w:val="lt-LT"/>
              </w:rPr>
              <w:t xml:space="preserve"> pagrindu su palaikymu;</w:t>
            </w:r>
          </w:p>
        </w:tc>
      </w:tr>
      <w:tr w:rsidR="00335D29" w:rsidRPr="0026456A" w14:paraId="52070B1D" w14:textId="77777777" w:rsidTr="00736477">
        <w:trPr>
          <w:trHeight w:val="537"/>
        </w:trPr>
        <w:tc>
          <w:tcPr>
            <w:tcW w:w="1229" w:type="dxa"/>
          </w:tcPr>
          <w:p w14:paraId="54FB25E9"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9.</w:t>
            </w:r>
            <w:r>
              <w:rPr>
                <w:rFonts w:ascii="Arial" w:hAnsi="Arial" w:cs="Arial"/>
                <w:lang w:val="lt-LT"/>
              </w:rPr>
              <w:t>2</w:t>
            </w:r>
          </w:p>
        </w:tc>
        <w:tc>
          <w:tcPr>
            <w:tcW w:w="8977" w:type="dxa"/>
          </w:tcPr>
          <w:p w14:paraId="41EA3BDB" w14:textId="77777777" w:rsidR="00335D29" w:rsidRPr="0026456A" w:rsidRDefault="00335D29" w:rsidP="00736477">
            <w:pPr>
              <w:pStyle w:val="TableParagraph"/>
              <w:rPr>
                <w:rFonts w:ascii="Arial" w:hAnsi="Arial" w:cs="Arial"/>
                <w:lang w:val="lt-LT"/>
              </w:rPr>
            </w:pPr>
            <w:r w:rsidRPr="0026456A">
              <w:rPr>
                <w:rFonts w:ascii="Arial" w:hAnsi="Arial" w:cs="Arial"/>
                <w:lang w:val="lt-LT"/>
              </w:rPr>
              <w:t>Visi dokumentai, duomenys, informacija ir CDE konfigūravimas yra išskirtinė Pirkėjo nuosavybė.</w:t>
            </w:r>
          </w:p>
        </w:tc>
      </w:tr>
    </w:tbl>
    <w:p w14:paraId="712EDD7D" w14:textId="77777777" w:rsidR="00367A26" w:rsidRPr="00F16557" w:rsidRDefault="00367A26" w:rsidP="00920B65">
      <w:pPr>
        <w:jc w:val="left"/>
        <w:rPr>
          <w:rFonts w:ascii="Arial" w:hAnsi="Arial" w:cs="Arial"/>
          <w:b/>
          <w:caps/>
          <w:sz w:val="22"/>
          <w:szCs w:val="22"/>
        </w:rPr>
      </w:pPr>
    </w:p>
    <w:tbl>
      <w:tblPr>
        <w:tblStyle w:val="TableGrid"/>
        <w:tblW w:w="10201" w:type="dxa"/>
        <w:shd w:val="clear" w:color="auto" w:fill="006982"/>
        <w:tblLook w:val="04A0" w:firstRow="1" w:lastRow="0" w:firstColumn="1" w:lastColumn="0" w:noHBand="0" w:noVBand="1"/>
      </w:tblPr>
      <w:tblGrid>
        <w:gridCol w:w="10201"/>
      </w:tblGrid>
      <w:tr w:rsidR="00460F70" w:rsidRPr="00F16557" w14:paraId="3E4F538D" w14:textId="77777777" w:rsidTr="00BD38E5">
        <w:trPr>
          <w:trHeight w:val="416"/>
        </w:trPr>
        <w:tc>
          <w:tcPr>
            <w:tcW w:w="10201" w:type="dxa"/>
            <w:shd w:val="clear" w:color="auto" w:fill="006982"/>
            <w:vAlign w:val="center"/>
          </w:tcPr>
          <w:p w14:paraId="2C1BB72F" w14:textId="77777777" w:rsidR="00460F70" w:rsidRPr="00F16557" w:rsidRDefault="00460F70" w:rsidP="00D94E4F">
            <w:pPr>
              <w:pStyle w:val="ListParagraph"/>
              <w:numPr>
                <w:ilvl w:val="0"/>
                <w:numId w:val="29"/>
              </w:numPr>
              <w:rPr>
                <w:rFonts w:ascii="Arial" w:hAnsi="Arial" w:cs="Arial"/>
                <w:b/>
                <w:caps/>
                <w:color w:val="FFFFFF" w:themeColor="background1"/>
                <w:sz w:val="22"/>
              </w:rPr>
            </w:pPr>
            <w:r w:rsidRPr="00F16557">
              <w:rPr>
                <w:rFonts w:ascii="Arial" w:hAnsi="Arial" w:cs="Arial"/>
                <w:b/>
                <w:caps/>
                <w:color w:val="FFFFFF" w:themeColor="background1"/>
                <w:sz w:val="22"/>
              </w:rPr>
              <w:t>aPLINKOSAUGINIAI REIKALAVIMAI</w:t>
            </w:r>
          </w:p>
        </w:tc>
      </w:tr>
      <w:tr w:rsidR="00460F70" w:rsidRPr="00F16557" w14:paraId="765739B6" w14:textId="77777777" w:rsidTr="00BD38E5">
        <w:trPr>
          <w:trHeight w:val="416"/>
        </w:trPr>
        <w:tc>
          <w:tcPr>
            <w:tcW w:w="10201" w:type="dxa"/>
            <w:shd w:val="clear" w:color="auto" w:fill="auto"/>
            <w:vAlign w:val="center"/>
          </w:tcPr>
          <w:p w14:paraId="6A2A5DA4" w14:textId="7FEBF422" w:rsidR="00460F70" w:rsidRPr="00F16557" w:rsidRDefault="00460F70" w:rsidP="00F20597">
            <w:pPr>
              <w:pStyle w:val="ListParagraph"/>
              <w:tabs>
                <w:tab w:val="left" w:pos="567"/>
              </w:tabs>
              <w:ind w:left="0"/>
              <w:jc w:val="both"/>
              <w:rPr>
                <w:rFonts w:ascii="Arial" w:hAnsi="Arial" w:cs="Arial"/>
                <w:b/>
                <w:caps/>
                <w:color w:val="FFFFFF" w:themeColor="background1"/>
                <w:sz w:val="22"/>
              </w:rPr>
            </w:pPr>
            <w:r w:rsidRPr="00F16557">
              <w:rPr>
                <w:rFonts w:ascii="Arial" w:hAnsi="Arial" w:cs="Arial"/>
                <w:sz w:val="22"/>
              </w:rPr>
              <w:t>Pirkimas vykdomas vadovaujantis 2011 m. birželio 28 d. Lietuvos Respublikos aplinkos ministro įsakymo Nr. D1</w:t>
            </w:r>
            <w:r w:rsidRPr="00F16557">
              <w:rPr>
                <w:rFonts w:ascii="Arial" w:hAnsi="Arial" w:cs="Arial"/>
                <w:sz w:val="22"/>
              </w:rPr>
              <w:noBreakHyphen/>
              <w:t>508 „Dėl aplinkos apsaugos kriterijų taikymo, vykdant žaliuosius pirkimus, tvarkos aprašo patvirtinimo“ (2022</w:t>
            </w:r>
            <w:r w:rsidRPr="00F16557">
              <w:rPr>
                <w:rFonts w:ascii="Arial" w:hAnsi="Arial" w:cs="Arial"/>
                <w:sz w:val="22"/>
              </w:rPr>
              <w:noBreakHyphen/>
              <w:t>12</w:t>
            </w:r>
            <w:r w:rsidRPr="00F16557">
              <w:rPr>
                <w:rFonts w:ascii="Arial" w:hAnsi="Arial" w:cs="Arial"/>
                <w:sz w:val="22"/>
              </w:rPr>
              <w:noBreakHyphen/>
              <w:t>13 įsakymo Nr. D1</w:t>
            </w:r>
            <w:r w:rsidRPr="00F16557">
              <w:rPr>
                <w:rFonts w:ascii="Arial" w:hAnsi="Arial" w:cs="Arial"/>
                <w:sz w:val="22"/>
              </w:rPr>
              <w:noBreakHyphen/>
              <w:t>401 redakcija) 4.</w:t>
            </w:r>
            <w:r w:rsidR="003D200F" w:rsidRPr="00F16557">
              <w:rPr>
                <w:rFonts w:ascii="Arial" w:hAnsi="Arial" w:cs="Arial"/>
                <w:sz w:val="22"/>
                <w:lang w:val="en-US"/>
              </w:rPr>
              <w:t>4.</w:t>
            </w:r>
            <w:r w:rsidR="00A77CF7" w:rsidRPr="00F16557">
              <w:rPr>
                <w:rFonts w:ascii="Arial" w:hAnsi="Arial" w:cs="Arial"/>
                <w:sz w:val="22"/>
                <w:lang w:val="en-US"/>
              </w:rPr>
              <w:t>3</w:t>
            </w:r>
            <w:r w:rsidRPr="00F16557">
              <w:rPr>
                <w:rFonts w:ascii="Arial" w:hAnsi="Arial" w:cs="Arial"/>
                <w:sz w:val="22"/>
              </w:rPr>
              <w:t>. punktu</w:t>
            </w:r>
            <w:r w:rsidR="00F20597" w:rsidRPr="00F16557">
              <w:rPr>
                <w:rFonts w:ascii="Arial" w:hAnsi="Arial" w:cs="Arial"/>
                <w:sz w:val="22"/>
              </w:rPr>
              <w:t>:</w:t>
            </w:r>
            <w:r w:rsidR="00146D21" w:rsidRPr="00F16557">
              <w:rPr>
                <w:rFonts w:ascii="Arial" w:eastAsia="Times New Roman" w:hAnsi="Arial" w:cs="Arial"/>
                <w:color w:val="000000"/>
                <w:sz w:val="22"/>
              </w:rPr>
              <w:t xml:space="preserve"> </w:t>
            </w:r>
            <w:r w:rsidR="00047D7F" w:rsidRPr="00F16557">
              <w:rPr>
                <w:rFonts w:ascii="Arial" w:hAnsi="Arial" w:cs="Arial"/>
                <w:sz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bl>
    <w:p w14:paraId="5A6BE652" w14:textId="77777777" w:rsidR="000F6511" w:rsidRPr="00F16557" w:rsidRDefault="000F6511" w:rsidP="00282CD1">
      <w:pPr>
        <w:pStyle w:val="Bodytext1"/>
        <w:shd w:val="clear" w:color="auto" w:fill="auto"/>
        <w:tabs>
          <w:tab w:val="left" w:pos="0"/>
        </w:tabs>
        <w:spacing w:before="0" w:after="0" w:line="240" w:lineRule="auto"/>
        <w:ind w:right="55" w:firstLine="567"/>
        <w:jc w:val="both"/>
        <w:rPr>
          <w:rFonts w:ascii="Arial" w:hAnsi="Arial" w:cs="Arial"/>
          <w:i/>
          <w:iCs/>
          <w:sz w:val="22"/>
          <w:szCs w:val="22"/>
        </w:rPr>
      </w:pPr>
    </w:p>
    <w:p w14:paraId="5DBC3E61" w14:textId="4E8D75C6" w:rsidR="00E44CBF" w:rsidRPr="00F16557" w:rsidRDefault="00E44CBF" w:rsidP="00282CD1">
      <w:pPr>
        <w:pStyle w:val="Bodytext20"/>
        <w:shd w:val="clear" w:color="auto" w:fill="auto"/>
        <w:tabs>
          <w:tab w:val="left" w:pos="0"/>
          <w:tab w:val="left" w:pos="142"/>
        </w:tabs>
        <w:spacing w:line="240" w:lineRule="auto"/>
        <w:ind w:right="55" w:firstLine="567"/>
        <w:jc w:val="both"/>
        <w:rPr>
          <w:rFonts w:ascii="Arial" w:hAnsi="Arial" w:cs="Arial"/>
          <w:sz w:val="22"/>
          <w:szCs w:val="22"/>
        </w:rPr>
      </w:pPr>
    </w:p>
    <w:p w14:paraId="29C92763" w14:textId="77777777" w:rsidR="00E44CBF" w:rsidRPr="00F16557" w:rsidRDefault="00E44CBF" w:rsidP="00282CD1">
      <w:pPr>
        <w:ind w:firstLine="567"/>
        <w:rPr>
          <w:rFonts w:ascii="Arial" w:hAnsi="Arial" w:cs="Arial"/>
          <w:sz w:val="22"/>
          <w:szCs w:val="22"/>
        </w:rPr>
      </w:pPr>
    </w:p>
    <w:sectPr w:rsidR="00E44CBF" w:rsidRPr="00F16557" w:rsidSect="00282CD1">
      <w:headerReference w:type="default" r:id="rId11"/>
      <w:headerReference w:type="first" r:id="rId12"/>
      <w:pgSz w:w="11906" w:h="16838"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F06CB" w14:textId="77777777" w:rsidR="006640BC" w:rsidRDefault="006640BC" w:rsidP="00EC4D0B">
      <w:r>
        <w:separator/>
      </w:r>
    </w:p>
  </w:endnote>
  <w:endnote w:type="continuationSeparator" w:id="0">
    <w:p w14:paraId="53EB663C" w14:textId="77777777" w:rsidR="006640BC" w:rsidRDefault="006640BC"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Italic">
    <w:altName w:val="Verdan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246F5" w14:textId="77777777" w:rsidR="006640BC" w:rsidRDefault="006640BC" w:rsidP="00EC4D0B">
      <w:r>
        <w:separator/>
      </w:r>
    </w:p>
  </w:footnote>
  <w:footnote w:type="continuationSeparator" w:id="0">
    <w:p w14:paraId="1DCDA9EE" w14:textId="77777777" w:rsidR="006640BC" w:rsidRDefault="006640BC"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01" w:type="dxa"/>
      <w:tblLook w:val="04A0" w:firstRow="1" w:lastRow="0" w:firstColumn="1" w:lastColumn="0" w:noHBand="0" w:noVBand="1"/>
    </w:tblPr>
    <w:tblGrid>
      <w:gridCol w:w="1838"/>
      <w:gridCol w:w="6379"/>
      <w:gridCol w:w="1984"/>
    </w:tblGrid>
    <w:tr w:rsidR="00B31D3F" w14:paraId="27E68F0D" w14:textId="77777777" w:rsidTr="00BD38E5">
      <w:tc>
        <w:tcPr>
          <w:tcW w:w="1838" w:type="dxa"/>
          <w:vMerge w:val="restart"/>
          <w:vAlign w:val="center"/>
        </w:tcPr>
        <w:p w14:paraId="4E0FBFE7" w14:textId="3624001D" w:rsidR="00B31D3F" w:rsidRDefault="00827946" w:rsidP="00B31D3F">
          <w:pPr>
            <w:pStyle w:val="Header"/>
          </w:pPr>
          <w:r>
            <w:rPr>
              <w:noProof/>
            </w:rPr>
            <w:drawing>
              <wp:inline distT="0" distB="0" distL="0" distR="0" wp14:anchorId="1E252963" wp14:editId="12B16E12">
                <wp:extent cx="996950" cy="128819"/>
                <wp:effectExtent l="0" t="0" r="0" b="5080"/>
                <wp:docPr id="3266698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808" cy="132160"/>
                        </a:xfrm>
                        <a:prstGeom prst="rect">
                          <a:avLst/>
                        </a:prstGeom>
                        <a:noFill/>
                        <a:ln>
                          <a:noFill/>
                        </a:ln>
                      </pic:spPr>
                    </pic:pic>
                  </a:graphicData>
                </a:graphic>
              </wp:inline>
            </w:drawing>
          </w:r>
        </w:p>
      </w:tc>
      <w:tc>
        <w:tcPr>
          <w:tcW w:w="6379" w:type="dxa"/>
          <w:vMerge w:val="restart"/>
          <w:shd w:val="clear" w:color="auto" w:fill="auto"/>
          <w:vAlign w:val="center"/>
        </w:tcPr>
        <w:p w14:paraId="4D41CFE4" w14:textId="253B0D84" w:rsidR="00B31D3F" w:rsidRPr="00500F46" w:rsidRDefault="00B31D3F" w:rsidP="00B31D3F">
          <w:pPr>
            <w:pStyle w:val="Header"/>
            <w:jc w:val="center"/>
            <w:rPr>
              <w:b/>
              <w:bCs/>
              <w:sz w:val="24"/>
              <w:szCs w:val="28"/>
            </w:rPr>
          </w:pPr>
          <w:r w:rsidRPr="002C1403">
            <w:rPr>
              <w:b/>
              <w:caps/>
              <w:sz w:val="24"/>
              <w:szCs w:val="28"/>
            </w:rPr>
            <w:t>Techninė specifikacij</w:t>
          </w:r>
          <w:r w:rsidR="002A215B">
            <w:rPr>
              <w:b/>
              <w:caps/>
              <w:sz w:val="24"/>
              <w:szCs w:val="28"/>
            </w:rPr>
            <w:t>A</w:t>
          </w:r>
        </w:p>
      </w:tc>
      <w:tc>
        <w:tcPr>
          <w:tcW w:w="1984" w:type="dxa"/>
          <w:vAlign w:val="center"/>
        </w:tcPr>
        <w:p w14:paraId="70D148E6" w14:textId="17F0F3F8" w:rsidR="00B31D3F" w:rsidRPr="00FD42B8" w:rsidRDefault="00B31D3F" w:rsidP="00B31D3F">
          <w:pPr>
            <w:pStyle w:val="Header"/>
            <w:rPr>
              <w:rFonts w:cs="Calibri"/>
              <w:color w:val="000000"/>
              <w:szCs w:val="20"/>
            </w:rPr>
          </w:pPr>
        </w:p>
      </w:tc>
    </w:tr>
    <w:tr w:rsidR="00B31D3F" w14:paraId="41082ECB" w14:textId="77777777" w:rsidTr="00BD38E5">
      <w:tc>
        <w:tcPr>
          <w:tcW w:w="1838" w:type="dxa"/>
          <w:vMerge/>
        </w:tcPr>
        <w:p w14:paraId="530AA3FD" w14:textId="77777777" w:rsidR="00B31D3F" w:rsidRDefault="00B31D3F" w:rsidP="00B31D3F">
          <w:pPr>
            <w:pStyle w:val="Header"/>
          </w:pPr>
        </w:p>
      </w:tc>
      <w:tc>
        <w:tcPr>
          <w:tcW w:w="6379" w:type="dxa"/>
          <w:vMerge/>
          <w:shd w:val="clear" w:color="auto" w:fill="auto"/>
        </w:tcPr>
        <w:p w14:paraId="5A41F893" w14:textId="77777777" w:rsidR="00B31D3F" w:rsidRDefault="00B31D3F" w:rsidP="00B31D3F">
          <w:pPr>
            <w:pStyle w:val="Header"/>
          </w:pPr>
        </w:p>
      </w:tc>
      <w:tc>
        <w:tcPr>
          <w:tcW w:w="1984" w:type="dxa"/>
        </w:tcPr>
        <w:p w14:paraId="2FEA0D2C" w14:textId="77777777" w:rsidR="00B31D3F" w:rsidRDefault="00B31D3F" w:rsidP="00B31D3F">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BD38E5">
      <w:tc>
        <w:tcPr>
          <w:tcW w:w="1838" w:type="dxa"/>
          <w:vMerge/>
        </w:tcPr>
        <w:p w14:paraId="71F80B78" w14:textId="77777777" w:rsidR="00B31D3F" w:rsidRDefault="00B31D3F" w:rsidP="00B31D3F">
          <w:pPr>
            <w:pStyle w:val="Header"/>
          </w:pPr>
        </w:p>
      </w:tc>
      <w:tc>
        <w:tcPr>
          <w:tcW w:w="6379" w:type="dxa"/>
          <w:vMerge/>
          <w:shd w:val="clear" w:color="auto" w:fill="auto"/>
        </w:tcPr>
        <w:p w14:paraId="53DCDFBF" w14:textId="77777777" w:rsidR="00B31D3F" w:rsidRDefault="00B31D3F" w:rsidP="00B31D3F">
          <w:pPr>
            <w:pStyle w:val="Header"/>
          </w:pPr>
        </w:p>
      </w:tc>
      <w:tc>
        <w:tcPr>
          <w:tcW w:w="1984" w:type="dxa"/>
          <w:vAlign w:val="center"/>
        </w:tcPr>
        <w:p w14:paraId="5B80849E" w14:textId="11CC2B64" w:rsidR="00B31D3F" w:rsidRDefault="00B31D3F" w:rsidP="00B31D3F">
          <w:pPr>
            <w:pStyle w:val="Header"/>
          </w:pPr>
        </w:p>
      </w:tc>
    </w:tr>
  </w:tbl>
  <w:p w14:paraId="122DC605" w14:textId="77777777" w:rsidR="00B31D3F" w:rsidRDefault="00B31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01" w:type="dxa"/>
      <w:tblLook w:val="04A0" w:firstRow="1" w:lastRow="0" w:firstColumn="1" w:lastColumn="0" w:noHBand="0" w:noVBand="1"/>
    </w:tblPr>
    <w:tblGrid>
      <w:gridCol w:w="1838"/>
      <w:gridCol w:w="6379"/>
      <w:gridCol w:w="1984"/>
    </w:tblGrid>
    <w:tr w:rsidR="00F20C9B" w14:paraId="6C6DAD52" w14:textId="77777777" w:rsidTr="00BD38E5">
      <w:tc>
        <w:tcPr>
          <w:tcW w:w="1838" w:type="dxa"/>
          <w:vMerge w:val="restart"/>
          <w:vAlign w:val="center"/>
        </w:tcPr>
        <w:p w14:paraId="12CEC5CA" w14:textId="42EBC67F" w:rsidR="00F20C9B" w:rsidRDefault="000E224C" w:rsidP="005F5463">
          <w:pPr>
            <w:pStyle w:val="Header"/>
          </w:pPr>
          <w:r>
            <w:rPr>
              <w:noProof/>
            </w:rPr>
            <w:drawing>
              <wp:inline distT="0" distB="0" distL="0" distR="0" wp14:anchorId="6A2AD239" wp14:editId="086B6EF2">
                <wp:extent cx="996950" cy="128819"/>
                <wp:effectExtent l="0" t="0" r="0" b="5080"/>
                <wp:docPr id="18483175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808" cy="132160"/>
                        </a:xfrm>
                        <a:prstGeom prst="rect">
                          <a:avLst/>
                        </a:prstGeom>
                        <a:noFill/>
                        <a:ln>
                          <a:noFill/>
                        </a:ln>
                      </pic:spPr>
                    </pic:pic>
                  </a:graphicData>
                </a:graphic>
              </wp:inline>
            </w:drawing>
          </w:r>
        </w:p>
      </w:tc>
      <w:tc>
        <w:tcPr>
          <w:tcW w:w="6379" w:type="dxa"/>
          <w:vMerge w:val="restart"/>
          <w:shd w:val="clear" w:color="auto" w:fill="auto"/>
          <w:vAlign w:val="center"/>
        </w:tcPr>
        <w:p w14:paraId="21868285" w14:textId="5EDC1406" w:rsidR="00F20C9B" w:rsidRPr="00500F46" w:rsidRDefault="002C1403" w:rsidP="005F5463">
          <w:pPr>
            <w:pStyle w:val="Header"/>
            <w:jc w:val="center"/>
            <w:rPr>
              <w:b/>
              <w:bCs/>
              <w:sz w:val="24"/>
              <w:szCs w:val="28"/>
            </w:rPr>
          </w:pPr>
          <w:r w:rsidRPr="002C1403">
            <w:rPr>
              <w:b/>
              <w:caps/>
              <w:sz w:val="24"/>
              <w:szCs w:val="28"/>
            </w:rPr>
            <w:t>Techninė</w:t>
          </w:r>
          <w:r w:rsidR="002A215B">
            <w:rPr>
              <w:b/>
              <w:caps/>
              <w:sz w:val="24"/>
              <w:szCs w:val="28"/>
            </w:rPr>
            <w:t xml:space="preserve"> </w:t>
          </w:r>
          <w:r w:rsidRPr="002C1403">
            <w:rPr>
              <w:b/>
              <w:caps/>
              <w:sz w:val="24"/>
              <w:szCs w:val="28"/>
            </w:rPr>
            <w:t>specifikacij</w:t>
          </w:r>
          <w:r w:rsidR="002A215B">
            <w:rPr>
              <w:b/>
              <w:caps/>
              <w:sz w:val="24"/>
              <w:szCs w:val="28"/>
            </w:rPr>
            <w:t>a</w:t>
          </w:r>
        </w:p>
      </w:tc>
      <w:tc>
        <w:tcPr>
          <w:tcW w:w="1984" w:type="dxa"/>
          <w:vAlign w:val="center"/>
        </w:tcPr>
        <w:p w14:paraId="4049DB45" w14:textId="264ADD53" w:rsidR="0019349A" w:rsidRPr="00FD42B8" w:rsidRDefault="0019349A" w:rsidP="005F5463">
          <w:pPr>
            <w:pStyle w:val="Header"/>
            <w:rPr>
              <w:rFonts w:cs="Calibri"/>
              <w:color w:val="000000"/>
              <w:szCs w:val="20"/>
            </w:rPr>
          </w:pPr>
          <w:r>
            <w:rPr>
              <w:rFonts w:cs="Calibri"/>
              <w:color w:val="000000"/>
              <w:szCs w:val="20"/>
            </w:rPr>
            <w:t>1 priedas</w:t>
          </w:r>
        </w:p>
      </w:tc>
    </w:tr>
    <w:tr w:rsidR="00693459" w14:paraId="6FE0835F" w14:textId="77777777" w:rsidTr="00945162">
      <w:trPr>
        <w:trHeight w:val="469"/>
      </w:trPr>
      <w:tc>
        <w:tcPr>
          <w:tcW w:w="1838" w:type="dxa"/>
          <w:vMerge/>
        </w:tcPr>
        <w:p w14:paraId="469F1907" w14:textId="77777777" w:rsidR="00693459" w:rsidRDefault="00693459" w:rsidP="005F5463">
          <w:pPr>
            <w:pStyle w:val="Header"/>
          </w:pPr>
        </w:p>
      </w:tc>
      <w:tc>
        <w:tcPr>
          <w:tcW w:w="6379" w:type="dxa"/>
          <w:vMerge/>
          <w:shd w:val="clear" w:color="auto" w:fill="auto"/>
        </w:tcPr>
        <w:p w14:paraId="608FED4B" w14:textId="77777777" w:rsidR="00693459" w:rsidRDefault="00693459" w:rsidP="005F5463">
          <w:pPr>
            <w:pStyle w:val="Header"/>
          </w:pPr>
        </w:p>
      </w:tc>
      <w:tc>
        <w:tcPr>
          <w:tcW w:w="1984" w:type="dxa"/>
        </w:tcPr>
        <w:p w14:paraId="0C8F4897" w14:textId="77777777" w:rsidR="00693459" w:rsidRDefault="00693459" w:rsidP="005F5463">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6D4906"/>
    <w:multiLevelType w:val="hybridMultilevel"/>
    <w:tmpl w:val="5C0492BC"/>
    <w:lvl w:ilvl="0" w:tplc="D856EC46">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0A5462D"/>
    <w:multiLevelType w:val="hybridMultilevel"/>
    <w:tmpl w:val="CE563A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394B27"/>
    <w:multiLevelType w:val="hybridMultilevel"/>
    <w:tmpl w:val="BF2803C0"/>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4" w15:restartNumberingAfterBreak="0">
    <w:nsid w:val="1BCE556D"/>
    <w:multiLevelType w:val="hybridMultilevel"/>
    <w:tmpl w:val="EF120F20"/>
    <w:lvl w:ilvl="0" w:tplc="04270001">
      <w:start w:val="1"/>
      <w:numFmt w:val="bullet"/>
      <w:lvlText w:val=""/>
      <w:lvlJc w:val="left"/>
      <w:pPr>
        <w:ind w:left="960" w:hanging="360"/>
      </w:pPr>
      <w:rPr>
        <w:rFonts w:ascii="Symbol" w:hAnsi="Symbol"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5" w15:restartNumberingAfterBreak="0">
    <w:nsid w:val="203D6AEE"/>
    <w:multiLevelType w:val="multilevel"/>
    <w:tmpl w:val="6C22EAB4"/>
    <w:lvl w:ilvl="0">
      <w:start w:val="1"/>
      <w:numFmt w:val="decimal"/>
      <w:lvlText w:val="%1."/>
      <w:lvlJc w:val="left"/>
      <w:pPr>
        <w:ind w:left="1069" w:hanging="360"/>
      </w:pPr>
      <w:rPr>
        <w:rFonts w:hint="default"/>
        <w:b/>
        <w:i w:val="0"/>
        <w:iCs/>
      </w:rPr>
    </w:lvl>
    <w:lvl w:ilvl="1">
      <w:start w:val="1"/>
      <w:numFmt w:val="decimal"/>
      <w:isLgl/>
      <w:lvlText w:val="%1.%2."/>
      <w:lvlJc w:val="left"/>
      <w:pPr>
        <w:ind w:left="1920" w:hanging="360"/>
      </w:pPr>
      <w:rPr>
        <w:rFonts w:hint="default"/>
        <w:b w:val="0"/>
        <w:bCs/>
        <w:i w:val="0"/>
        <w:iCs w:val="0"/>
      </w:rPr>
    </w:lvl>
    <w:lvl w:ilvl="2">
      <w:start w:val="1"/>
      <w:numFmt w:val="decimal"/>
      <w:isLgl/>
      <w:lvlText w:val="%1.%2.%3."/>
      <w:lvlJc w:val="left"/>
      <w:pPr>
        <w:ind w:left="1287" w:hanging="720"/>
      </w:pPr>
      <w:rPr>
        <w:rFonts w:hint="default"/>
        <w:b w:val="0"/>
        <w:bCs/>
        <w:i w:val="0"/>
        <w:iCs w:val="0"/>
      </w:rPr>
    </w:lvl>
    <w:lvl w:ilvl="3">
      <w:start w:val="1"/>
      <w:numFmt w:val="decimal"/>
      <w:isLgl/>
      <w:lvlText w:val="%1.%2.%3.%4."/>
      <w:lvlJc w:val="left"/>
      <w:pPr>
        <w:ind w:left="1855" w:hanging="720"/>
      </w:pPr>
      <w:rPr>
        <w:rFonts w:ascii="Times New Roman" w:hAnsi="Times New Roman" w:cs="Times New Roman" w:hint="default"/>
        <w:b w:val="0"/>
        <w:bCs/>
        <w:sz w:val="24"/>
        <w:szCs w:val="24"/>
      </w:rPr>
    </w:lvl>
    <w:lvl w:ilvl="4">
      <w:start w:val="1"/>
      <w:numFmt w:val="decimal"/>
      <w:isLgl/>
      <w:lvlText w:val="%1.%2.%3.%4.%5."/>
      <w:lvlJc w:val="left"/>
      <w:pPr>
        <w:ind w:left="3229" w:hanging="1080"/>
      </w:pPr>
      <w:rPr>
        <w:rFonts w:hint="default"/>
        <w:b/>
      </w:rPr>
    </w:lvl>
    <w:lvl w:ilvl="5">
      <w:start w:val="1"/>
      <w:numFmt w:val="decimal"/>
      <w:isLgl/>
      <w:lvlText w:val="%1.%2.%3.%4.%5.%6."/>
      <w:lvlJc w:val="left"/>
      <w:pPr>
        <w:ind w:left="3589" w:hanging="1080"/>
      </w:pPr>
      <w:rPr>
        <w:rFonts w:hint="default"/>
        <w:b/>
      </w:rPr>
    </w:lvl>
    <w:lvl w:ilvl="6">
      <w:start w:val="1"/>
      <w:numFmt w:val="decimal"/>
      <w:isLgl/>
      <w:lvlText w:val="%1.%2.%3.%4.%5.%6.%7."/>
      <w:lvlJc w:val="left"/>
      <w:pPr>
        <w:ind w:left="4309" w:hanging="1440"/>
      </w:pPr>
      <w:rPr>
        <w:rFonts w:hint="default"/>
        <w:b/>
      </w:rPr>
    </w:lvl>
    <w:lvl w:ilvl="7">
      <w:start w:val="1"/>
      <w:numFmt w:val="decimal"/>
      <w:isLgl/>
      <w:lvlText w:val="%1.%2.%3.%4.%5.%6.%7.%8."/>
      <w:lvlJc w:val="left"/>
      <w:pPr>
        <w:ind w:left="4669" w:hanging="1440"/>
      </w:pPr>
      <w:rPr>
        <w:rFonts w:hint="default"/>
        <w:b/>
      </w:rPr>
    </w:lvl>
    <w:lvl w:ilvl="8">
      <w:start w:val="1"/>
      <w:numFmt w:val="decimal"/>
      <w:isLgl/>
      <w:lvlText w:val="%1.%2.%3.%4.%5.%6.%7.%8.%9."/>
      <w:lvlJc w:val="left"/>
      <w:pPr>
        <w:ind w:left="5389" w:hanging="1800"/>
      </w:pPr>
      <w:rPr>
        <w:rFonts w:hint="default"/>
        <w:b/>
      </w:rPr>
    </w:lvl>
  </w:abstractNum>
  <w:abstractNum w:abstractNumId="6" w15:restartNumberingAfterBreak="0">
    <w:nsid w:val="231B02D1"/>
    <w:multiLevelType w:val="hybridMultilevel"/>
    <w:tmpl w:val="51605DC0"/>
    <w:lvl w:ilvl="0" w:tplc="04270001">
      <w:start w:val="1"/>
      <w:numFmt w:val="bullet"/>
      <w:lvlText w:val=""/>
      <w:lvlJc w:val="left"/>
      <w:pPr>
        <w:ind w:left="960" w:hanging="360"/>
      </w:pPr>
      <w:rPr>
        <w:rFonts w:ascii="Symbol" w:hAnsi="Symbol"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7" w15:restartNumberingAfterBreak="0">
    <w:nsid w:val="24162A62"/>
    <w:multiLevelType w:val="hybridMultilevel"/>
    <w:tmpl w:val="7CE6E2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BF6548"/>
    <w:multiLevelType w:val="multilevel"/>
    <w:tmpl w:val="8384C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E545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217FED"/>
    <w:multiLevelType w:val="hybridMultilevel"/>
    <w:tmpl w:val="0944E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7E3C4E"/>
    <w:multiLevelType w:val="multilevel"/>
    <w:tmpl w:val="7390BCE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6629C3"/>
    <w:multiLevelType w:val="hybridMultilevel"/>
    <w:tmpl w:val="F2949B44"/>
    <w:lvl w:ilvl="0" w:tplc="245C2224">
      <w:start w:val="1"/>
      <w:numFmt w:val="bullet"/>
      <w:lvlText w:val=""/>
      <w:lvlJc w:val="left"/>
      <w:pPr>
        <w:ind w:left="1199" w:hanging="360"/>
      </w:pPr>
      <w:rPr>
        <w:rFonts w:ascii="Symbol" w:hAnsi="Symbol" w:hint="default"/>
        <w:sz w:val="24"/>
        <w:szCs w:val="24"/>
      </w:rPr>
    </w:lvl>
    <w:lvl w:ilvl="1" w:tplc="04270003" w:tentative="1">
      <w:start w:val="1"/>
      <w:numFmt w:val="bullet"/>
      <w:lvlText w:val="o"/>
      <w:lvlJc w:val="left"/>
      <w:pPr>
        <w:ind w:left="1919" w:hanging="360"/>
      </w:pPr>
      <w:rPr>
        <w:rFonts w:ascii="Courier New" w:hAnsi="Courier New" w:cs="Courier New" w:hint="default"/>
      </w:rPr>
    </w:lvl>
    <w:lvl w:ilvl="2" w:tplc="04270005" w:tentative="1">
      <w:start w:val="1"/>
      <w:numFmt w:val="bullet"/>
      <w:lvlText w:val=""/>
      <w:lvlJc w:val="left"/>
      <w:pPr>
        <w:ind w:left="2639" w:hanging="360"/>
      </w:pPr>
      <w:rPr>
        <w:rFonts w:ascii="Wingdings" w:hAnsi="Wingdings" w:hint="default"/>
      </w:rPr>
    </w:lvl>
    <w:lvl w:ilvl="3" w:tplc="04270001" w:tentative="1">
      <w:start w:val="1"/>
      <w:numFmt w:val="bullet"/>
      <w:lvlText w:val=""/>
      <w:lvlJc w:val="left"/>
      <w:pPr>
        <w:ind w:left="3359" w:hanging="360"/>
      </w:pPr>
      <w:rPr>
        <w:rFonts w:ascii="Symbol" w:hAnsi="Symbol" w:hint="default"/>
      </w:rPr>
    </w:lvl>
    <w:lvl w:ilvl="4" w:tplc="04270003" w:tentative="1">
      <w:start w:val="1"/>
      <w:numFmt w:val="bullet"/>
      <w:lvlText w:val="o"/>
      <w:lvlJc w:val="left"/>
      <w:pPr>
        <w:ind w:left="4079" w:hanging="360"/>
      </w:pPr>
      <w:rPr>
        <w:rFonts w:ascii="Courier New" w:hAnsi="Courier New" w:cs="Courier New" w:hint="default"/>
      </w:rPr>
    </w:lvl>
    <w:lvl w:ilvl="5" w:tplc="04270005" w:tentative="1">
      <w:start w:val="1"/>
      <w:numFmt w:val="bullet"/>
      <w:lvlText w:val=""/>
      <w:lvlJc w:val="left"/>
      <w:pPr>
        <w:ind w:left="4799" w:hanging="360"/>
      </w:pPr>
      <w:rPr>
        <w:rFonts w:ascii="Wingdings" w:hAnsi="Wingdings" w:hint="default"/>
      </w:rPr>
    </w:lvl>
    <w:lvl w:ilvl="6" w:tplc="04270001" w:tentative="1">
      <w:start w:val="1"/>
      <w:numFmt w:val="bullet"/>
      <w:lvlText w:val=""/>
      <w:lvlJc w:val="left"/>
      <w:pPr>
        <w:ind w:left="5519" w:hanging="360"/>
      </w:pPr>
      <w:rPr>
        <w:rFonts w:ascii="Symbol" w:hAnsi="Symbol" w:hint="default"/>
      </w:rPr>
    </w:lvl>
    <w:lvl w:ilvl="7" w:tplc="04270003" w:tentative="1">
      <w:start w:val="1"/>
      <w:numFmt w:val="bullet"/>
      <w:lvlText w:val="o"/>
      <w:lvlJc w:val="left"/>
      <w:pPr>
        <w:ind w:left="6239" w:hanging="360"/>
      </w:pPr>
      <w:rPr>
        <w:rFonts w:ascii="Courier New" w:hAnsi="Courier New" w:cs="Courier New" w:hint="default"/>
      </w:rPr>
    </w:lvl>
    <w:lvl w:ilvl="8" w:tplc="04270005" w:tentative="1">
      <w:start w:val="1"/>
      <w:numFmt w:val="bullet"/>
      <w:lvlText w:val=""/>
      <w:lvlJc w:val="left"/>
      <w:pPr>
        <w:ind w:left="6959" w:hanging="360"/>
      </w:pPr>
      <w:rPr>
        <w:rFonts w:ascii="Wingdings" w:hAnsi="Wingdings" w:hint="default"/>
      </w:rPr>
    </w:lvl>
  </w:abstractNum>
  <w:abstractNum w:abstractNumId="14" w15:restartNumberingAfterBreak="0">
    <w:nsid w:val="39C73FA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CB555D"/>
    <w:multiLevelType w:val="hybridMultilevel"/>
    <w:tmpl w:val="15A25D98"/>
    <w:lvl w:ilvl="0" w:tplc="245C2224">
      <w:start w:val="1"/>
      <w:numFmt w:val="bullet"/>
      <w:lvlText w:val=""/>
      <w:lvlJc w:val="left"/>
      <w:pPr>
        <w:ind w:left="1377" w:hanging="360"/>
      </w:pPr>
      <w:rPr>
        <w:rFonts w:ascii="Symbol" w:hAnsi="Symbol" w:hint="default"/>
        <w:sz w:val="24"/>
        <w:szCs w:val="24"/>
      </w:rPr>
    </w:lvl>
    <w:lvl w:ilvl="1" w:tplc="04270003" w:tentative="1">
      <w:start w:val="1"/>
      <w:numFmt w:val="bullet"/>
      <w:lvlText w:val="o"/>
      <w:lvlJc w:val="left"/>
      <w:pPr>
        <w:ind w:left="1618" w:hanging="360"/>
      </w:pPr>
      <w:rPr>
        <w:rFonts w:ascii="Courier New" w:hAnsi="Courier New" w:cs="Courier New" w:hint="default"/>
      </w:rPr>
    </w:lvl>
    <w:lvl w:ilvl="2" w:tplc="04270005" w:tentative="1">
      <w:start w:val="1"/>
      <w:numFmt w:val="bullet"/>
      <w:lvlText w:val=""/>
      <w:lvlJc w:val="left"/>
      <w:pPr>
        <w:ind w:left="2338" w:hanging="360"/>
      </w:pPr>
      <w:rPr>
        <w:rFonts w:ascii="Wingdings" w:hAnsi="Wingdings" w:hint="default"/>
      </w:rPr>
    </w:lvl>
    <w:lvl w:ilvl="3" w:tplc="04270001" w:tentative="1">
      <w:start w:val="1"/>
      <w:numFmt w:val="bullet"/>
      <w:lvlText w:val=""/>
      <w:lvlJc w:val="left"/>
      <w:pPr>
        <w:ind w:left="3058" w:hanging="360"/>
      </w:pPr>
      <w:rPr>
        <w:rFonts w:ascii="Symbol" w:hAnsi="Symbol" w:hint="default"/>
      </w:rPr>
    </w:lvl>
    <w:lvl w:ilvl="4" w:tplc="04270003" w:tentative="1">
      <w:start w:val="1"/>
      <w:numFmt w:val="bullet"/>
      <w:lvlText w:val="o"/>
      <w:lvlJc w:val="left"/>
      <w:pPr>
        <w:ind w:left="3778" w:hanging="360"/>
      </w:pPr>
      <w:rPr>
        <w:rFonts w:ascii="Courier New" w:hAnsi="Courier New" w:cs="Courier New" w:hint="default"/>
      </w:rPr>
    </w:lvl>
    <w:lvl w:ilvl="5" w:tplc="04270005" w:tentative="1">
      <w:start w:val="1"/>
      <w:numFmt w:val="bullet"/>
      <w:lvlText w:val=""/>
      <w:lvlJc w:val="left"/>
      <w:pPr>
        <w:ind w:left="4498" w:hanging="360"/>
      </w:pPr>
      <w:rPr>
        <w:rFonts w:ascii="Wingdings" w:hAnsi="Wingdings" w:hint="default"/>
      </w:rPr>
    </w:lvl>
    <w:lvl w:ilvl="6" w:tplc="04270001" w:tentative="1">
      <w:start w:val="1"/>
      <w:numFmt w:val="bullet"/>
      <w:lvlText w:val=""/>
      <w:lvlJc w:val="left"/>
      <w:pPr>
        <w:ind w:left="5218" w:hanging="360"/>
      </w:pPr>
      <w:rPr>
        <w:rFonts w:ascii="Symbol" w:hAnsi="Symbol" w:hint="default"/>
      </w:rPr>
    </w:lvl>
    <w:lvl w:ilvl="7" w:tplc="04270003" w:tentative="1">
      <w:start w:val="1"/>
      <w:numFmt w:val="bullet"/>
      <w:lvlText w:val="o"/>
      <w:lvlJc w:val="left"/>
      <w:pPr>
        <w:ind w:left="5938" w:hanging="360"/>
      </w:pPr>
      <w:rPr>
        <w:rFonts w:ascii="Courier New" w:hAnsi="Courier New" w:cs="Courier New" w:hint="default"/>
      </w:rPr>
    </w:lvl>
    <w:lvl w:ilvl="8" w:tplc="04270005" w:tentative="1">
      <w:start w:val="1"/>
      <w:numFmt w:val="bullet"/>
      <w:lvlText w:val=""/>
      <w:lvlJc w:val="left"/>
      <w:pPr>
        <w:ind w:left="6658" w:hanging="360"/>
      </w:pPr>
      <w:rPr>
        <w:rFonts w:ascii="Wingdings" w:hAnsi="Wingdings" w:hint="default"/>
      </w:rPr>
    </w:lvl>
  </w:abstractNum>
  <w:abstractNum w:abstractNumId="16" w15:restartNumberingAfterBreak="0">
    <w:nsid w:val="3C6228C2"/>
    <w:multiLevelType w:val="multilevel"/>
    <w:tmpl w:val="7854B20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313937"/>
    <w:multiLevelType w:val="multilevel"/>
    <w:tmpl w:val="832A6FC2"/>
    <w:lvl w:ilvl="0">
      <w:start w:val="1"/>
      <w:numFmt w:val="decimal"/>
      <w:lvlText w:val="%1."/>
      <w:lvlJc w:val="left"/>
      <w:pPr>
        <w:ind w:left="720" w:hanging="360"/>
      </w:pPr>
      <w:rPr>
        <w:rFonts w:hint="default"/>
        <w:b/>
        <w:color w:val="auto"/>
      </w:rPr>
    </w:lvl>
    <w:lvl w:ilvl="1">
      <w:start w:val="1"/>
      <w:numFmt w:val="decimal"/>
      <w:isLgl/>
      <w:lvlText w:val="%1.%2."/>
      <w:lvlJc w:val="left"/>
      <w:pPr>
        <w:ind w:left="644" w:hanging="360"/>
      </w:pPr>
      <w:rPr>
        <w:rFonts w:hint="default"/>
        <w:b w:val="0"/>
        <w:i w:val="0"/>
        <w:sz w:val="22"/>
        <w:szCs w:val="22"/>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910EA4"/>
    <w:multiLevelType w:val="hybridMultilevel"/>
    <w:tmpl w:val="96F4920A"/>
    <w:lvl w:ilvl="0" w:tplc="245C2224">
      <w:start w:val="1"/>
      <w:numFmt w:val="bullet"/>
      <w:lvlText w:val=""/>
      <w:lvlJc w:val="left"/>
      <w:pPr>
        <w:ind w:left="1439" w:hanging="360"/>
      </w:pPr>
      <w:rPr>
        <w:rFonts w:ascii="Symbol" w:hAnsi="Symbol" w:hint="default"/>
        <w:sz w:val="24"/>
        <w:szCs w:val="24"/>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19"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AB7B81"/>
    <w:multiLevelType w:val="hybridMultilevel"/>
    <w:tmpl w:val="C5B2E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1CF16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295E6A"/>
    <w:multiLevelType w:val="hybridMultilevel"/>
    <w:tmpl w:val="8E6088C6"/>
    <w:lvl w:ilvl="0" w:tplc="245C2224">
      <w:start w:val="1"/>
      <w:numFmt w:val="bullet"/>
      <w:lvlText w:val=""/>
      <w:lvlJc w:val="left"/>
      <w:pPr>
        <w:ind w:left="1199"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2D1AB7"/>
    <w:multiLevelType w:val="hybridMultilevel"/>
    <w:tmpl w:val="0B8C7EE4"/>
    <w:lvl w:ilvl="0" w:tplc="245C2224">
      <w:start w:val="1"/>
      <w:numFmt w:val="bullet"/>
      <w:lvlText w:val=""/>
      <w:lvlJc w:val="left"/>
      <w:pPr>
        <w:ind w:left="360" w:hanging="360"/>
      </w:pPr>
      <w:rPr>
        <w:rFonts w:ascii="Symbol" w:hAnsi="Symbol" w:hint="default"/>
        <w:sz w:val="24"/>
        <w:szCs w:val="24"/>
      </w:rPr>
    </w:lvl>
    <w:lvl w:ilvl="1" w:tplc="04270003" w:tentative="1">
      <w:start w:val="1"/>
      <w:numFmt w:val="bullet"/>
      <w:lvlText w:val="o"/>
      <w:lvlJc w:val="left"/>
      <w:pPr>
        <w:ind w:left="601" w:hanging="360"/>
      </w:pPr>
      <w:rPr>
        <w:rFonts w:ascii="Courier New" w:hAnsi="Courier New" w:cs="Courier New" w:hint="default"/>
      </w:rPr>
    </w:lvl>
    <w:lvl w:ilvl="2" w:tplc="04270005" w:tentative="1">
      <w:start w:val="1"/>
      <w:numFmt w:val="bullet"/>
      <w:lvlText w:val=""/>
      <w:lvlJc w:val="left"/>
      <w:pPr>
        <w:ind w:left="1321" w:hanging="360"/>
      </w:pPr>
      <w:rPr>
        <w:rFonts w:ascii="Wingdings" w:hAnsi="Wingdings" w:hint="default"/>
      </w:rPr>
    </w:lvl>
    <w:lvl w:ilvl="3" w:tplc="04270001" w:tentative="1">
      <w:start w:val="1"/>
      <w:numFmt w:val="bullet"/>
      <w:lvlText w:val=""/>
      <w:lvlJc w:val="left"/>
      <w:pPr>
        <w:ind w:left="2041" w:hanging="360"/>
      </w:pPr>
      <w:rPr>
        <w:rFonts w:ascii="Symbol" w:hAnsi="Symbol" w:hint="default"/>
      </w:rPr>
    </w:lvl>
    <w:lvl w:ilvl="4" w:tplc="04270003" w:tentative="1">
      <w:start w:val="1"/>
      <w:numFmt w:val="bullet"/>
      <w:lvlText w:val="o"/>
      <w:lvlJc w:val="left"/>
      <w:pPr>
        <w:ind w:left="2761" w:hanging="360"/>
      </w:pPr>
      <w:rPr>
        <w:rFonts w:ascii="Courier New" w:hAnsi="Courier New" w:cs="Courier New" w:hint="default"/>
      </w:rPr>
    </w:lvl>
    <w:lvl w:ilvl="5" w:tplc="04270005" w:tentative="1">
      <w:start w:val="1"/>
      <w:numFmt w:val="bullet"/>
      <w:lvlText w:val=""/>
      <w:lvlJc w:val="left"/>
      <w:pPr>
        <w:ind w:left="3481" w:hanging="360"/>
      </w:pPr>
      <w:rPr>
        <w:rFonts w:ascii="Wingdings" w:hAnsi="Wingdings" w:hint="default"/>
      </w:rPr>
    </w:lvl>
    <w:lvl w:ilvl="6" w:tplc="04270001" w:tentative="1">
      <w:start w:val="1"/>
      <w:numFmt w:val="bullet"/>
      <w:lvlText w:val=""/>
      <w:lvlJc w:val="left"/>
      <w:pPr>
        <w:ind w:left="4201" w:hanging="360"/>
      </w:pPr>
      <w:rPr>
        <w:rFonts w:ascii="Symbol" w:hAnsi="Symbol" w:hint="default"/>
      </w:rPr>
    </w:lvl>
    <w:lvl w:ilvl="7" w:tplc="04270003" w:tentative="1">
      <w:start w:val="1"/>
      <w:numFmt w:val="bullet"/>
      <w:lvlText w:val="o"/>
      <w:lvlJc w:val="left"/>
      <w:pPr>
        <w:ind w:left="4921" w:hanging="360"/>
      </w:pPr>
      <w:rPr>
        <w:rFonts w:ascii="Courier New" w:hAnsi="Courier New" w:cs="Courier New" w:hint="default"/>
      </w:rPr>
    </w:lvl>
    <w:lvl w:ilvl="8" w:tplc="04270005" w:tentative="1">
      <w:start w:val="1"/>
      <w:numFmt w:val="bullet"/>
      <w:lvlText w:val=""/>
      <w:lvlJc w:val="left"/>
      <w:pPr>
        <w:ind w:left="5641" w:hanging="360"/>
      </w:pPr>
      <w:rPr>
        <w:rFonts w:ascii="Wingdings" w:hAnsi="Wingdings" w:hint="default"/>
      </w:rPr>
    </w:lvl>
  </w:abstractNum>
  <w:abstractNum w:abstractNumId="25" w15:restartNumberingAfterBreak="0">
    <w:nsid w:val="6D1510AB"/>
    <w:multiLevelType w:val="multilevel"/>
    <w:tmpl w:val="1BE8D396"/>
    <w:lvl w:ilvl="0">
      <w:start w:val="2"/>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Restart w:val="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F37188"/>
    <w:multiLevelType w:val="multilevel"/>
    <w:tmpl w:val="55B4712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3D20411"/>
    <w:multiLevelType w:val="hybridMultilevel"/>
    <w:tmpl w:val="6246B0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7A45B0"/>
    <w:multiLevelType w:val="multilevel"/>
    <w:tmpl w:val="296A41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712695"/>
    <w:multiLevelType w:val="hybridMultilevel"/>
    <w:tmpl w:val="AFF0027A"/>
    <w:lvl w:ilvl="0" w:tplc="04270001">
      <w:start w:val="1"/>
      <w:numFmt w:val="bullet"/>
      <w:lvlText w:val=""/>
      <w:lvlJc w:val="left"/>
      <w:pPr>
        <w:ind w:left="898" w:hanging="360"/>
      </w:pPr>
      <w:rPr>
        <w:rFonts w:ascii="Symbol" w:hAnsi="Symbol" w:hint="default"/>
      </w:rPr>
    </w:lvl>
    <w:lvl w:ilvl="1" w:tplc="04270003" w:tentative="1">
      <w:start w:val="1"/>
      <w:numFmt w:val="bullet"/>
      <w:lvlText w:val="o"/>
      <w:lvlJc w:val="left"/>
      <w:pPr>
        <w:ind w:left="1618" w:hanging="360"/>
      </w:pPr>
      <w:rPr>
        <w:rFonts w:ascii="Courier New" w:hAnsi="Courier New" w:cs="Courier New" w:hint="default"/>
      </w:rPr>
    </w:lvl>
    <w:lvl w:ilvl="2" w:tplc="04270005" w:tentative="1">
      <w:start w:val="1"/>
      <w:numFmt w:val="bullet"/>
      <w:lvlText w:val=""/>
      <w:lvlJc w:val="left"/>
      <w:pPr>
        <w:ind w:left="2338" w:hanging="360"/>
      </w:pPr>
      <w:rPr>
        <w:rFonts w:ascii="Wingdings" w:hAnsi="Wingdings" w:hint="default"/>
      </w:rPr>
    </w:lvl>
    <w:lvl w:ilvl="3" w:tplc="04270001" w:tentative="1">
      <w:start w:val="1"/>
      <w:numFmt w:val="bullet"/>
      <w:lvlText w:val=""/>
      <w:lvlJc w:val="left"/>
      <w:pPr>
        <w:ind w:left="3058" w:hanging="360"/>
      </w:pPr>
      <w:rPr>
        <w:rFonts w:ascii="Symbol" w:hAnsi="Symbol" w:hint="default"/>
      </w:rPr>
    </w:lvl>
    <w:lvl w:ilvl="4" w:tplc="04270003" w:tentative="1">
      <w:start w:val="1"/>
      <w:numFmt w:val="bullet"/>
      <w:lvlText w:val="o"/>
      <w:lvlJc w:val="left"/>
      <w:pPr>
        <w:ind w:left="3778" w:hanging="360"/>
      </w:pPr>
      <w:rPr>
        <w:rFonts w:ascii="Courier New" w:hAnsi="Courier New" w:cs="Courier New" w:hint="default"/>
      </w:rPr>
    </w:lvl>
    <w:lvl w:ilvl="5" w:tplc="04270005" w:tentative="1">
      <w:start w:val="1"/>
      <w:numFmt w:val="bullet"/>
      <w:lvlText w:val=""/>
      <w:lvlJc w:val="left"/>
      <w:pPr>
        <w:ind w:left="4498" w:hanging="360"/>
      </w:pPr>
      <w:rPr>
        <w:rFonts w:ascii="Wingdings" w:hAnsi="Wingdings" w:hint="default"/>
      </w:rPr>
    </w:lvl>
    <w:lvl w:ilvl="6" w:tplc="04270001" w:tentative="1">
      <w:start w:val="1"/>
      <w:numFmt w:val="bullet"/>
      <w:lvlText w:val=""/>
      <w:lvlJc w:val="left"/>
      <w:pPr>
        <w:ind w:left="5218" w:hanging="360"/>
      </w:pPr>
      <w:rPr>
        <w:rFonts w:ascii="Symbol" w:hAnsi="Symbol" w:hint="default"/>
      </w:rPr>
    </w:lvl>
    <w:lvl w:ilvl="7" w:tplc="04270003" w:tentative="1">
      <w:start w:val="1"/>
      <w:numFmt w:val="bullet"/>
      <w:lvlText w:val="o"/>
      <w:lvlJc w:val="left"/>
      <w:pPr>
        <w:ind w:left="5938" w:hanging="360"/>
      </w:pPr>
      <w:rPr>
        <w:rFonts w:ascii="Courier New" w:hAnsi="Courier New" w:cs="Courier New" w:hint="default"/>
      </w:rPr>
    </w:lvl>
    <w:lvl w:ilvl="8" w:tplc="04270005" w:tentative="1">
      <w:start w:val="1"/>
      <w:numFmt w:val="bullet"/>
      <w:lvlText w:val=""/>
      <w:lvlJc w:val="left"/>
      <w:pPr>
        <w:ind w:left="6658" w:hanging="360"/>
      </w:pPr>
      <w:rPr>
        <w:rFonts w:ascii="Wingdings" w:hAnsi="Wingdings" w:hint="default"/>
      </w:rPr>
    </w:lvl>
  </w:abstractNum>
  <w:abstractNum w:abstractNumId="32"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CA48DE"/>
    <w:multiLevelType w:val="hybridMultilevel"/>
    <w:tmpl w:val="6ABE6A98"/>
    <w:lvl w:ilvl="0" w:tplc="245C2224">
      <w:start w:val="1"/>
      <w:numFmt w:val="bullet"/>
      <w:lvlText w:val=""/>
      <w:lvlJc w:val="left"/>
      <w:pPr>
        <w:ind w:left="1199"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C353F4D"/>
    <w:multiLevelType w:val="hybridMultilevel"/>
    <w:tmpl w:val="5BB0C5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DD6BDE"/>
    <w:multiLevelType w:val="hybridMultilevel"/>
    <w:tmpl w:val="EDD469BE"/>
    <w:lvl w:ilvl="0" w:tplc="245C2224">
      <w:start w:val="1"/>
      <w:numFmt w:val="bullet"/>
      <w:lvlText w:val=""/>
      <w:lvlJc w:val="left"/>
      <w:pPr>
        <w:ind w:left="1199"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4820040">
    <w:abstractNumId w:val="28"/>
  </w:num>
  <w:num w:numId="2" w16cid:durableId="925504916">
    <w:abstractNumId w:val="19"/>
  </w:num>
  <w:num w:numId="3" w16cid:durableId="910651545">
    <w:abstractNumId w:val="23"/>
  </w:num>
  <w:num w:numId="4" w16cid:durableId="1350713860">
    <w:abstractNumId w:val="27"/>
  </w:num>
  <w:num w:numId="5" w16cid:durableId="141434702">
    <w:abstractNumId w:val="1"/>
  </w:num>
  <w:num w:numId="6" w16cid:durableId="2015377169">
    <w:abstractNumId w:val="32"/>
  </w:num>
  <w:num w:numId="7" w16cid:durableId="614407594">
    <w:abstractNumId w:val="9"/>
  </w:num>
  <w:num w:numId="8" w16cid:durableId="1278442723">
    <w:abstractNumId w:val="5"/>
  </w:num>
  <w:num w:numId="9" w16cid:durableId="1125779339">
    <w:abstractNumId w:val="17"/>
  </w:num>
  <w:num w:numId="10" w16cid:durableId="1408501342">
    <w:abstractNumId w:val="20"/>
  </w:num>
  <w:num w:numId="11" w16cid:durableId="683171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5652261">
    <w:abstractNumId w:val="29"/>
  </w:num>
  <w:num w:numId="13" w16cid:durableId="842814729">
    <w:abstractNumId w:val="2"/>
  </w:num>
  <w:num w:numId="14" w16cid:durableId="597443375">
    <w:abstractNumId w:val="7"/>
  </w:num>
  <w:num w:numId="15" w16cid:durableId="1492671971">
    <w:abstractNumId w:val="34"/>
  </w:num>
  <w:num w:numId="16" w16cid:durableId="1712337625">
    <w:abstractNumId w:val="4"/>
  </w:num>
  <w:num w:numId="17" w16cid:durableId="1086266312">
    <w:abstractNumId w:val="31"/>
  </w:num>
  <w:num w:numId="18" w16cid:durableId="1962178915">
    <w:abstractNumId w:val="11"/>
  </w:num>
  <w:num w:numId="19" w16cid:durableId="639768734">
    <w:abstractNumId w:val="6"/>
  </w:num>
  <w:num w:numId="20" w16cid:durableId="1702974544">
    <w:abstractNumId w:val="13"/>
  </w:num>
  <w:num w:numId="21" w16cid:durableId="83647816">
    <w:abstractNumId w:val="18"/>
  </w:num>
  <w:num w:numId="22" w16cid:durableId="1324504717">
    <w:abstractNumId w:val="8"/>
  </w:num>
  <w:num w:numId="23" w16cid:durableId="1129082069">
    <w:abstractNumId w:val="35"/>
  </w:num>
  <w:num w:numId="24" w16cid:durableId="1338272142">
    <w:abstractNumId w:val="15"/>
  </w:num>
  <w:num w:numId="25" w16cid:durableId="715010336">
    <w:abstractNumId w:val="22"/>
  </w:num>
  <w:num w:numId="26" w16cid:durableId="1646158867">
    <w:abstractNumId w:val="24"/>
  </w:num>
  <w:num w:numId="27" w16cid:durableId="1017806749">
    <w:abstractNumId w:val="33"/>
  </w:num>
  <w:num w:numId="28" w16cid:durableId="1028603274">
    <w:abstractNumId w:val="3"/>
  </w:num>
  <w:num w:numId="29" w16cid:durableId="71315448">
    <w:abstractNumId w:val="30"/>
  </w:num>
  <w:num w:numId="30" w16cid:durableId="889196313">
    <w:abstractNumId w:val="26"/>
  </w:num>
  <w:num w:numId="31" w16cid:durableId="1617174549">
    <w:abstractNumId w:val="25"/>
  </w:num>
  <w:num w:numId="32" w16cid:durableId="1952780902">
    <w:abstractNumId w:val="14"/>
  </w:num>
  <w:num w:numId="33" w16cid:durableId="1390768765">
    <w:abstractNumId w:val="10"/>
  </w:num>
  <w:num w:numId="34" w16cid:durableId="700059461">
    <w:abstractNumId w:val="21"/>
  </w:num>
  <w:num w:numId="35" w16cid:durableId="129372555">
    <w:abstractNumId w:val="12"/>
  </w:num>
  <w:num w:numId="36" w16cid:durableId="78005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285"/>
    <w:rsid w:val="000028A0"/>
    <w:rsid w:val="00010285"/>
    <w:rsid w:val="00011E8B"/>
    <w:rsid w:val="00012533"/>
    <w:rsid w:val="00020CB6"/>
    <w:rsid w:val="00026191"/>
    <w:rsid w:val="00027751"/>
    <w:rsid w:val="00031AEC"/>
    <w:rsid w:val="0003313F"/>
    <w:rsid w:val="00034AD1"/>
    <w:rsid w:val="00034DFC"/>
    <w:rsid w:val="0004380B"/>
    <w:rsid w:val="000466BF"/>
    <w:rsid w:val="00047D7F"/>
    <w:rsid w:val="00050A14"/>
    <w:rsid w:val="000543E3"/>
    <w:rsid w:val="00074AE3"/>
    <w:rsid w:val="000771B2"/>
    <w:rsid w:val="0008011D"/>
    <w:rsid w:val="00082FF5"/>
    <w:rsid w:val="00083194"/>
    <w:rsid w:val="00085B18"/>
    <w:rsid w:val="00086E13"/>
    <w:rsid w:val="00094135"/>
    <w:rsid w:val="000948A1"/>
    <w:rsid w:val="000957F1"/>
    <w:rsid w:val="000A00FC"/>
    <w:rsid w:val="000A5B4D"/>
    <w:rsid w:val="000A7249"/>
    <w:rsid w:val="000B5263"/>
    <w:rsid w:val="000B6A9D"/>
    <w:rsid w:val="000B7102"/>
    <w:rsid w:val="000C24B2"/>
    <w:rsid w:val="000C29A0"/>
    <w:rsid w:val="000C41AC"/>
    <w:rsid w:val="000D5588"/>
    <w:rsid w:val="000D5D8D"/>
    <w:rsid w:val="000E1189"/>
    <w:rsid w:val="000E224C"/>
    <w:rsid w:val="000E39D0"/>
    <w:rsid w:val="000E5B1C"/>
    <w:rsid w:val="000F1DB6"/>
    <w:rsid w:val="000F4907"/>
    <w:rsid w:val="000F5711"/>
    <w:rsid w:val="000F6511"/>
    <w:rsid w:val="00107E27"/>
    <w:rsid w:val="00110CCB"/>
    <w:rsid w:val="00115E96"/>
    <w:rsid w:val="0012301A"/>
    <w:rsid w:val="001271C4"/>
    <w:rsid w:val="00132400"/>
    <w:rsid w:val="0013648D"/>
    <w:rsid w:val="0013656E"/>
    <w:rsid w:val="001376E6"/>
    <w:rsid w:val="0014684C"/>
    <w:rsid w:val="00146D21"/>
    <w:rsid w:val="00150302"/>
    <w:rsid w:val="00151233"/>
    <w:rsid w:val="0015165C"/>
    <w:rsid w:val="00152CA2"/>
    <w:rsid w:val="001562F0"/>
    <w:rsid w:val="001633F5"/>
    <w:rsid w:val="0016409E"/>
    <w:rsid w:val="0016744B"/>
    <w:rsid w:val="001725FF"/>
    <w:rsid w:val="001766BC"/>
    <w:rsid w:val="0019349A"/>
    <w:rsid w:val="00193C31"/>
    <w:rsid w:val="001940D3"/>
    <w:rsid w:val="00194D5E"/>
    <w:rsid w:val="001A3260"/>
    <w:rsid w:val="001A7BF0"/>
    <w:rsid w:val="001B18E5"/>
    <w:rsid w:val="001B2B60"/>
    <w:rsid w:val="001B4624"/>
    <w:rsid w:val="001C3CD7"/>
    <w:rsid w:val="001C45BB"/>
    <w:rsid w:val="001D31C9"/>
    <w:rsid w:val="001D4792"/>
    <w:rsid w:val="001D5F40"/>
    <w:rsid w:val="001D7D4A"/>
    <w:rsid w:val="001E05FB"/>
    <w:rsid w:val="001E2B8D"/>
    <w:rsid w:val="00200A98"/>
    <w:rsid w:val="00202C04"/>
    <w:rsid w:val="00204DB7"/>
    <w:rsid w:val="00205822"/>
    <w:rsid w:val="00205F35"/>
    <w:rsid w:val="002102AD"/>
    <w:rsid w:val="00227672"/>
    <w:rsid w:val="00232369"/>
    <w:rsid w:val="00233FF5"/>
    <w:rsid w:val="002369C6"/>
    <w:rsid w:val="00245F88"/>
    <w:rsid w:val="0025076B"/>
    <w:rsid w:val="002528DB"/>
    <w:rsid w:val="002566B7"/>
    <w:rsid w:val="0026400F"/>
    <w:rsid w:val="00265030"/>
    <w:rsid w:val="00265EC4"/>
    <w:rsid w:val="002722F2"/>
    <w:rsid w:val="00273AB4"/>
    <w:rsid w:val="00282CD1"/>
    <w:rsid w:val="002836FE"/>
    <w:rsid w:val="00291AAC"/>
    <w:rsid w:val="00291DDA"/>
    <w:rsid w:val="00293A51"/>
    <w:rsid w:val="00295772"/>
    <w:rsid w:val="002A0C50"/>
    <w:rsid w:val="002A215B"/>
    <w:rsid w:val="002A33D5"/>
    <w:rsid w:val="002A60BD"/>
    <w:rsid w:val="002A676B"/>
    <w:rsid w:val="002A6C8D"/>
    <w:rsid w:val="002B0827"/>
    <w:rsid w:val="002C1403"/>
    <w:rsid w:val="002C1672"/>
    <w:rsid w:val="002C72B9"/>
    <w:rsid w:val="002D4C57"/>
    <w:rsid w:val="002D694C"/>
    <w:rsid w:val="002E0940"/>
    <w:rsid w:val="002F04F9"/>
    <w:rsid w:val="002F30EC"/>
    <w:rsid w:val="002F4D7E"/>
    <w:rsid w:val="002F58A5"/>
    <w:rsid w:val="002F65FC"/>
    <w:rsid w:val="002F79F5"/>
    <w:rsid w:val="003004B3"/>
    <w:rsid w:val="003139CE"/>
    <w:rsid w:val="00315165"/>
    <w:rsid w:val="00320B96"/>
    <w:rsid w:val="0032145C"/>
    <w:rsid w:val="00327BC6"/>
    <w:rsid w:val="003343AE"/>
    <w:rsid w:val="0033443A"/>
    <w:rsid w:val="00335883"/>
    <w:rsid w:val="00335D29"/>
    <w:rsid w:val="00337A96"/>
    <w:rsid w:val="00340D57"/>
    <w:rsid w:val="003431BD"/>
    <w:rsid w:val="0034389B"/>
    <w:rsid w:val="00345468"/>
    <w:rsid w:val="00346096"/>
    <w:rsid w:val="00346944"/>
    <w:rsid w:val="00346B2C"/>
    <w:rsid w:val="00346B42"/>
    <w:rsid w:val="0035225B"/>
    <w:rsid w:val="00352E26"/>
    <w:rsid w:val="0036353D"/>
    <w:rsid w:val="00363C92"/>
    <w:rsid w:val="00365270"/>
    <w:rsid w:val="003670F6"/>
    <w:rsid w:val="00367A26"/>
    <w:rsid w:val="0037261E"/>
    <w:rsid w:val="00372E1A"/>
    <w:rsid w:val="00384823"/>
    <w:rsid w:val="00385C6A"/>
    <w:rsid w:val="00387220"/>
    <w:rsid w:val="00391772"/>
    <w:rsid w:val="003922F5"/>
    <w:rsid w:val="00392FE9"/>
    <w:rsid w:val="0039376C"/>
    <w:rsid w:val="00393C9F"/>
    <w:rsid w:val="00394E02"/>
    <w:rsid w:val="003972F1"/>
    <w:rsid w:val="003977F5"/>
    <w:rsid w:val="003A205A"/>
    <w:rsid w:val="003A3326"/>
    <w:rsid w:val="003A6BA0"/>
    <w:rsid w:val="003B03DB"/>
    <w:rsid w:val="003B0564"/>
    <w:rsid w:val="003B22D9"/>
    <w:rsid w:val="003B3009"/>
    <w:rsid w:val="003B4AB5"/>
    <w:rsid w:val="003B4EC1"/>
    <w:rsid w:val="003B5415"/>
    <w:rsid w:val="003B5C6D"/>
    <w:rsid w:val="003C2D1D"/>
    <w:rsid w:val="003C6EED"/>
    <w:rsid w:val="003D176F"/>
    <w:rsid w:val="003D200F"/>
    <w:rsid w:val="003D4EB3"/>
    <w:rsid w:val="003D52D4"/>
    <w:rsid w:val="003D55A5"/>
    <w:rsid w:val="003E13EB"/>
    <w:rsid w:val="003E43DD"/>
    <w:rsid w:val="003E51FF"/>
    <w:rsid w:val="003F03DC"/>
    <w:rsid w:val="003F2274"/>
    <w:rsid w:val="003F3FBD"/>
    <w:rsid w:val="003F531A"/>
    <w:rsid w:val="003F5DA8"/>
    <w:rsid w:val="003F61A6"/>
    <w:rsid w:val="003F7F4F"/>
    <w:rsid w:val="00405E77"/>
    <w:rsid w:val="0041442A"/>
    <w:rsid w:val="004229FB"/>
    <w:rsid w:val="00423517"/>
    <w:rsid w:val="004251CB"/>
    <w:rsid w:val="0043599E"/>
    <w:rsid w:val="004366DB"/>
    <w:rsid w:val="00436ABF"/>
    <w:rsid w:val="00440299"/>
    <w:rsid w:val="00440773"/>
    <w:rsid w:val="00440D58"/>
    <w:rsid w:val="00447707"/>
    <w:rsid w:val="00452AB8"/>
    <w:rsid w:val="00453D20"/>
    <w:rsid w:val="00460F70"/>
    <w:rsid w:val="00461830"/>
    <w:rsid w:val="004634A8"/>
    <w:rsid w:val="00463895"/>
    <w:rsid w:val="0046686C"/>
    <w:rsid w:val="004742EC"/>
    <w:rsid w:val="00476065"/>
    <w:rsid w:val="004764D6"/>
    <w:rsid w:val="00480C7E"/>
    <w:rsid w:val="004877C3"/>
    <w:rsid w:val="00493146"/>
    <w:rsid w:val="004952A7"/>
    <w:rsid w:val="004A262F"/>
    <w:rsid w:val="004B06A9"/>
    <w:rsid w:val="004B6E9C"/>
    <w:rsid w:val="004C06A1"/>
    <w:rsid w:val="004D2B81"/>
    <w:rsid w:val="004D2C5A"/>
    <w:rsid w:val="004D3A0F"/>
    <w:rsid w:val="004D6FF2"/>
    <w:rsid w:val="004E0282"/>
    <w:rsid w:val="004E2CB6"/>
    <w:rsid w:val="004E424B"/>
    <w:rsid w:val="004E62D7"/>
    <w:rsid w:val="004E68E8"/>
    <w:rsid w:val="004F2311"/>
    <w:rsid w:val="004F41FA"/>
    <w:rsid w:val="00500F46"/>
    <w:rsid w:val="0050650D"/>
    <w:rsid w:val="005112B0"/>
    <w:rsid w:val="00514334"/>
    <w:rsid w:val="00515AAC"/>
    <w:rsid w:val="00516061"/>
    <w:rsid w:val="00517C85"/>
    <w:rsid w:val="005222B7"/>
    <w:rsid w:val="00522A41"/>
    <w:rsid w:val="00522BB7"/>
    <w:rsid w:val="00526E12"/>
    <w:rsid w:val="00527F0E"/>
    <w:rsid w:val="00530A0F"/>
    <w:rsid w:val="00533F71"/>
    <w:rsid w:val="00534EF1"/>
    <w:rsid w:val="0053600D"/>
    <w:rsid w:val="00542692"/>
    <w:rsid w:val="0054552B"/>
    <w:rsid w:val="00545C03"/>
    <w:rsid w:val="0054762E"/>
    <w:rsid w:val="005545A6"/>
    <w:rsid w:val="00555413"/>
    <w:rsid w:val="005621D9"/>
    <w:rsid w:val="005649D3"/>
    <w:rsid w:val="00565E0C"/>
    <w:rsid w:val="005663A7"/>
    <w:rsid w:val="0056744B"/>
    <w:rsid w:val="00570CC3"/>
    <w:rsid w:val="0057565E"/>
    <w:rsid w:val="00581756"/>
    <w:rsid w:val="005822AF"/>
    <w:rsid w:val="00584B80"/>
    <w:rsid w:val="005862C8"/>
    <w:rsid w:val="00594D16"/>
    <w:rsid w:val="00595F70"/>
    <w:rsid w:val="005A064C"/>
    <w:rsid w:val="005A0F32"/>
    <w:rsid w:val="005A1251"/>
    <w:rsid w:val="005A23E4"/>
    <w:rsid w:val="005A2578"/>
    <w:rsid w:val="005A7973"/>
    <w:rsid w:val="005B1A71"/>
    <w:rsid w:val="005B27EB"/>
    <w:rsid w:val="005C04F8"/>
    <w:rsid w:val="005C18C4"/>
    <w:rsid w:val="005C2049"/>
    <w:rsid w:val="005C6C58"/>
    <w:rsid w:val="005D4E25"/>
    <w:rsid w:val="005D631A"/>
    <w:rsid w:val="005D6F1F"/>
    <w:rsid w:val="005E322B"/>
    <w:rsid w:val="005E4DE2"/>
    <w:rsid w:val="005E59A1"/>
    <w:rsid w:val="005F194E"/>
    <w:rsid w:val="005F5463"/>
    <w:rsid w:val="005F5795"/>
    <w:rsid w:val="005F6585"/>
    <w:rsid w:val="005F6B5A"/>
    <w:rsid w:val="005F6FF3"/>
    <w:rsid w:val="00600E49"/>
    <w:rsid w:val="006040C3"/>
    <w:rsid w:val="00606B42"/>
    <w:rsid w:val="00615887"/>
    <w:rsid w:val="0061791A"/>
    <w:rsid w:val="00620524"/>
    <w:rsid w:val="00620911"/>
    <w:rsid w:val="006264C3"/>
    <w:rsid w:val="006278CD"/>
    <w:rsid w:val="006345AF"/>
    <w:rsid w:val="00635657"/>
    <w:rsid w:val="00640615"/>
    <w:rsid w:val="006416E0"/>
    <w:rsid w:val="00641F35"/>
    <w:rsid w:val="00643854"/>
    <w:rsid w:val="00651873"/>
    <w:rsid w:val="006525CC"/>
    <w:rsid w:val="00653005"/>
    <w:rsid w:val="0065622C"/>
    <w:rsid w:val="006609F8"/>
    <w:rsid w:val="00663F83"/>
    <w:rsid w:val="006640BC"/>
    <w:rsid w:val="00680EA0"/>
    <w:rsid w:val="00683FAC"/>
    <w:rsid w:val="006843F3"/>
    <w:rsid w:val="00686341"/>
    <w:rsid w:val="00686974"/>
    <w:rsid w:val="006902A7"/>
    <w:rsid w:val="0069136D"/>
    <w:rsid w:val="0069268A"/>
    <w:rsid w:val="006930BC"/>
    <w:rsid w:val="00693459"/>
    <w:rsid w:val="00693D2E"/>
    <w:rsid w:val="00693F2E"/>
    <w:rsid w:val="0069641C"/>
    <w:rsid w:val="00696A4E"/>
    <w:rsid w:val="006A0584"/>
    <w:rsid w:val="006A3084"/>
    <w:rsid w:val="006A40C9"/>
    <w:rsid w:val="006A5DEF"/>
    <w:rsid w:val="006A79C3"/>
    <w:rsid w:val="006B5668"/>
    <w:rsid w:val="006C35E5"/>
    <w:rsid w:val="006C69B4"/>
    <w:rsid w:val="006D2FF2"/>
    <w:rsid w:val="006D46A9"/>
    <w:rsid w:val="006E564B"/>
    <w:rsid w:val="006F3B16"/>
    <w:rsid w:val="007139D6"/>
    <w:rsid w:val="00716421"/>
    <w:rsid w:val="0072566E"/>
    <w:rsid w:val="007423C0"/>
    <w:rsid w:val="00752E5C"/>
    <w:rsid w:val="00753FC5"/>
    <w:rsid w:val="00756EB2"/>
    <w:rsid w:val="007636E8"/>
    <w:rsid w:val="00765DA1"/>
    <w:rsid w:val="00766F6B"/>
    <w:rsid w:val="00770625"/>
    <w:rsid w:val="00770C4E"/>
    <w:rsid w:val="00782723"/>
    <w:rsid w:val="007853B0"/>
    <w:rsid w:val="00790DCB"/>
    <w:rsid w:val="0079418E"/>
    <w:rsid w:val="007A0188"/>
    <w:rsid w:val="007A217F"/>
    <w:rsid w:val="007A42CF"/>
    <w:rsid w:val="007A5584"/>
    <w:rsid w:val="007B4FDF"/>
    <w:rsid w:val="007B5EB3"/>
    <w:rsid w:val="007B66F6"/>
    <w:rsid w:val="007C0027"/>
    <w:rsid w:val="007C0995"/>
    <w:rsid w:val="007C24AA"/>
    <w:rsid w:val="007C635E"/>
    <w:rsid w:val="007D0B89"/>
    <w:rsid w:val="007D1098"/>
    <w:rsid w:val="007D1D09"/>
    <w:rsid w:val="007E2C18"/>
    <w:rsid w:val="007F4420"/>
    <w:rsid w:val="007F6185"/>
    <w:rsid w:val="008002F6"/>
    <w:rsid w:val="008035E8"/>
    <w:rsid w:val="00806038"/>
    <w:rsid w:val="00807326"/>
    <w:rsid w:val="00814AD6"/>
    <w:rsid w:val="00815468"/>
    <w:rsid w:val="008156D0"/>
    <w:rsid w:val="0081719E"/>
    <w:rsid w:val="00825735"/>
    <w:rsid w:val="00827946"/>
    <w:rsid w:val="00835728"/>
    <w:rsid w:val="00835BA1"/>
    <w:rsid w:val="00835EE5"/>
    <w:rsid w:val="0084382C"/>
    <w:rsid w:val="00844086"/>
    <w:rsid w:val="008502DA"/>
    <w:rsid w:val="008504B4"/>
    <w:rsid w:val="00850CFB"/>
    <w:rsid w:val="00856801"/>
    <w:rsid w:val="008605FE"/>
    <w:rsid w:val="008619A3"/>
    <w:rsid w:val="00867969"/>
    <w:rsid w:val="0087202B"/>
    <w:rsid w:val="00876463"/>
    <w:rsid w:val="00876CE1"/>
    <w:rsid w:val="0088534B"/>
    <w:rsid w:val="00893D82"/>
    <w:rsid w:val="008A1EC5"/>
    <w:rsid w:val="008A206D"/>
    <w:rsid w:val="008A2DAD"/>
    <w:rsid w:val="008A30EA"/>
    <w:rsid w:val="008A3157"/>
    <w:rsid w:val="008C10CF"/>
    <w:rsid w:val="008C3DF6"/>
    <w:rsid w:val="008D7164"/>
    <w:rsid w:val="008E0A3D"/>
    <w:rsid w:val="008E28F5"/>
    <w:rsid w:val="008E397B"/>
    <w:rsid w:val="008E4684"/>
    <w:rsid w:val="008E6B37"/>
    <w:rsid w:val="008F1BCC"/>
    <w:rsid w:val="008F5908"/>
    <w:rsid w:val="008F7FB9"/>
    <w:rsid w:val="00900457"/>
    <w:rsid w:val="00904A80"/>
    <w:rsid w:val="0090587F"/>
    <w:rsid w:val="00910BCA"/>
    <w:rsid w:val="00913562"/>
    <w:rsid w:val="00914528"/>
    <w:rsid w:val="00914EE6"/>
    <w:rsid w:val="00917BFB"/>
    <w:rsid w:val="00920B65"/>
    <w:rsid w:val="009277F7"/>
    <w:rsid w:val="009312FE"/>
    <w:rsid w:val="00945048"/>
    <w:rsid w:val="00946A9F"/>
    <w:rsid w:val="00946EE1"/>
    <w:rsid w:val="00951BFD"/>
    <w:rsid w:val="00953B0D"/>
    <w:rsid w:val="009575EA"/>
    <w:rsid w:val="009674EA"/>
    <w:rsid w:val="00967583"/>
    <w:rsid w:val="00970E39"/>
    <w:rsid w:val="00977D5E"/>
    <w:rsid w:val="0098056A"/>
    <w:rsid w:val="009824C0"/>
    <w:rsid w:val="00983AB1"/>
    <w:rsid w:val="00983D09"/>
    <w:rsid w:val="0098755D"/>
    <w:rsid w:val="0099292F"/>
    <w:rsid w:val="00992DCD"/>
    <w:rsid w:val="009935BC"/>
    <w:rsid w:val="009A4489"/>
    <w:rsid w:val="009A53B3"/>
    <w:rsid w:val="009B3B7F"/>
    <w:rsid w:val="009B5C4E"/>
    <w:rsid w:val="009B73E2"/>
    <w:rsid w:val="009B78E7"/>
    <w:rsid w:val="009C1459"/>
    <w:rsid w:val="009C27B5"/>
    <w:rsid w:val="009C4EC8"/>
    <w:rsid w:val="009D0128"/>
    <w:rsid w:val="009D0F8F"/>
    <w:rsid w:val="009D289A"/>
    <w:rsid w:val="009D4653"/>
    <w:rsid w:val="009E02D3"/>
    <w:rsid w:val="009E14DD"/>
    <w:rsid w:val="009E2A62"/>
    <w:rsid w:val="009E35D7"/>
    <w:rsid w:val="009E55A7"/>
    <w:rsid w:val="009F2E32"/>
    <w:rsid w:val="009F49C3"/>
    <w:rsid w:val="00A01665"/>
    <w:rsid w:val="00A03585"/>
    <w:rsid w:val="00A0361A"/>
    <w:rsid w:val="00A149A5"/>
    <w:rsid w:val="00A173CF"/>
    <w:rsid w:val="00A21236"/>
    <w:rsid w:val="00A265E8"/>
    <w:rsid w:val="00A40BEA"/>
    <w:rsid w:val="00A451F2"/>
    <w:rsid w:val="00A455CA"/>
    <w:rsid w:val="00A6087C"/>
    <w:rsid w:val="00A61256"/>
    <w:rsid w:val="00A67084"/>
    <w:rsid w:val="00A70C3E"/>
    <w:rsid w:val="00A725FC"/>
    <w:rsid w:val="00A74E66"/>
    <w:rsid w:val="00A7507A"/>
    <w:rsid w:val="00A77CF7"/>
    <w:rsid w:val="00A83236"/>
    <w:rsid w:val="00A83836"/>
    <w:rsid w:val="00A84B07"/>
    <w:rsid w:val="00A85BA4"/>
    <w:rsid w:val="00A87DCE"/>
    <w:rsid w:val="00A90F2D"/>
    <w:rsid w:val="00A9212E"/>
    <w:rsid w:val="00A93D3D"/>
    <w:rsid w:val="00A97EA5"/>
    <w:rsid w:val="00AA0159"/>
    <w:rsid w:val="00AA13A8"/>
    <w:rsid w:val="00AA2CD9"/>
    <w:rsid w:val="00AA4911"/>
    <w:rsid w:val="00AA5011"/>
    <w:rsid w:val="00AB3028"/>
    <w:rsid w:val="00AB58BE"/>
    <w:rsid w:val="00AC1471"/>
    <w:rsid w:val="00AC1F6E"/>
    <w:rsid w:val="00AC4DE9"/>
    <w:rsid w:val="00AC654C"/>
    <w:rsid w:val="00AC6B8E"/>
    <w:rsid w:val="00AC7983"/>
    <w:rsid w:val="00AD0AB4"/>
    <w:rsid w:val="00AD3466"/>
    <w:rsid w:val="00AD63B6"/>
    <w:rsid w:val="00AD7AF0"/>
    <w:rsid w:val="00AE1811"/>
    <w:rsid w:val="00AE1AA8"/>
    <w:rsid w:val="00AE30A9"/>
    <w:rsid w:val="00AE65D7"/>
    <w:rsid w:val="00AE6EA9"/>
    <w:rsid w:val="00AE7106"/>
    <w:rsid w:val="00AE79C4"/>
    <w:rsid w:val="00AF0A3A"/>
    <w:rsid w:val="00AF1C6E"/>
    <w:rsid w:val="00AF2374"/>
    <w:rsid w:val="00AF312B"/>
    <w:rsid w:val="00AF3F1B"/>
    <w:rsid w:val="00AF4A50"/>
    <w:rsid w:val="00AF5F91"/>
    <w:rsid w:val="00AF64A6"/>
    <w:rsid w:val="00B03BB2"/>
    <w:rsid w:val="00B04BB9"/>
    <w:rsid w:val="00B053AE"/>
    <w:rsid w:val="00B07D62"/>
    <w:rsid w:val="00B10687"/>
    <w:rsid w:val="00B13260"/>
    <w:rsid w:val="00B15FED"/>
    <w:rsid w:val="00B174A5"/>
    <w:rsid w:val="00B22376"/>
    <w:rsid w:val="00B224B0"/>
    <w:rsid w:val="00B254DD"/>
    <w:rsid w:val="00B25E77"/>
    <w:rsid w:val="00B270C3"/>
    <w:rsid w:val="00B31D3F"/>
    <w:rsid w:val="00B42C55"/>
    <w:rsid w:val="00B4322F"/>
    <w:rsid w:val="00B43BB6"/>
    <w:rsid w:val="00B44BF8"/>
    <w:rsid w:val="00B47E45"/>
    <w:rsid w:val="00B47F84"/>
    <w:rsid w:val="00B50CE8"/>
    <w:rsid w:val="00B51419"/>
    <w:rsid w:val="00B543E0"/>
    <w:rsid w:val="00B56571"/>
    <w:rsid w:val="00B62ED9"/>
    <w:rsid w:val="00B6367E"/>
    <w:rsid w:val="00B64A39"/>
    <w:rsid w:val="00B703B9"/>
    <w:rsid w:val="00B8713B"/>
    <w:rsid w:val="00B93799"/>
    <w:rsid w:val="00BA0F4B"/>
    <w:rsid w:val="00BA6CB9"/>
    <w:rsid w:val="00BB088C"/>
    <w:rsid w:val="00BB1A18"/>
    <w:rsid w:val="00BB3184"/>
    <w:rsid w:val="00BB3C65"/>
    <w:rsid w:val="00BB7C25"/>
    <w:rsid w:val="00BC1A54"/>
    <w:rsid w:val="00BC32F7"/>
    <w:rsid w:val="00BC3857"/>
    <w:rsid w:val="00BD38E5"/>
    <w:rsid w:val="00BD5AD4"/>
    <w:rsid w:val="00BD6417"/>
    <w:rsid w:val="00BE01C7"/>
    <w:rsid w:val="00BE4AF5"/>
    <w:rsid w:val="00BE605E"/>
    <w:rsid w:val="00BE728A"/>
    <w:rsid w:val="00BF0738"/>
    <w:rsid w:val="00BF3625"/>
    <w:rsid w:val="00C021D5"/>
    <w:rsid w:val="00C02327"/>
    <w:rsid w:val="00C05013"/>
    <w:rsid w:val="00C10DC4"/>
    <w:rsid w:val="00C139F4"/>
    <w:rsid w:val="00C22A3B"/>
    <w:rsid w:val="00C234E3"/>
    <w:rsid w:val="00C25083"/>
    <w:rsid w:val="00C26167"/>
    <w:rsid w:val="00C2713C"/>
    <w:rsid w:val="00C2718C"/>
    <w:rsid w:val="00C2798F"/>
    <w:rsid w:val="00C34FE5"/>
    <w:rsid w:val="00C40923"/>
    <w:rsid w:val="00C462C4"/>
    <w:rsid w:val="00C46DC6"/>
    <w:rsid w:val="00C50CE5"/>
    <w:rsid w:val="00C54990"/>
    <w:rsid w:val="00C5563D"/>
    <w:rsid w:val="00C55CF7"/>
    <w:rsid w:val="00C56D06"/>
    <w:rsid w:val="00C65C9B"/>
    <w:rsid w:val="00C66064"/>
    <w:rsid w:val="00C703E8"/>
    <w:rsid w:val="00C70481"/>
    <w:rsid w:val="00C73A5C"/>
    <w:rsid w:val="00C74366"/>
    <w:rsid w:val="00C75B93"/>
    <w:rsid w:val="00C76E63"/>
    <w:rsid w:val="00C77733"/>
    <w:rsid w:val="00C8227F"/>
    <w:rsid w:val="00C85A52"/>
    <w:rsid w:val="00C8765E"/>
    <w:rsid w:val="00C90F35"/>
    <w:rsid w:val="00C910FE"/>
    <w:rsid w:val="00C91FC6"/>
    <w:rsid w:val="00C95627"/>
    <w:rsid w:val="00C96104"/>
    <w:rsid w:val="00C975D2"/>
    <w:rsid w:val="00C97992"/>
    <w:rsid w:val="00CA0CA1"/>
    <w:rsid w:val="00CB3A26"/>
    <w:rsid w:val="00CB7B8C"/>
    <w:rsid w:val="00CC11D8"/>
    <w:rsid w:val="00CC36A1"/>
    <w:rsid w:val="00CC6831"/>
    <w:rsid w:val="00CD1D0B"/>
    <w:rsid w:val="00CD25FC"/>
    <w:rsid w:val="00CD5689"/>
    <w:rsid w:val="00CD609A"/>
    <w:rsid w:val="00CD691C"/>
    <w:rsid w:val="00CE376D"/>
    <w:rsid w:val="00D00B6A"/>
    <w:rsid w:val="00D05BF5"/>
    <w:rsid w:val="00D14767"/>
    <w:rsid w:val="00D149A5"/>
    <w:rsid w:val="00D20263"/>
    <w:rsid w:val="00D2274A"/>
    <w:rsid w:val="00D2791C"/>
    <w:rsid w:val="00D34FA8"/>
    <w:rsid w:val="00D354EC"/>
    <w:rsid w:val="00D370E7"/>
    <w:rsid w:val="00D37C55"/>
    <w:rsid w:val="00D428D4"/>
    <w:rsid w:val="00D45C90"/>
    <w:rsid w:val="00D46008"/>
    <w:rsid w:val="00D47D4A"/>
    <w:rsid w:val="00D50DA7"/>
    <w:rsid w:val="00D5555B"/>
    <w:rsid w:val="00D61F24"/>
    <w:rsid w:val="00D64765"/>
    <w:rsid w:val="00D64ACB"/>
    <w:rsid w:val="00D65AD3"/>
    <w:rsid w:val="00D71CE0"/>
    <w:rsid w:val="00D7337E"/>
    <w:rsid w:val="00D73C5B"/>
    <w:rsid w:val="00D745F5"/>
    <w:rsid w:val="00D764FD"/>
    <w:rsid w:val="00D81537"/>
    <w:rsid w:val="00D8187F"/>
    <w:rsid w:val="00D822A9"/>
    <w:rsid w:val="00D82E6C"/>
    <w:rsid w:val="00D91306"/>
    <w:rsid w:val="00D94E4F"/>
    <w:rsid w:val="00DA20A5"/>
    <w:rsid w:val="00DA7A4A"/>
    <w:rsid w:val="00DB36F4"/>
    <w:rsid w:val="00DB4FE8"/>
    <w:rsid w:val="00DB6A23"/>
    <w:rsid w:val="00DC2BDE"/>
    <w:rsid w:val="00DC336E"/>
    <w:rsid w:val="00DC7236"/>
    <w:rsid w:val="00DD2F72"/>
    <w:rsid w:val="00DD550A"/>
    <w:rsid w:val="00DD7205"/>
    <w:rsid w:val="00DD769E"/>
    <w:rsid w:val="00DE208B"/>
    <w:rsid w:val="00DF0533"/>
    <w:rsid w:val="00DF1D10"/>
    <w:rsid w:val="00DF4A38"/>
    <w:rsid w:val="00DF575C"/>
    <w:rsid w:val="00E029DC"/>
    <w:rsid w:val="00E02C2A"/>
    <w:rsid w:val="00E03666"/>
    <w:rsid w:val="00E069BD"/>
    <w:rsid w:val="00E11789"/>
    <w:rsid w:val="00E12B0B"/>
    <w:rsid w:val="00E12DAC"/>
    <w:rsid w:val="00E161E6"/>
    <w:rsid w:val="00E200E2"/>
    <w:rsid w:val="00E202D3"/>
    <w:rsid w:val="00E203E4"/>
    <w:rsid w:val="00E215F0"/>
    <w:rsid w:val="00E36449"/>
    <w:rsid w:val="00E37047"/>
    <w:rsid w:val="00E40F44"/>
    <w:rsid w:val="00E4296C"/>
    <w:rsid w:val="00E445FA"/>
    <w:rsid w:val="00E44CBF"/>
    <w:rsid w:val="00E4564F"/>
    <w:rsid w:val="00E45C10"/>
    <w:rsid w:val="00E45CEB"/>
    <w:rsid w:val="00E4729D"/>
    <w:rsid w:val="00E51748"/>
    <w:rsid w:val="00E564D4"/>
    <w:rsid w:val="00E56EE9"/>
    <w:rsid w:val="00E57204"/>
    <w:rsid w:val="00E60283"/>
    <w:rsid w:val="00E60F29"/>
    <w:rsid w:val="00E631E1"/>
    <w:rsid w:val="00E63FAA"/>
    <w:rsid w:val="00E64DDB"/>
    <w:rsid w:val="00E73BE4"/>
    <w:rsid w:val="00E757F1"/>
    <w:rsid w:val="00E8126E"/>
    <w:rsid w:val="00E91A38"/>
    <w:rsid w:val="00E931F4"/>
    <w:rsid w:val="00E93728"/>
    <w:rsid w:val="00E946CB"/>
    <w:rsid w:val="00E9667E"/>
    <w:rsid w:val="00EA0D16"/>
    <w:rsid w:val="00EA392C"/>
    <w:rsid w:val="00EA4B3E"/>
    <w:rsid w:val="00EB13E6"/>
    <w:rsid w:val="00EB2872"/>
    <w:rsid w:val="00EC4D0B"/>
    <w:rsid w:val="00EC4E2D"/>
    <w:rsid w:val="00ED16CB"/>
    <w:rsid w:val="00EE17C7"/>
    <w:rsid w:val="00EE358B"/>
    <w:rsid w:val="00EE4D34"/>
    <w:rsid w:val="00EE57FF"/>
    <w:rsid w:val="00EF0BC8"/>
    <w:rsid w:val="00EF1A7B"/>
    <w:rsid w:val="00EF332A"/>
    <w:rsid w:val="00EF632B"/>
    <w:rsid w:val="00EF7DB0"/>
    <w:rsid w:val="00F042EF"/>
    <w:rsid w:val="00F04F33"/>
    <w:rsid w:val="00F06766"/>
    <w:rsid w:val="00F0733B"/>
    <w:rsid w:val="00F10EE0"/>
    <w:rsid w:val="00F11048"/>
    <w:rsid w:val="00F133E5"/>
    <w:rsid w:val="00F16557"/>
    <w:rsid w:val="00F17F6F"/>
    <w:rsid w:val="00F20597"/>
    <w:rsid w:val="00F20A67"/>
    <w:rsid w:val="00F20C9B"/>
    <w:rsid w:val="00F211F7"/>
    <w:rsid w:val="00F223DE"/>
    <w:rsid w:val="00F31705"/>
    <w:rsid w:val="00F368B6"/>
    <w:rsid w:val="00F42243"/>
    <w:rsid w:val="00F4726D"/>
    <w:rsid w:val="00F5219B"/>
    <w:rsid w:val="00F533D5"/>
    <w:rsid w:val="00F54573"/>
    <w:rsid w:val="00F63133"/>
    <w:rsid w:val="00F65019"/>
    <w:rsid w:val="00F654DF"/>
    <w:rsid w:val="00F70034"/>
    <w:rsid w:val="00F75A12"/>
    <w:rsid w:val="00F92223"/>
    <w:rsid w:val="00F95B73"/>
    <w:rsid w:val="00F975AA"/>
    <w:rsid w:val="00F97F51"/>
    <w:rsid w:val="00FA2209"/>
    <w:rsid w:val="00FA2F1F"/>
    <w:rsid w:val="00FA49F4"/>
    <w:rsid w:val="00FB0519"/>
    <w:rsid w:val="00FB1AC6"/>
    <w:rsid w:val="00FB24D3"/>
    <w:rsid w:val="00FB5E91"/>
    <w:rsid w:val="00FB600A"/>
    <w:rsid w:val="00FC1B0B"/>
    <w:rsid w:val="00FC403E"/>
    <w:rsid w:val="00FC75DB"/>
    <w:rsid w:val="00FC7822"/>
    <w:rsid w:val="00FD0018"/>
    <w:rsid w:val="00FD2106"/>
    <w:rsid w:val="00FD2E59"/>
    <w:rsid w:val="00FD42B8"/>
    <w:rsid w:val="00FD638E"/>
    <w:rsid w:val="00FE05E7"/>
    <w:rsid w:val="00FE277A"/>
    <w:rsid w:val="00FE27A6"/>
    <w:rsid w:val="00FE2E6F"/>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Buletai,Bullet EY,List Paragraph21,List Paragraph1,List Paragraph2,lp1,Bullet 1,Use Case List Paragraph,Numbering,ERP-List Paragraph"/>
    <w:basedOn w:val="Normal"/>
    <w:link w:val="ListParagraphChar"/>
    <w:uiPriority w:val="99"/>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Buletai Char,Bullet EY Char,List Paragraph21 Char,List Paragraph1 Char,List Paragraph2 Char,lp1 Char,Bullet 1 Char"/>
    <w:basedOn w:val="DefaultParagraphFont"/>
    <w:link w:val="ListParagraph"/>
    <w:uiPriority w:val="99"/>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paragraph" w:styleId="Revision">
    <w:name w:val="Revision"/>
    <w:hidden/>
    <w:uiPriority w:val="99"/>
    <w:semiHidden/>
    <w:rsid w:val="00992DCD"/>
    <w:rPr>
      <w:rFonts w:ascii="Times New Roman" w:eastAsia="Times New Roman" w:hAnsi="Times New Roman" w:cs="Times New Roman"/>
      <w:sz w:val="24"/>
      <w:szCs w:val="20"/>
    </w:rPr>
  </w:style>
  <w:style w:type="character" w:customStyle="1" w:styleId="cf01">
    <w:name w:val="cf01"/>
    <w:basedOn w:val="DefaultParagraphFont"/>
    <w:rsid w:val="007B4FDF"/>
    <w:rPr>
      <w:rFonts w:ascii="Segoe UI" w:hAnsi="Segoe UI" w:cs="Segoe UI" w:hint="default"/>
      <w:sz w:val="18"/>
      <w:szCs w:val="18"/>
    </w:rPr>
  </w:style>
  <w:style w:type="character" w:customStyle="1" w:styleId="fontstyle01">
    <w:name w:val="fontstyle01"/>
    <w:basedOn w:val="DefaultParagraphFont"/>
    <w:rsid w:val="00B04BB9"/>
    <w:rPr>
      <w:rFonts w:ascii="Verdana-Italic" w:hAnsi="Verdana-Italic" w:hint="default"/>
      <w:b w:val="0"/>
      <w:bCs w:val="0"/>
      <w:i/>
      <w:iCs/>
      <w:color w:val="000000"/>
      <w:sz w:val="18"/>
      <w:szCs w:val="18"/>
    </w:rPr>
  </w:style>
  <w:style w:type="paragraph" w:styleId="NormalWeb">
    <w:name w:val="Normal (Web)"/>
    <w:basedOn w:val="Normal"/>
    <w:uiPriority w:val="99"/>
    <w:unhideWhenUsed/>
    <w:rsid w:val="00D61F24"/>
    <w:pPr>
      <w:spacing w:before="100" w:beforeAutospacing="1" w:after="100" w:afterAutospacing="1"/>
      <w:jc w:val="left"/>
    </w:pPr>
    <w:rPr>
      <w:szCs w:val="24"/>
      <w:lang w:eastAsia="lt-LT"/>
    </w:rPr>
  </w:style>
  <w:style w:type="paragraph" w:styleId="BodyText0">
    <w:name w:val="Body Text"/>
    <w:basedOn w:val="Normal"/>
    <w:link w:val="BodyTextChar"/>
    <w:uiPriority w:val="99"/>
    <w:unhideWhenUsed/>
    <w:qFormat/>
    <w:rsid w:val="00394E02"/>
    <w:pPr>
      <w:ind w:firstLine="567"/>
    </w:pPr>
    <w:rPr>
      <w:rFonts w:eastAsiaTheme="minorHAnsi" w:cstheme="minorBidi"/>
      <w:szCs w:val="22"/>
    </w:rPr>
  </w:style>
  <w:style w:type="character" w:customStyle="1" w:styleId="BodyTextChar">
    <w:name w:val="Body Text Char"/>
    <w:basedOn w:val="DefaultParagraphFont"/>
    <w:link w:val="BodyText0"/>
    <w:uiPriority w:val="99"/>
    <w:rsid w:val="00394E02"/>
    <w:rPr>
      <w:rFonts w:ascii="Times New Roman" w:hAnsi="Times New Roman"/>
      <w:sz w:val="24"/>
    </w:rPr>
  </w:style>
  <w:style w:type="table" w:customStyle="1" w:styleId="TableNormal1">
    <w:name w:val="Table Normal1"/>
    <w:uiPriority w:val="2"/>
    <w:semiHidden/>
    <w:unhideWhenUsed/>
    <w:qFormat/>
    <w:rsid w:val="00335D29"/>
    <w:pPr>
      <w:widowControl w:val="0"/>
      <w:autoSpaceDE w:val="0"/>
      <w:autoSpaceDN w:val="0"/>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35D29"/>
    <w:pPr>
      <w:widowControl w:val="0"/>
      <w:autoSpaceDE w:val="0"/>
      <w:autoSpaceDN w:val="0"/>
      <w:spacing w:line="260" w:lineRule="exact"/>
      <w:ind w:left="107"/>
      <w:jc w:val="left"/>
    </w:pPr>
    <w:rPr>
      <w:rFonts w:ascii="Calibri" w:eastAsia="Calibri" w:hAnsi="Calibri" w:cs="Calibri"/>
      <w:sz w:val="22"/>
      <w:szCs w:val="22"/>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720239">
      <w:bodyDiv w:val="1"/>
      <w:marLeft w:val="0"/>
      <w:marRight w:val="0"/>
      <w:marTop w:val="0"/>
      <w:marBottom w:val="0"/>
      <w:divBdr>
        <w:top w:val="none" w:sz="0" w:space="0" w:color="auto"/>
        <w:left w:val="none" w:sz="0" w:space="0" w:color="auto"/>
        <w:bottom w:val="none" w:sz="0" w:space="0" w:color="auto"/>
        <w:right w:val="none" w:sz="0" w:space="0" w:color="auto"/>
      </w:divBdr>
    </w:div>
    <w:div w:id="326516027">
      <w:bodyDiv w:val="1"/>
      <w:marLeft w:val="0"/>
      <w:marRight w:val="0"/>
      <w:marTop w:val="0"/>
      <w:marBottom w:val="0"/>
      <w:divBdr>
        <w:top w:val="none" w:sz="0" w:space="0" w:color="auto"/>
        <w:left w:val="none" w:sz="0" w:space="0" w:color="auto"/>
        <w:bottom w:val="none" w:sz="0" w:space="0" w:color="auto"/>
        <w:right w:val="none" w:sz="0" w:space="0" w:color="auto"/>
      </w:divBdr>
    </w:div>
    <w:div w:id="439954905">
      <w:bodyDiv w:val="1"/>
      <w:marLeft w:val="0"/>
      <w:marRight w:val="0"/>
      <w:marTop w:val="0"/>
      <w:marBottom w:val="0"/>
      <w:divBdr>
        <w:top w:val="none" w:sz="0" w:space="0" w:color="auto"/>
        <w:left w:val="none" w:sz="0" w:space="0" w:color="auto"/>
        <w:bottom w:val="none" w:sz="0" w:space="0" w:color="auto"/>
        <w:right w:val="none" w:sz="0" w:space="0" w:color="auto"/>
      </w:divBdr>
    </w:div>
    <w:div w:id="559442299">
      <w:bodyDiv w:val="1"/>
      <w:marLeft w:val="0"/>
      <w:marRight w:val="0"/>
      <w:marTop w:val="0"/>
      <w:marBottom w:val="0"/>
      <w:divBdr>
        <w:top w:val="none" w:sz="0" w:space="0" w:color="auto"/>
        <w:left w:val="none" w:sz="0" w:space="0" w:color="auto"/>
        <w:bottom w:val="none" w:sz="0" w:space="0" w:color="auto"/>
        <w:right w:val="none" w:sz="0" w:space="0" w:color="auto"/>
      </w:divBdr>
    </w:div>
    <w:div w:id="576866236">
      <w:bodyDiv w:val="1"/>
      <w:marLeft w:val="0"/>
      <w:marRight w:val="0"/>
      <w:marTop w:val="0"/>
      <w:marBottom w:val="0"/>
      <w:divBdr>
        <w:top w:val="none" w:sz="0" w:space="0" w:color="auto"/>
        <w:left w:val="none" w:sz="0" w:space="0" w:color="auto"/>
        <w:bottom w:val="none" w:sz="0" w:space="0" w:color="auto"/>
        <w:right w:val="none" w:sz="0" w:space="0" w:color="auto"/>
      </w:divBdr>
    </w:div>
    <w:div w:id="746810157">
      <w:bodyDiv w:val="1"/>
      <w:marLeft w:val="0"/>
      <w:marRight w:val="0"/>
      <w:marTop w:val="0"/>
      <w:marBottom w:val="0"/>
      <w:divBdr>
        <w:top w:val="none" w:sz="0" w:space="0" w:color="auto"/>
        <w:left w:val="none" w:sz="0" w:space="0" w:color="auto"/>
        <w:bottom w:val="none" w:sz="0" w:space="0" w:color="auto"/>
        <w:right w:val="none" w:sz="0" w:space="0" w:color="auto"/>
      </w:divBdr>
    </w:div>
    <w:div w:id="1127771428">
      <w:bodyDiv w:val="1"/>
      <w:marLeft w:val="0"/>
      <w:marRight w:val="0"/>
      <w:marTop w:val="0"/>
      <w:marBottom w:val="0"/>
      <w:divBdr>
        <w:top w:val="none" w:sz="0" w:space="0" w:color="auto"/>
        <w:left w:val="none" w:sz="0" w:space="0" w:color="auto"/>
        <w:bottom w:val="none" w:sz="0" w:space="0" w:color="auto"/>
        <w:right w:val="none" w:sz="0" w:space="0" w:color="auto"/>
      </w:divBdr>
    </w:div>
    <w:div w:id="1183933257">
      <w:bodyDiv w:val="1"/>
      <w:marLeft w:val="0"/>
      <w:marRight w:val="0"/>
      <w:marTop w:val="0"/>
      <w:marBottom w:val="0"/>
      <w:divBdr>
        <w:top w:val="none" w:sz="0" w:space="0" w:color="auto"/>
        <w:left w:val="none" w:sz="0" w:space="0" w:color="auto"/>
        <w:bottom w:val="none" w:sz="0" w:space="0" w:color="auto"/>
        <w:right w:val="none" w:sz="0" w:space="0" w:color="auto"/>
      </w:divBdr>
    </w:div>
    <w:div w:id="1313753916">
      <w:bodyDiv w:val="1"/>
      <w:marLeft w:val="0"/>
      <w:marRight w:val="0"/>
      <w:marTop w:val="0"/>
      <w:marBottom w:val="0"/>
      <w:divBdr>
        <w:top w:val="none" w:sz="0" w:space="0" w:color="auto"/>
        <w:left w:val="none" w:sz="0" w:space="0" w:color="auto"/>
        <w:bottom w:val="none" w:sz="0" w:space="0" w:color="auto"/>
        <w:right w:val="none" w:sz="0" w:space="0" w:color="auto"/>
      </w:divBdr>
    </w:div>
    <w:div w:id="1347369842">
      <w:bodyDiv w:val="1"/>
      <w:marLeft w:val="0"/>
      <w:marRight w:val="0"/>
      <w:marTop w:val="0"/>
      <w:marBottom w:val="0"/>
      <w:divBdr>
        <w:top w:val="none" w:sz="0" w:space="0" w:color="auto"/>
        <w:left w:val="none" w:sz="0" w:space="0" w:color="auto"/>
        <w:bottom w:val="none" w:sz="0" w:space="0" w:color="auto"/>
        <w:right w:val="none" w:sz="0" w:space="0" w:color="auto"/>
      </w:divBdr>
    </w:div>
    <w:div w:id="1372264816">
      <w:bodyDiv w:val="1"/>
      <w:marLeft w:val="0"/>
      <w:marRight w:val="0"/>
      <w:marTop w:val="0"/>
      <w:marBottom w:val="0"/>
      <w:divBdr>
        <w:top w:val="none" w:sz="0" w:space="0" w:color="auto"/>
        <w:left w:val="none" w:sz="0" w:space="0" w:color="auto"/>
        <w:bottom w:val="none" w:sz="0" w:space="0" w:color="auto"/>
        <w:right w:val="none" w:sz="0" w:space="0" w:color="auto"/>
      </w:divBdr>
    </w:div>
    <w:div w:id="1517427909">
      <w:bodyDiv w:val="1"/>
      <w:marLeft w:val="0"/>
      <w:marRight w:val="0"/>
      <w:marTop w:val="0"/>
      <w:marBottom w:val="0"/>
      <w:divBdr>
        <w:top w:val="none" w:sz="0" w:space="0" w:color="auto"/>
        <w:left w:val="none" w:sz="0" w:space="0" w:color="auto"/>
        <w:bottom w:val="none" w:sz="0" w:space="0" w:color="auto"/>
        <w:right w:val="none" w:sz="0" w:space="0" w:color="auto"/>
      </w:divBdr>
    </w:div>
    <w:div w:id="1659458359">
      <w:bodyDiv w:val="1"/>
      <w:marLeft w:val="0"/>
      <w:marRight w:val="0"/>
      <w:marTop w:val="0"/>
      <w:marBottom w:val="0"/>
      <w:divBdr>
        <w:top w:val="none" w:sz="0" w:space="0" w:color="auto"/>
        <w:left w:val="none" w:sz="0" w:space="0" w:color="auto"/>
        <w:bottom w:val="none" w:sz="0" w:space="0" w:color="auto"/>
        <w:right w:val="none" w:sz="0" w:space="0" w:color="auto"/>
      </w:divBdr>
    </w:div>
    <w:div w:id="1722556734">
      <w:bodyDiv w:val="1"/>
      <w:marLeft w:val="0"/>
      <w:marRight w:val="0"/>
      <w:marTop w:val="0"/>
      <w:marBottom w:val="0"/>
      <w:divBdr>
        <w:top w:val="none" w:sz="0" w:space="0" w:color="auto"/>
        <w:left w:val="none" w:sz="0" w:space="0" w:color="auto"/>
        <w:bottom w:val="none" w:sz="0" w:space="0" w:color="auto"/>
        <w:right w:val="none" w:sz="0" w:space="0" w:color="auto"/>
      </w:divBdr>
    </w:div>
    <w:div w:id="1745909307">
      <w:bodyDiv w:val="1"/>
      <w:marLeft w:val="0"/>
      <w:marRight w:val="0"/>
      <w:marTop w:val="0"/>
      <w:marBottom w:val="0"/>
      <w:divBdr>
        <w:top w:val="none" w:sz="0" w:space="0" w:color="auto"/>
        <w:left w:val="none" w:sz="0" w:space="0" w:color="auto"/>
        <w:bottom w:val="none" w:sz="0" w:space="0" w:color="auto"/>
        <w:right w:val="none" w:sz="0" w:space="0" w:color="auto"/>
      </w:divBdr>
    </w:div>
    <w:div w:id="1760831326">
      <w:bodyDiv w:val="1"/>
      <w:marLeft w:val="0"/>
      <w:marRight w:val="0"/>
      <w:marTop w:val="0"/>
      <w:marBottom w:val="0"/>
      <w:divBdr>
        <w:top w:val="none" w:sz="0" w:space="0" w:color="auto"/>
        <w:left w:val="none" w:sz="0" w:space="0" w:color="auto"/>
        <w:bottom w:val="none" w:sz="0" w:space="0" w:color="auto"/>
        <w:right w:val="none" w:sz="0" w:space="0" w:color="auto"/>
      </w:divBdr>
    </w:div>
    <w:div w:id="1974747914">
      <w:bodyDiv w:val="1"/>
      <w:marLeft w:val="0"/>
      <w:marRight w:val="0"/>
      <w:marTop w:val="0"/>
      <w:marBottom w:val="0"/>
      <w:divBdr>
        <w:top w:val="none" w:sz="0" w:space="0" w:color="auto"/>
        <w:left w:val="none" w:sz="0" w:space="0" w:color="auto"/>
        <w:bottom w:val="none" w:sz="0" w:space="0" w:color="auto"/>
        <w:right w:val="none" w:sz="0" w:space="0" w:color="auto"/>
      </w:divBdr>
    </w:div>
    <w:div w:id="2061513724">
      <w:bodyDiv w:val="1"/>
      <w:marLeft w:val="0"/>
      <w:marRight w:val="0"/>
      <w:marTop w:val="0"/>
      <w:marBottom w:val="0"/>
      <w:divBdr>
        <w:top w:val="none" w:sz="0" w:space="0" w:color="auto"/>
        <w:left w:val="none" w:sz="0" w:space="0" w:color="auto"/>
        <w:bottom w:val="none" w:sz="0" w:space="0" w:color="auto"/>
        <w:right w:val="none" w:sz="0" w:space="0" w:color="auto"/>
      </w:divBdr>
    </w:div>
    <w:div w:id="206899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A93FF32F1554B9223B72D973A5C6E" ma:contentTypeVersion="2" ma:contentTypeDescription="Create a new document." ma:contentTypeScope="" ma:versionID="23fd99b90f321107513d11d34bcb6cfb">
  <xsd:schema xmlns:xsd="http://www.w3.org/2001/XMLSchema" xmlns:xs="http://www.w3.org/2001/XMLSchema" xmlns:p="http://schemas.microsoft.com/office/2006/metadata/properties" xmlns:ns2="ccac29d9-6ff7-4941-b4a0-98f6f7b60f56" targetNamespace="http://schemas.microsoft.com/office/2006/metadata/properties" ma:root="true" ma:fieldsID="339710d5966315531b81230395140e37" ns2:_="">
    <xsd:import namespace="ccac29d9-6ff7-4941-b4a0-98f6f7b60f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c29d9-6ff7-4941-b4a0-98f6f7b60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BC090-C225-4E9E-B937-AE96DED1E0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04B26E-5CD1-4F46-BDEC-052703EEA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c29d9-6ff7-4941-b4a0-98f6f7b60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D377B-9B1B-471A-9C48-86360C0F27DF}">
  <ds:schemaRefs>
    <ds:schemaRef ds:uri="http://schemas.microsoft.com/sharepoint/v3/contenttype/forms"/>
  </ds:schemaRefs>
</ds:datastoreItem>
</file>

<file path=customXml/itemProps4.xml><?xml version="1.0" encoding="utf-8"?>
<ds:datastoreItem xmlns:ds="http://schemas.openxmlformats.org/officeDocument/2006/customXml" ds:itemID="{98096EBC-3AF0-4AD6-8453-611D9962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9039</Words>
  <Characters>5153</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13</cp:revision>
  <dcterms:created xsi:type="dcterms:W3CDTF">2024-11-13T06:52:00Z</dcterms:created>
  <dcterms:modified xsi:type="dcterms:W3CDTF">2024-12-04T06:24:00Z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0x010100B53A93FF32F1554B9223B72D973A5C6E</vt:lpwstr>
  </property>
</Properties>
</file>