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Heading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0DFB9C0A"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7F4F1D">
        <w:rPr>
          <w:rFonts w:ascii="Times New Roman" w:hAnsi="Times New Roman"/>
          <w:szCs w:val="22"/>
          <w:lang w:eastAsia="lt-LT"/>
        </w:rPr>
        <w:t>4-0</w:t>
      </w:r>
      <w:r w:rsidR="00243E66">
        <w:rPr>
          <w:rFonts w:ascii="Times New Roman" w:hAnsi="Times New Roman"/>
          <w:szCs w:val="22"/>
          <w:lang w:eastAsia="lt-LT"/>
        </w:rPr>
        <w:t>4-04</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5F4A6BFA"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243E66">
        <w:rPr>
          <w:rFonts w:ascii="Times New Roman" w:hAnsi="Times New Roman"/>
          <w:b/>
          <w:i/>
          <w:iCs/>
          <w:color w:val="000000"/>
          <w:sz w:val="24"/>
          <w:szCs w:val="24"/>
        </w:rPr>
        <w:t>ULTRAGARSO ĮRANGA (ECHOSKOPAS)</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2B2FD34E"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proofErr w:type="spellStart"/>
      <w:r w:rsidRPr="008B72F0">
        <w:rPr>
          <w:rFonts w:ascii="Times New Roman" w:eastAsia="Arial Unicode MS" w:hAnsi="Times New Roman"/>
          <w:szCs w:val="22"/>
          <w:bdr w:val="nil"/>
          <w:lang w:val="en-US" w:eastAsia="lt-LT"/>
        </w:rPr>
        <w:t>juridinio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asmens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kodas</w:t>
      </w:r>
      <w:proofErr w:type="spellEnd"/>
      <w:r w:rsidRPr="008B72F0">
        <w:rPr>
          <w:rFonts w:ascii="Times New Roman" w:eastAsia="Arial Unicode MS" w:hAnsi="Times New Roman"/>
          <w:szCs w:val="22"/>
          <w:bdr w:val="nil"/>
          <w:lang w:val="en-US" w:eastAsia="lt-LT"/>
        </w:rPr>
        <w:t xml:space="preserve"> 183854143, </w:t>
      </w:r>
      <w:proofErr w:type="spellStart"/>
      <w:r w:rsidRPr="008B72F0">
        <w:rPr>
          <w:rFonts w:ascii="Times New Roman" w:eastAsia="Arial Unicode MS" w:hAnsi="Times New Roman"/>
          <w:szCs w:val="22"/>
          <w:bdr w:val="nil"/>
          <w:lang w:val="en-US" w:eastAsia="lt-LT"/>
        </w:rPr>
        <w:t>adresas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Aukštakalnio</w:t>
      </w:r>
      <w:proofErr w:type="spellEnd"/>
      <w:r w:rsidRPr="008B72F0">
        <w:rPr>
          <w:rFonts w:ascii="Times New Roman" w:eastAsia="Arial Unicode MS" w:hAnsi="Times New Roman"/>
          <w:szCs w:val="22"/>
          <w:bdr w:val="nil"/>
          <w:lang w:val="en-US" w:eastAsia="lt-LT"/>
        </w:rPr>
        <w:t xml:space="preserve">  g. 3, LT-28151 Utena (</w:t>
      </w:r>
      <w:proofErr w:type="spellStart"/>
      <w:r w:rsidRPr="008B72F0">
        <w:rPr>
          <w:rFonts w:ascii="Times New Roman" w:eastAsia="Arial Unicode MS" w:hAnsi="Times New Roman"/>
          <w:szCs w:val="22"/>
          <w:bdr w:val="nil"/>
          <w:lang w:val="en-US" w:eastAsia="lt-LT"/>
        </w:rPr>
        <w:t>toliau</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 xml:space="preserve"> 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vykdydama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šį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viešąjį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įsigyti</w:t>
      </w:r>
      <w:proofErr w:type="spellEnd"/>
      <w:r w:rsidRPr="008B72F0">
        <w:rPr>
          <w:rFonts w:ascii="Times New Roman" w:eastAsia="Arial Unicode MS" w:hAnsi="Times New Roman"/>
          <w:color w:val="000000"/>
          <w:szCs w:val="22"/>
          <w:bdr w:val="nil"/>
          <w:lang w:val="en-US" w:eastAsia="lt-LT"/>
        </w:rPr>
        <w:t xml:space="preserve"> </w:t>
      </w:r>
      <w:r w:rsidR="00AD2CD2">
        <w:rPr>
          <w:rFonts w:ascii="Times New Roman" w:eastAsia="Arial Unicode MS" w:hAnsi="Times New Roman"/>
          <w:color w:val="000000"/>
          <w:szCs w:val="22"/>
          <w:bdr w:val="nil"/>
          <w:lang w:val="en-US" w:eastAsia="lt-LT"/>
        </w:rPr>
        <w:t xml:space="preserve"> </w:t>
      </w:r>
      <w:proofErr w:type="spellStart"/>
      <w:r w:rsidR="00243E66">
        <w:rPr>
          <w:rFonts w:ascii="Times New Roman" w:eastAsia="Arial Unicode MS" w:hAnsi="Times New Roman"/>
          <w:color w:val="000000"/>
          <w:szCs w:val="22"/>
          <w:bdr w:val="nil"/>
          <w:lang w:val="en-US" w:eastAsia="lt-LT"/>
        </w:rPr>
        <w:t>ultragarso</w:t>
      </w:r>
      <w:proofErr w:type="spellEnd"/>
      <w:proofErr w:type="gramEnd"/>
      <w:r w:rsidR="00243E66">
        <w:rPr>
          <w:rFonts w:ascii="Times New Roman" w:eastAsia="Arial Unicode MS" w:hAnsi="Times New Roman"/>
          <w:color w:val="000000"/>
          <w:szCs w:val="22"/>
          <w:bdr w:val="nil"/>
          <w:lang w:val="en-US" w:eastAsia="lt-LT"/>
        </w:rPr>
        <w:t xml:space="preserve"> </w:t>
      </w:r>
      <w:proofErr w:type="spellStart"/>
      <w:r w:rsidR="00243E66">
        <w:rPr>
          <w:rFonts w:ascii="Times New Roman" w:eastAsia="Arial Unicode MS" w:hAnsi="Times New Roman"/>
          <w:color w:val="000000"/>
          <w:szCs w:val="22"/>
          <w:bdr w:val="nil"/>
          <w:lang w:val="en-US" w:eastAsia="lt-LT"/>
        </w:rPr>
        <w:t>įrangą</w:t>
      </w:r>
      <w:proofErr w:type="spellEnd"/>
      <w:r w:rsidR="00243E66">
        <w:rPr>
          <w:rFonts w:ascii="Times New Roman" w:eastAsia="Arial Unicode MS" w:hAnsi="Times New Roman"/>
          <w:color w:val="000000"/>
          <w:szCs w:val="22"/>
          <w:bdr w:val="nil"/>
          <w:lang w:val="en-US" w:eastAsia="lt-LT"/>
        </w:rPr>
        <w:t xml:space="preserve"> (</w:t>
      </w:r>
      <w:proofErr w:type="spellStart"/>
      <w:r w:rsidR="00243E66">
        <w:rPr>
          <w:rFonts w:ascii="Times New Roman" w:eastAsia="Arial Unicode MS" w:hAnsi="Times New Roman"/>
          <w:color w:val="000000"/>
          <w:szCs w:val="22"/>
          <w:bdr w:val="nil"/>
          <w:lang w:val="en-US" w:eastAsia="lt-LT"/>
        </w:rPr>
        <w:t>echoskopą</w:t>
      </w:r>
      <w:proofErr w:type="spellEnd"/>
      <w:r w:rsidR="00243E66">
        <w:rPr>
          <w:rFonts w:ascii="Times New Roman" w:eastAsia="Arial Unicode MS" w:hAnsi="Times New Roman"/>
          <w:color w:val="000000"/>
          <w:szCs w:val="22"/>
          <w:bdr w:val="nil"/>
          <w:lang w:val="en-US" w:eastAsia="lt-LT"/>
        </w:rPr>
        <w:t>)</w:t>
      </w:r>
      <w:r w:rsidR="008A6B47">
        <w:rPr>
          <w:rFonts w:ascii="Times New Roman" w:eastAsia="Arial Unicode MS" w:hAnsi="Times New Roman"/>
          <w:color w:val="000000"/>
          <w:szCs w:val="22"/>
          <w:bdr w:val="nil"/>
          <w:lang w:val="en-US" w:eastAsia="lt-LT"/>
        </w:rPr>
        <w:t>.</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 </w:t>
      </w:r>
      <w:proofErr w:type="spellStart"/>
      <w:r w:rsidRPr="008B72F0">
        <w:rPr>
          <w:rFonts w:ascii="Times New Roman" w:eastAsia="Arial Unicode MS" w:hAnsi="Times New Roman"/>
          <w:color w:val="000000"/>
          <w:szCs w:val="22"/>
          <w:bdr w:val="nil"/>
          <w:lang w:val="en-US" w:eastAsia="lt-LT"/>
        </w:rPr>
        <w:t>Šis</w:t>
      </w:r>
      <w:proofErr w:type="spellEnd"/>
      <w:r w:rsidRPr="008B72F0">
        <w:rPr>
          <w:rFonts w:ascii="Times New Roman" w:eastAsia="Arial Unicode MS" w:hAnsi="Times New Roman"/>
          <w:color w:val="FF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008A6B47">
        <w:rPr>
          <w:rFonts w:ascii="Times New Roman" w:eastAsia="Arial Unicode MS" w:hAnsi="Times New Roman"/>
          <w:color w:val="000000"/>
          <w:szCs w:val="22"/>
          <w:bdr w:val="nil"/>
          <w:lang w:val="en-US" w:eastAsia="lt-LT"/>
        </w:rPr>
        <w:t xml:space="preserve"> </w:t>
      </w:r>
      <w:proofErr w:type="spellStart"/>
      <w:r w:rsidR="008A6B47">
        <w:rPr>
          <w:rFonts w:ascii="Times New Roman" w:eastAsia="Arial Unicode MS" w:hAnsi="Times New Roman"/>
          <w:szCs w:val="22"/>
          <w:bdr w:val="nil"/>
          <w:lang w:val="en-US" w:eastAsia="lt-LT"/>
        </w:rPr>
        <w:t>skelbiamos</w:t>
      </w:r>
      <w:proofErr w:type="spellEnd"/>
      <w:r w:rsidR="008A6B47">
        <w:rPr>
          <w:rFonts w:ascii="Times New Roman" w:eastAsia="Arial Unicode MS" w:hAnsi="Times New Roman"/>
          <w:szCs w:val="22"/>
          <w:bdr w:val="nil"/>
          <w:lang w:val="en-US" w:eastAsia="lt-LT"/>
        </w:rPr>
        <w:t xml:space="preserve"> </w:t>
      </w:r>
      <w:proofErr w:type="spellStart"/>
      <w:r w:rsidR="008A6B47">
        <w:rPr>
          <w:rFonts w:ascii="Times New Roman" w:eastAsia="Arial Unicode MS" w:hAnsi="Times New Roman"/>
          <w:szCs w:val="22"/>
          <w:bdr w:val="nil"/>
          <w:lang w:val="en-US" w:eastAsia="lt-LT"/>
        </w:rPr>
        <w:t>apklausos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būdu</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naudojantis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Centrin</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vie</w:t>
      </w:r>
      <w:r w:rsidRPr="008B72F0">
        <w:rPr>
          <w:rFonts w:ascii="Times New Roman" w:eastAsia="Arial Unicode MS" w:hAnsi="Times New Roman"/>
          <w:color w:val="000000"/>
          <w:szCs w:val="22"/>
          <w:bdr w:val="nil"/>
          <w:lang w:val="en-US" w:eastAsia="lt-LT"/>
        </w:rPr>
        <w:t>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informacinės</w:t>
      </w:r>
      <w:proofErr w:type="spellEnd"/>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 xml:space="preserve">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toliau</w:t>
      </w:r>
      <w:proofErr w:type="spellEnd"/>
      <w:r w:rsidRPr="008B72F0">
        <w:rPr>
          <w:rFonts w:ascii="Times New Roman" w:eastAsia="Arial Unicode MS" w:hAnsi="Times New Roman"/>
          <w:color w:val="000000"/>
          <w:szCs w:val="22"/>
          <w:bdr w:val="nil"/>
          <w:lang w:val="en-US" w:eastAsia="lt-LT"/>
        </w:rPr>
        <w:t xml:space="preserve">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es-ES_tradnl" w:eastAsia="lt-LT"/>
        </w:rPr>
        <w:t xml:space="preserve">mis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teikti</w:t>
      </w:r>
      <w:proofErr w:type="spellEnd"/>
      <w:r w:rsidRPr="008B72F0">
        <w:rPr>
          <w:rFonts w:ascii="Times New Roman" w:eastAsia="Arial Unicode MS" w:hAnsi="Times New Roman"/>
          <w:color w:val="000000"/>
          <w:szCs w:val="22"/>
          <w:bdr w:val="nil"/>
          <w:lang w:val="en-US" w:eastAsia="lt-LT"/>
        </w:rPr>
        <w:t xml:space="preserve"> tik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registruoti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pasiekiamoje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adresu</w:t>
      </w:r>
      <w:proofErr w:type="spellEnd"/>
      <w:r w:rsidRPr="008B72F0">
        <w:rPr>
          <w:rFonts w:ascii="Times New Roman" w:eastAsia="Arial Unicode MS" w:hAnsi="Times New Roman"/>
          <w:color w:val="000000"/>
          <w:szCs w:val="22"/>
          <w:bdr w:val="nil"/>
          <w:lang w:val="en-US" w:eastAsia="lt-LT"/>
        </w:rPr>
        <w:t xml:space="preserve">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 </w:t>
      </w:r>
      <w:proofErr w:type="spellStart"/>
      <w:r w:rsidRPr="008B72F0">
        <w:rPr>
          <w:rFonts w:ascii="Times New Roman" w:eastAsia="Arial Unicode MS" w:hAnsi="Times New Roman"/>
          <w:color w:val="000000"/>
          <w:szCs w:val="22"/>
          <w:bdr w:val="nil"/>
          <w:lang w:val="en-US" w:eastAsia="lt-LT"/>
        </w:rPr>
        <w:t>Išankstinis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skelbtas</w:t>
      </w:r>
      <w:proofErr w:type="spellEnd"/>
      <w:r w:rsidRPr="008B72F0">
        <w:rPr>
          <w:rFonts w:ascii="Times New Roman" w:eastAsia="Arial Unicode MS" w:hAnsi="Times New Roman"/>
          <w:color w:val="000000"/>
          <w:szCs w:val="22"/>
          <w:bdr w:val="nil"/>
          <w:lang w:val="en-US" w:eastAsia="lt-LT"/>
        </w:rPr>
        <w:t>.</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1.6. Pirkimas atliekamas laikantis lygiateisiškumo, nediskriminavimo, abipusio </w:t>
      </w:r>
      <w:proofErr w:type="spellStart"/>
      <w:r w:rsidRPr="008B72F0">
        <w:rPr>
          <w:rFonts w:ascii="Times New Roman" w:hAnsi="Times New Roman"/>
          <w:szCs w:val="22"/>
        </w:rPr>
        <w:t>pripaž</w:t>
      </w:r>
      <w:proofErr w:type="spellEnd"/>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6AD4A56B"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r w:rsidR="00243E66">
        <w:rPr>
          <w:rFonts w:ascii="Times New Roman" w:hAnsi="Times New Roman"/>
          <w:b/>
          <w:szCs w:val="22"/>
        </w:rPr>
        <w:t>ultragarso įranga (echoskopas)</w:t>
      </w:r>
      <w:r w:rsidR="007F4F1D">
        <w:rPr>
          <w:rFonts w:ascii="Times New Roman" w:hAnsi="Times New Roman"/>
          <w:b/>
          <w:szCs w:val="22"/>
        </w:rPr>
        <w:t xml:space="preserve"> </w:t>
      </w:r>
      <w:r w:rsidR="000D40F5">
        <w:rPr>
          <w:rFonts w:ascii="Times New Roman" w:hAnsi="Times New Roman"/>
          <w:b/>
          <w:szCs w:val="22"/>
        </w:rPr>
        <w:t>.</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33</w:t>
      </w:r>
      <w:r w:rsidR="00243E66">
        <w:rPr>
          <w:rFonts w:ascii="Times New Roman" w:hAnsi="Times New Roman"/>
          <w:b/>
          <w:bCs/>
          <w:szCs w:val="22"/>
        </w:rPr>
        <w:t>112200-0</w:t>
      </w:r>
      <w:r w:rsidRPr="003E1DEA">
        <w:rPr>
          <w:rFonts w:ascii="Times New Roman" w:hAnsi="Times New Roman"/>
          <w:b/>
          <w:bCs/>
          <w:szCs w:val="22"/>
        </w:rPr>
        <w:t>.</w:t>
      </w:r>
    </w:p>
    <w:p w14:paraId="1150A3DB" w14:textId="4270F3F3"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2.2. Numatoma įsigyti </w:t>
      </w:r>
      <w:r w:rsidR="00243E66">
        <w:rPr>
          <w:rFonts w:ascii="Times New Roman" w:hAnsi="Times New Roman"/>
          <w:szCs w:val="22"/>
        </w:rPr>
        <w:t>ultragarso įrangą (echoskopą)</w:t>
      </w:r>
      <w:r w:rsidR="00F13154">
        <w:rPr>
          <w:rFonts w:ascii="Times New Roman" w:hAnsi="Times New Roman"/>
          <w:szCs w:val="22"/>
        </w:rPr>
        <w:t>.</w:t>
      </w:r>
      <w:r w:rsidRPr="008B72F0">
        <w:rPr>
          <w:rFonts w:ascii="Times New Roman" w:hAnsi="Times New Roman"/>
          <w:szCs w:val="22"/>
        </w:rPr>
        <w:t xml:space="preserve"> Perkam</w:t>
      </w:r>
      <w:r w:rsidR="00243E66">
        <w:rPr>
          <w:rFonts w:ascii="Times New Roman" w:hAnsi="Times New Roman"/>
          <w:szCs w:val="22"/>
        </w:rPr>
        <w:t>os</w:t>
      </w:r>
      <w:r w:rsidRPr="008B72F0">
        <w:rPr>
          <w:rFonts w:ascii="Times New Roman" w:hAnsi="Times New Roman"/>
          <w:szCs w:val="22"/>
        </w:rPr>
        <w:t xml:space="preserve"> prek</w:t>
      </w:r>
      <w:r w:rsidR="00243E66">
        <w:rPr>
          <w:rFonts w:ascii="Times New Roman" w:hAnsi="Times New Roman"/>
          <w:szCs w:val="22"/>
        </w:rPr>
        <w:t>ės</w:t>
      </w:r>
      <w:r w:rsidRPr="008B72F0">
        <w:rPr>
          <w:rFonts w:ascii="Times New Roman" w:hAnsi="Times New Roman"/>
          <w:szCs w:val="22"/>
        </w:rPr>
        <w:t xml:space="preserve"> savybės nustatytos pateiktoje techninėje specifikacijoje (Priedas Nr.2).</w:t>
      </w:r>
    </w:p>
    <w:p w14:paraId="6D156793" w14:textId="6245C144"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243E66">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7C245E1C" w14:textId="5A385A60"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pirkimo dali</w:t>
      </w:r>
      <w:r w:rsidR="00243E66">
        <w:rPr>
          <w:rFonts w:ascii="Times New Roman" w:hAnsi="Times New Roman"/>
          <w:szCs w:val="22"/>
        </w:rPr>
        <w:t>es</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68"/>
        <w:gridCol w:w="1822"/>
        <w:gridCol w:w="4860"/>
      </w:tblGrid>
      <w:tr w:rsidR="008B72F0" w:rsidRPr="008B72F0" w14:paraId="2EDCC4FC"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226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822"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860"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226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822"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860"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bl>
    <w:p w14:paraId="7BF827AB" w14:textId="77777777" w:rsidR="008B72F0" w:rsidRP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w:t>
      </w:r>
      <w:proofErr w:type="spellStart"/>
      <w:r w:rsidRPr="008B72F0">
        <w:rPr>
          <w:rFonts w:ascii="Times New Roman" w:eastAsia="Arial Unicode MS" w:hAnsi="Times New Roman" w:cs="Arial Unicode MS"/>
          <w:color w:val="000000"/>
          <w:szCs w:val="22"/>
          <w:bdr w:val="nil"/>
          <w:lang w:val="en-US" w:eastAsia="lt-LT"/>
        </w:rPr>
        <w:t>Pastabos</w:t>
      </w:r>
      <w:proofErr w:type="spellEnd"/>
      <w:r w:rsidRPr="008B72F0">
        <w:rPr>
          <w:rFonts w:ascii="Times New Roman" w:eastAsia="Arial Unicode MS" w:hAnsi="Times New Roman" w:cs="Arial Unicode MS"/>
          <w:color w:val="000000"/>
          <w:szCs w:val="22"/>
          <w:bdr w:val="nil"/>
          <w:lang w:val="en-US" w:eastAsia="lt-LT"/>
        </w:rPr>
        <w:t>:</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1)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tokie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neapima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keliamų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klausimų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priesaikos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oficiali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pasirašyta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w:t>
      </w:r>
    </w:p>
    <w:p w14:paraId="115C73F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w:t>
      </w:r>
      <w:proofErr w:type="spellStart"/>
      <w:r w:rsidRPr="008B72F0">
        <w:rPr>
          <w:rFonts w:ascii="Times New Roman" w:eastAsia="Arial Unicode MS" w:hAnsi="Times New Roman" w:cs="Arial Unicode MS"/>
          <w:color w:val="000000"/>
          <w:szCs w:val="22"/>
          <w:bdr w:val="nil"/>
          <w:lang w:val="en-US" w:eastAsia="lt-LT"/>
        </w:rPr>
        <w:t>pateikiant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skaitmenines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kopijas</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kiekvieną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deklaruojama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kad</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tikros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tvirtinamos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jo </w:t>
      </w:r>
      <w:proofErr w:type="spellStart"/>
      <w:r w:rsidRPr="008B72F0">
        <w:rPr>
          <w:rFonts w:ascii="Times New Roman" w:eastAsia="Arial Unicode MS" w:hAnsi="Times New Roman" w:cs="Arial Unicode MS"/>
          <w:color w:val="000000"/>
          <w:szCs w:val="22"/>
          <w:bdr w:val="nil"/>
          <w:lang w:val="en-US" w:eastAsia="lt-LT"/>
        </w:rPr>
        <w:t>įgalioto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asmens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žodžius</w:t>
      </w:r>
      <w:proofErr w:type="spellEnd"/>
      <w:r w:rsidRPr="008B72F0">
        <w:rPr>
          <w:rFonts w:ascii="Times New Roman" w:eastAsia="Arial Unicode MS" w:hAnsi="Times New Roman" w:cs="Arial Unicode MS"/>
          <w:color w:val="000000"/>
          <w:szCs w:val="22"/>
          <w:bdr w:val="nil"/>
          <w:lang w:val="en-US" w:eastAsia="lt-LT"/>
        </w:rPr>
        <w:t xml:space="preserve"> „Kopija </w:t>
      </w:r>
      <w:proofErr w:type="spellStart"/>
      <w:proofErr w:type="gramStart"/>
      <w:r w:rsidRPr="008B72F0">
        <w:rPr>
          <w:rFonts w:ascii="Times New Roman" w:eastAsia="Arial Unicode MS" w:hAnsi="Times New Roman" w:cs="Arial Unicode MS"/>
          <w:color w:val="000000"/>
          <w:szCs w:val="22"/>
          <w:bdr w:val="nil"/>
          <w:lang w:val="en-US" w:eastAsia="lt-LT"/>
        </w:rPr>
        <w:t>tikra</w:t>
      </w:r>
      <w:proofErr w:type="spellEnd"/>
      <w:r w:rsidRPr="008B72F0">
        <w:rPr>
          <w:rFonts w:ascii="Times New Roman" w:eastAsia="Arial Unicode MS" w:hAnsi="Times New Roman" w:cs="Arial Unicode MS"/>
          <w:color w:val="000000"/>
          <w:szCs w:val="22"/>
          <w:bdr w:val="nil"/>
          <w:lang w:val="en-US" w:eastAsia="lt-LT"/>
        </w:rPr>
        <w:t>“ ir</w:t>
      </w:r>
      <w:proofErr w:type="gramEnd"/>
      <w:r w:rsidRPr="008B72F0">
        <w:rPr>
          <w:rFonts w:ascii="Times New Roman" w:eastAsia="Arial Unicode MS" w:hAnsi="Times New Roman" w:cs="Arial Unicode MS"/>
          <w:color w:val="000000"/>
          <w:szCs w:val="22"/>
          <w:bdr w:val="nil"/>
          <w:lang w:val="en-US" w:eastAsia="lt-LT"/>
        </w:rPr>
        <w:t xml:space="preserve">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proofErr w:type="spellStart"/>
      <w:r w:rsidRPr="008B72F0">
        <w:rPr>
          <w:rFonts w:ascii="Times New Roman" w:eastAsia="Arial Unicode MS" w:hAnsi="Times New Roman" w:cs="Arial Unicode MS"/>
          <w:color w:val="000000"/>
          <w:szCs w:val="22"/>
          <w:bdr w:val="nil"/>
          <w:lang w:val="en-US" w:eastAsia="lt-LT"/>
        </w:rPr>
        <w:t>pareigų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pavadinimą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vardą</w:t>
      </w:r>
      <w:proofErr w:type="spellEnd"/>
      <w:r w:rsidRPr="008B72F0">
        <w:rPr>
          <w:rFonts w:ascii="Times New Roman" w:eastAsia="Arial Unicode MS" w:hAnsi="Times New Roman" w:cs="Arial Unicode MS"/>
          <w:color w:val="000000"/>
          <w:szCs w:val="22"/>
          <w:bdr w:val="nil"/>
          <w:lang w:val="en-US" w:eastAsia="lt-LT"/>
        </w:rPr>
        <w:t xml:space="preserve"> (vardo </w:t>
      </w:r>
      <w:proofErr w:type="spellStart"/>
      <w:r w:rsidRPr="008B72F0">
        <w:rPr>
          <w:rFonts w:ascii="Times New Roman" w:eastAsia="Arial Unicode MS" w:hAnsi="Times New Roman" w:cs="Arial Unicode MS"/>
          <w:color w:val="000000"/>
          <w:szCs w:val="22"/>
          <w:bdr w:val="nil"/>
          <w:lang w:val="en-US" w:eastAsia="lt-LT"/>
        </w:rPr>
        <w:t>raidę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pavardę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datą</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antspaudą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pasilieka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prašyti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originalų</w:t>
      </w:r>
      <w:proofErr w:type="spellEnd"/>
      <w:r w:rsidRPr="008B72F0">
        <w:rPr>
          <w:rFonts w:ascii="Times New Roman" w:eastAsia="Arial Unicode MS" w:hAnsi="Times New Roman" w:cs="Arial Unicode MS"/>
          <w:color w:val="000000"/>
          <w:szCs w:val="22"/>
          <w:bdr w:val="nil"/>
          <w:lang w:val="en-US" w:eastAsia="lt-LT"/>
        </w:rPr>
        <w:t>;</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įrodantys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legalizuojami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vadovaujantis</w:t>
      </w:r>
      <w:proofErr w:type="spellEnd"/>
      <w:r w:rsidRPr="008B72F0">
        <w:rPr>
          <w:rFonts w:ascii="Times New Roman" w:eastAsia="Arial Unicode MS" w:hAnsi="Times New Roman" w:cs="Arial Unicode MS"/>
          <w:color w:val="000000"/>
          <w:szCs w:val="22"/>
          <w:bdr w:val="nil"/>
          <w:lang w:val="en-US" w:eastAsia="lt-LT"/>
        </w:rPr>
        <w:t xml:space="preserve"> Lietuvos </w:t>
      </w:r>
      <w:proofErr w:type="spellStart"/>
      <w:r w:rsidRPr="008B72F0">
        <w:rPr>
          <w:rFonts w:ascii="Times New Roman" w:eastAsia="Arial Unicode MS" w:hAnsi="Times New Roman" w:cs="Arial Unicode MS"/>
          <w:color w:val="000000"/>
          <w:szCs w:val="22"/>
          <w:bdr w:val="nil"/>
          <w:lang w:val="en-US" w:eastAsia="lt-LT"/>
        </w:rPr>
        <w:t>Respublikos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Vyriausybės</w:t>
      </w:r>
      <w:proofErr w:type="spellEnd"/>
      <w:r w:rsidRPr="008B72F0">
        <w:rPr>
          <w:rFonts w:ascii="Times New Roman" w:eastAsia="Arial Unicode MS" w:hAnsi="Times New Roman" w:cs="Arial Unicode MS"/>
          <w:color w:val="000000"/>
          <w:szCs w:val="22"/>
          <w:bdr w:val="nil"/>
          <w:lang w:val="en-US" w:eastAsia="lt-LT"/>
        </w:rPr>
        <w:t xml:space="preserve"> 2006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30 d. </w:t>
      </w:r>
      <w:proofErr w:type="spellStart"/>
      <w:r w:rsidRPr="008B72F0">
        <w:rPr>
          <w:rFonts w:ascii="Times New Roman" w:eastAsia="Arial Unicode MS" w:hAnsi="Times New Roman" w:cs="Arial Unicode MS"/>
          <w:color w:val="000000"/>
          <w:szCs w:val="22"/>
          <w:bdr w:val="nil"/>
          <w:lang w:val="en-US" w:eastAsia="lt-LT"/>
        </w:rPr>
        <w:t>nutarimu</w:t>
      </w:r>
      <w:proofErr w:type="spellEnd"/>
      <w:r w:rsidRPr="008B72F0">
        <w:rPr>
          <w:rFonts w:ascii="Times New Roman" w:eastAsia="Arial Unicode MS" w:hAnsi="Times New Roman" w:cs="Arial Unicode MS"/>
          <w:color w:val="000000"/>
          <w:szCs w:val="22"/>
          <w:bdr w:val="nil"/>
          <w:lang w:val="en-US" w:eastAsia="lt-LT"/>
        </w:rPr>
        <w:t xml:space="preserve"> Nr. 1079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tvirtinimo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pažyma</w:t>
      </w:r>
      <w:proofErr w:type="spellEnd"/>
      <w:r w:rsidRPr="008B72F0">
        <w:rPr>
          <w:rFonts w:ascii="Times New Roman" w:eastAsia="Arial Unicode MS" w:hAnsi="Times New Roman" w:cs="Arial Unicode MS"/>
          <w:color w:val="000000"/>
          <w:szCs w:val="22"/>
          <w:bdr w:val="nil"/>
          <w:lang w:val="en-US" w:eastAsia="lt-LT"/>
        </w:rPr>
        <w:t xml:space="preserve"> (Apostille) </w:t>
      </w:r>
      <w:proofErr w:type="spellStart"/>
      <w:r w:rsidRPr="008B72F0">
        <w:rPr>
          <w:rFonts w:ascii="Times New Roman" w:eastAsia="Arial Unicode MS" w:hAnsi="Times New Roman" w:cs="Arial Unicode MS"/>
          <w:color w:val="000000"/>
          <w:szCs w:val="22"/>
          <w:bdr w:val="nil"/>
          <w:lang w:val="en-US" w:eastAsia="lt-LT"/>
        </w:rPr>
        <w:t>tvarkos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aprašo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patvirtinimo</w:t>
      </w:r>
      <w:proofErr w:type="spellEnd"/>
      <w:r w:rsidRPr="008B72F0">
        <w:rPr>
          <w:rFonts w:ascii="Times New Roman" w:eastAsia="Arial Unicode MS" w:hAnsi="Times New Roman" w:cs="Arial Unicode MS"/>
          <w:color w:val="000000"/>
          <w:szCs w:val="22"/>
          <w:bdr w:val="nil"/>
          <w:lang w:val="en-US" w:eastAsia="lt-LT"/>
        </w:rPr>
        <w:t>“ (</w:t>
      </w:r>
      <w:proofErr w:type="spellStart"/>
      <w:proofErr w:type="gramEnd"/>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xml:space="preserve">., 2006, Nr. 118-4477) ir 1961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5 d. Hagos </w:t>
      </w:r>
      <w:proofErr w:type="spellStart"/>
      <w:r w:rsidRPr="008B72F0">
        <w:rPr>
          <w:rFonts w:ascii="Times New Roman" w:eastAsia="Arial Unicode MS" w:hAnsi="Times New Roman" w:cs="Arial Unicode MS"/>
          <w:color w:val="000000"/>
          <w:szCs w:val="22"/>
          <w:bdr w:val="nil"/>
          <w:lang w:val="en-US" w:eastAsia="lt-LT"/>
        </w:rPr>
        <w:t>konvencija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valstybėse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panaikinimo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3.4.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neatitinkančio</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3.5.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melagingą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informaciją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įrodyti</w:t>
      </w:r>
      <w:proofErr w:type="spellEnd"/>
      <w:r w:rsidRPr="008B72F0">
        <w:rPr>
          <w:rFonts w:ascii="Times New Roman" w:eastAsia="Arial Unicode MS" w:hAnsi="Times New Roman" w:cs="Arial Unicode MS"/>
          <w:color w:val="000000"/>
          <w:szCs w:val="22"/>
          <w:bdr w:val="nil"/>
          <w:lang w:val="en-US" w:eastAsia="lt-LT"/>
        </w:rPr>
        <w:t xml:space="preserve"> bet </w:t>
      </w:r>
      <w:proofErr w:type="spellStart"/>
      <w:r w:rsidRPr="008B72F0">
        <w:rPr>
          <w:rFonts w:ascii="Times New Roman" w:eastAsia="Arial Unicode MS" w:hAnsi="Times New Roman" w:cs="Arial Unicode MS"/>
          <w:color w:val="000000"/>
          <w:szCs w:val="22"/>
          <w:bdr w:val="nil"/>
          <w:lang w:val="en-US" w:eastAsia="lt-LT"/>
        </w:rPr>
        <w:t>kokiomis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teisėtomis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priemonėmis</w:t>
      </w:r>
      <w:proofErr w:type="spellEnd"/>
      <w:r w:rsidRPr="008B72F0">
        <w:rPr>
          <w:rFonts w:ascii="Times New Roman" w:eastAsia="Arial Unicode MS" w:hAnsi="Times New Roman" w:cs="Arial Unicode MS"/>
          <w:color w:val="000000"/>
          <w:szCs w:val="22"/>
          <w:bdr w:val="nil"/>
          <w:lang w:val="en-US" w:eastAsia="lt-LT"/>
        </w:rPr>
        <w:t>.</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w:t>
      </w:r>
      <w:proofErr w:type="spellStart"/>
      <w:r w:rsidRPr="008B72F0">
        <w:rPr>
          <w:rFonts w:ascii="Times New Roman" w:eastAsia="Arial Unicode MS" w:hAnsi="Times New Roman" w:cs="Arial Unicode MS"/>
          <w:color w:val="000000"/>
          <w:szCs w:val="22"/>
          <w:bdr w:val="nil"/>
          <w:lang w:val="en-US" w:eastAsia="lt-LT"/>
        </w:rPr>
        <w:t>Kvalifikaciniai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 xml:space="preserve">3.6.1. Jei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konkurso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sąlygų</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punkte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atitikti</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dokumentus</w:t>
      </w:r>
      <w:proofErr w:type="spellEnd"/>
      <w:r w:rsidRPr="008B72F0">
        <w:rPr>
          <w:rFonts w:ascii="Times New Roman" w:eastAsia="Arial Unicode MS" w:hAnsi="Times New Roman" w:cs="Arial Unicode MS"/>
          <w:color w:val="000000"/>
          <w:szCs w:val="22"/>
          <w:bdr w:val="nil"/>
          <w:lang w:val="en-US" w:eastAsia="lt-LT"/>
        </w:rPr>
        <w:t xml:space="preserve"> bent </w:t>
      </w:r>
      <w:proofErr w:type="spellStart"/>
      <w:r w:rsidRPr="008B72F0">
        <w:rPr>
          <w:rFonts w:ascii="Times New Roman" w:eastAsia="Arial Unicode MS" w:hAnsi="Times New Roman" w:cs="Arial Unicode MS"/>
          <w:color w:val="000000"/>
          <w:szCs w:val="22"/>
          <w:bdr w:val="nil"/>
          <w:lang w:val="en-US" w:eastAsia="lt-LT"/>
        </w:rPr>
        <w:t>vienas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kartu</w:t>
      </w:r>
      <w:proofErr w:type="spellEnd"/>
      <w:r w:rsidRPr="008B72F0">
        <w:rPr>
          <w:rFonts w:ascii="Times New Roman" w:eastAsia="Arial Unicode MS" w:hAnsi="Times New Roman" w:cs="Arial Unicode MS"/>
          <w:color w:val="000000"/>
          <w:szCs w:val="22"/>
          <w:bdr w:val="nil"/>
          <w:lang w:val="en-US" w:eastAsia="lt-LT"/>
        </w:rPr>
        <w:t>.</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proofErr w:type="spellStart"/>
      <w:r w:rsidRPr="008B72F0">
        <w:rPr>
          <w:rFonts w:ascii="Times New Roman" w:eastAsia="Arial Unicode MS" w:hAnsi="Times New Roman"/>
          <w:color w:val="000000"/>
          <w:szCs w:val="22"/>
          <w:bdr w:val="nil"/>
          <w:lang w:val="en-US" w:eastAsia="lt-LT"/>
        </w:rPr>
        <w:t>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kiekvienos</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s-ES_tradnl" w:eastAsia="lt-LT"/>
        </w:rPr>
        <w:t>bendr</w:t>
      </w:r>
      <w:proofErr w:type="spellEnd"/>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vertę</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solidarią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nevykdymą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Taip</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pat</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turėtų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bendrauti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kylanč</w:t>
      </w:r>
      <w:proofErr w:type="spellEnd"/>
      <w:r w:rsidRPr="008B72F0">
        <w:rPr>
          <w:rFonts w:ascii="Times New Roman" w:eastAsia="Arial Unicode MS" w:hAnsi="Times New Roman"/>
          <w:color w:val="000000"/>
          <w:szCs w:val="22"/>
          <w:bdr w:val="nil"/>
          <w:lang w:val="pt-PT" w:eastAsia="lt-LT"/>
        </w:rPr>
        <w:t>iais klausimais ir teikti su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nereikalauja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w:t>
      </w:r>
      <w:r w:rsidRPr="008B72F0">
        <w:rPr>
          <w:rFonts w:ascii="Times New Roman" w:eastAsia="Arial Unicode MS" w:hAnsi="Times New Roman"/>
          <w:color w:val="000000"/>
          <w:szCs w:val="22"/>
          <w:bdr w:val="nil"/>
          <w:lang w:val="de-DE" w:eastAsia="lt-LT"/>
        </w:rPr>
        <w:t>inus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geriausiu</w:t>
      </w:r>
      <w:proofErr w:type="spellEnd"/>
      <w:r w:rsidRPr="008B72F0">
        <w:rPr>
          <w:rFonts w:ascii="Times New Roman" w:eastAsia="Arial Unicode MS" w:hAnsi="Times New Roman"/>
          <w:color w:val="000000"/>
          <w:szCs w:val="22"/>
          <w:bdr w:val="nil"/>
          <w:lang w:val="de-DE" w:eastAsia="lt-LT"/>
        </w:rPr>
        <w:t xml:space="preserve"> ir </w:t>
      </w:r>
      <w:proofErr w:type="spellStart"/>
      <w:r w:rsidRPr="008B72F0">
        <w:rPr>
          <w:rFonts w:ascii="Times New Roman" w:eastAsia="Arial Unicode MS" w:hAnsi="Times New Roman"/>
          <w:color w:val="000000"/>
          <w:szCs w:val="22"/>
          <w:bdr w:val="nil"/>
          <w:lang w:val="de-DE" w:eastAsia="lt-LT"/>
        </w:rPr>
        <w:t>perkan</w:t>
      </w:r>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į</w:t>
      </w:r>
      <w:proofErr w:type="spellStart"/>
      <w:r w:rsidRPr="008B72F0">
        <w:rPr>
          <w:rFonts w:ascii="Times New Roman" w:eastAsia="Arial Unicode MS" w:hAnsi="Times New Roman"/>
          <w:color w:val="000000"/>
          <w:szCs w:val="22"/>
          <w:bdr w:val="nil"/>
          <w:lang w:val="fr-FR" w:eastAsia="lt-LT"/>
        </w:rPr>
        <w:t>gaut</w:t>
      </w:r>
      <w:proofErr w:type="spellEnd"/>
      <w:r w:rsidRPr="008B72F0">
        <w:rPr>
          <w:rFonts w:ascii="Times New Roman" w:eastAsia="Arial Unicode MS" w:hAnsi="Times New Roman"/>
          <w:color w:val="000000"/>
          <w:szCs w:val="22"/>
          <w:bdr w:val="nil"/>
          <w:lang w:val="en-US" w:eastAsia="lt-LT"/>
        </w:rPr>
        <w:t xml:space="preserve">ų tam </w:t>
      </w:r>
      <w:proofErr w:type="spellStart"/>
      <w:r w:rsidRPr="008B72F0">
        <w:rPr>
          <w:rFonts w:ascii="Times New Roman" w:eastAsia="Arial Unicode MS" w:hAnsi="Times New Roman"/>
          <w:color w:val="000000"/>
          <w:szCs w:val="22"/>
          <w:bdr w:val="nil"/>
          <w:lang w:val="en-US" w:eastAsia="lt-LT"/>
        </w:rPr>
        <w:t>tikrą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formą</w:t>
      </w:r>
      <w:proofErr w:type="spellEnd"/>
      <w:r w:rsidRPr="008B72F0">
        <w:rPr>
          <w:rFonts w:ascii="Times New Roman" w:eastAsia="Arial Unicode MS" w:hAnsi="Times New Roman"/>
          <w:color w:val="000000"/>
          <w:szCs w:val="22"/>
          <w:bdr w:val="nil"/>
          <w:lang w:val="en-US" w:eastAsia="lt-LT"/>
        </w:rPr>
        <w:t>.</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r w:rsidRPr="008B72F0">
        <w:rPr>
          <w:rFonts w:ascii="Times New Roman" w:eastAsia="Arial Unicode MS" w:hAnsi="Times New Roman"/>
          <w:color w:val="000000"/>
          <w:szCs w:val="22"/>
          <w:bdr w:val="nil"/>
          <w:lang w:val="fr-FR" w:eastAsia="lt-LT"/>
        </w:rPr>
        <w:t>gumais</w:t>
      </w:r>
      <w:proofErr w:type="spellEnd"/>
      <w:r w:rsidRPr="008B72F0">
        <w:rPr>
          <w:rFonts w:ascii="Times New Roman" w:eastAsia="Arial Unicode MS" w:hAnsi="Times New Roman"/>
          <w:color w:val="000000"/>
          <w:szCs w:val="22"/>
          <w:bdr w:val="nil"/>
          <w:lang w:val="fr-FR" w:eastAsia="lt-LT"/>
        </w:rPr>
        <w:t xml:space="preserve">, </w:t>
      </w:r>
      <w:proofErr w:type="spellStart"/>
      <w:r w:rsidRPr="008B72F0">
        <w:rPr>
          <w:rFonts w:ascii="Times New Roman" w:eastAsia="Arial Unicode MS" w:hAnsi="Times New Roman"/>
          <w:color w:val="000000"/>
          <w:szCs w:val="22"/>
          <w:bdr w:val="nil"/>
          <w:lang w:val="en-US" w:eastAsia="lt-LT"/>
        </w:rPr>
        <w:t>siekdamas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 xml:space="preserve">jas remiasi tokiais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buvo pasiremta, i</w:t>
      </w:r>
      <w:proofErr w:type="spellStart"/>
      <w:r w:rsidRPr="008B72F0">
        <w:rPr>
          <w:rFonts w:ascii="Times New Roman" w:eastAsia="Arial Unicode MS" w:hAnsi="Times New Roman"/>
          <w:color w:val="000000"/>
          <w:szCs w:val="22"/>
          <w:bdr w:val="nil"/>
          <w:lang w:val="en-US" w:eastAsia="lt-LT"/>
        </w:rPr>
        <w:t>štekliai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siekiant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pasiremta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trečiųjų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tiesiogiai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de-DE" w:eastAsia="lt-LT"/>
        </w:rPr>
        <w:t>konkurse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paj</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pat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jis gal</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išviešinti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 xml:space="preserve">ir </w:t>
      </w:r>
      <w:proofErr w:type="spellStart"/>
      <w:r w:rsidRPr="008B72F0">
        <w:rPr>
          <w:rFonts w:ascii="Times New Roman" w:eastAsia="Arial Unicode MS" w:hAnsi="Times New Roman"/>
          <w:color w:val="000000"/>
          <w:szCs w:val="22"/>
          <w:bdr w:val="nil"/>
          <w:lang w:val="de-DE" w:eastAsia="lt-LT"/>
        </w:rPr>
        <w:t>neb</w:t>
      </w:r>
      <w:r w:rsidRPr="008B72F0">
        <w:rPr>
          <w:rFonts w:ascii="Times New Roman" w:eastAsia="Arial Unicode MS" w:hAnsi="Times New Roman"/>
          <w:color w:val="000000"/>
          <w:szCs w:val="22"/>
          <w:bdr w:val="nil"/>
          <w:lang w:val="en-US" w:eastAsia="lt-LT"/>
        </w:rPr>
        <w:t>ūtina</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pačiomis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w:t>
      </w:r>
      <w:proofErr w:type="spellStart"/>
      <w:r w:rsidRPr="008B72F0">
        <w:rPr>
          <w:rFonts w:ascii="Times New Roman" w:eastAsia="Arial Unicode MS" w:hAnsi="Times New Roman"/>
          <w:color w:val="000000"/>
          <w:szCs w:val="22"/>
          <w:bdr w:val="nil"/>
          <w:lang w:val="en-US" w:eastAsia="lt-LT"/>
        </w:rPr>
        <w:t>Galimybę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pasinaudoti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reikalingais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atitinkamos</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tikrina</w:t>
      </w:r>
      <w:proofErr w:type="spellEnd"/>
      <w:r w:rsidRPr="008B72F0">
        <w:rPr>
          <w:rFonts w:ascii="Times New Roman" w:eastAsia="Arial Unicode MS" w:hAnsi="Times New Roman"/>
          <w:color w:val="000000"/>
          <w:szCs w:val="22"/>
          <w:bdr w:val="nil"/>
          <w:lang w:val="nl-NL" w:eastAsia="lt-LT"/>
        </w:rPr>
        <w:t xml:space="preserve">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įrodančius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prieinamumą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kopijo</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kurios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patvirtint</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galimi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daugiau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es-ES_tradnl" w:eastAsia="lt-LT"/>
        </w:rPr>
        <w:t>lymas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alternatyvus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alternatyvū</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proofErr w:type="spellStart"/>
      <w:r w:rsidRPr="008B72F0">
        <w:rPr>
          <w:rFonts w:ascii="Times New Roman" w:eastAsia="Calibri" w:hAnsi="Times New Roman"/>
          <w:szCs w:val="22"/>
        </w:rPr>
        <w:t>čioji</w:t>
      </w:r>
      <w:proofErr w:type="spellEnd"/>
      <w:r w:rsidRPr="008B72F0">
        <w:rPr>
          <w:rFonts w:ascii="Times New Roman" w:eastAsia="Calibri" w:hAnsi="Times New Roman"/>
          <w:szCs w:val="22"/>
        </w:rPr>
        <w:t xml:space="preserve"> organizacija reikalauja pasiūlymus teikti tik elektroninėmis priemonėmis naudojant CVP IS. Pasiūlymai popierinėje laikmenoje, jei tokie būtų pateikti, bus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neatpl</w:t>
      </w:r>
      <w:proofErr w:type="spellStart"/>
      <w:r w:rsidRPr="008B72F0">
        <w:rPr>
          <w:rFonts w:ascii="Times New Roman" w:eastAsia="Calibri" w:hAnsi="Times New Roman"/>
          <w:szCs w:val="22"/>
        </w:rPr>
        <w:t>ėšti</w:t>
      </w:r>
      <w:proofErr w:type="spellEnd"/>
      <w:r w:rsidRPr="008B72F0">
        <w:rPr>
          <w:rFonts w:ascii="Times New Roman" w:eastAsia="Calibri" w:hAnsi="Times New Roman"/>
          <w:szCs w:val="22"/>
        </w:rPr>
        <w:t xml:space="preserve"> tiekėjui (kurjeriui) ar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registruotu lai</w:t>
      </w:r>
      <w:proofErr w:type="spellStart"/>
      <w:r w:rsidRPr="008B72F0">
        <w:rPr>
          <w:rFonts w:ascii="Times New Roman" w:eastAsia="Calibri" w:hAnsi="Times New Roman"/>
          <w:szCs w:val="22"/>
        </w:rPr>
        <w:t>šku</w:t>
      </w:r>
      <w:proofErr w:type="spellEnd"/>
      <w:r w:rsidRPr="008B72F0">
        <w:rPr>
          <w:rFonts w:ascii="Times New Roman" w:eastAsia="Calibri" w:hAnsi="Times New Roman"/>
          <w:szCs w:val="22"/>
        </w:rPr>
        <w:t xml:space="preserve">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w:t>
      </w:r>
      <w:proofErr w:type="spellStart"/>
      <w:r w:rsidRPr="008B72F0">
        <w:rPr>
          <w:rFonts w:ascii="Times New Roman" w:eastAsia="Calibri" w:hAnsi="Times New Roman"/>
          <w:szCs w:val="22"/>
        </w:rPr>
        <w:t>paž</w:t>
      </w:r>
      <w:r w:rsidRPr="008B72F0">
        <w:rPr>
          <w:rFonts w:ascii="Times New Roman" w:eastAsia="Calibri" w:hAnsi="Times New Roman"/>
          <w:szCs w:val="22"/>
          <w:lang w:val="es-ES_tradnl"/>
        </w:rPr>
        <w:t>ymos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licencijos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jungtin</w:t>
      </w:r>
      <w:proofErr w:type="spellEnd"/>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proofErr w:type="spellStart"/>
      <w:r w:rsidRPr="008B72F0">
        <w:rPr>
          <w:rFonts w:ascii="Times New Roman" w:eastAsia="Calibri" w:hAnsi="Times New Roman"/>
          <w:szCs w:val="22"/>
          <w:lang w:val="es-ES_tradnl"/>
        </w:rPr>
        <w:t>kopijos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turi</w:t>
      </w:r>
      <w:proofErr w:type="spellEnd"/>
      <w:r w:rsidRPr="008B72F0">
        <w:rPr>
          <w:rFonts w:ascii="Times New Roman" w:eastAsia="Calibri" w:hAnsi="Times New Roman"/>
          <w:szCs w:val="22"/>
          <w:lang w:val="es-ES_tradnl"/>
        </w:rPr>
        <w:t xml:space="preserve"> b</w:t>
      </w:r>
      <w:proofErr w:type="spellStart"/>
      <w:r w:rsidRPr="008B72F0">
        <w:rPr>
          <w:rFonts w:ascii="Times New Roman" w:eastAsia="Calibri" w:hAnsi="Times New Roman"/>
          <w:szCs w:val="22"/>
        </w:rPr>
        <w:t>ūti</w:t>
      </w:r>
      <w:proofErr w:type="spellEnd"/>
      <w:r w:rsidRPr="008B72F0">
        <w:rPr>
          <w:rFonts w:ascii="Times New Roman" w:eastAsia="Calibri" w:hAnsi="Times New Roman"/>
          <w:szCs w:val="22"/>
        </w:rPr>
        <w:t xml:space="preserve">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4C578F43"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proofErr w:type="spellStart"/>
      <w:r w:rsidRPr="008B72F0">
        <w:rPr>
          <w:rFonts w:ascii="Times New Roman" w:eastAsia="Arial Unicode MS" w:hAnsi="Times New Roman"/>
          <w:iCs/>
          <w:szCs w:val="22"/>
          <w:bdr w:val="nil"/>
          <w:lang w:val="en-US" w:eastAsia="lt-LT"/>
        </w:rPr>
        <w:t>Pasiūlymas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turi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būti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pateiktas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iki</w:t>
      </w:r>
      <w:proofErr w:type="spellEnd"/>
      <w:r w:rsidRPr="008B72F0">
        <w:rPr>
          <w:rFonts w:ascii="Times New Roman" w:eastAsia="Arial Unicode MS" w:hAnsi="Times New Roman"/>
          <w:iCs/>
          <w:szCs w:val="22"/>
          <w:bdr w:val="nil"/>
          <w:lang w:val="en-US" w:eastAsia="lt-LT"/>
        </w:rPr>
        <w:t xml:space="preserve"> </w:t>
      </w:r>
      <w:r w:rsidRPr="008B72F0">
        <w:rPr>
          <w:rFonts w:ascii="Times New Roman" w:eastAsia="Arial Unicode MS" w:hAnsi="Times New Roman"/>
          <w:b/>
          <w:iCs/>
          <w:szCs w:val="22"/>
          <w:bdr w:val="nil"/>
          <w:lang w:val="en-US" w:eastAsia="lt-LT"/>
        </w:rPr>
        <w:t>202</w:t>
      </w:r>
      <w:r w:rsidR="00243E66">
        <w:rPr>
          <w:rFonts w:ascii="Times New Roman" w:eastAsia="Arial Unicode MS" w:hAnsi="Times New Roman"/>
          <w:b/>
          <w:iCs/>
          <w:szCs w:val="22"/>
          <w:bdr w:val="nil"/>
          <w:lang w:val="en-US" w:eastAsia="lt-LT"/>
        </w:rPr>
        <w:t>5</w:t>
      </w:r>
      <w:r w:rsidRPr="008B72F0">
        <w:rPr>
          <w:rFonts w:ascii="Times New Roman" w:eastAsia="Arial Unicode MS" w:hAnsi="Times New Roman"/>
          <w:b/>
          <w:iCs/>
          <w:szCs w:val="22"/>
          <w:bdr w:val="nil"/>
          <w:lang w:val="en-US" w:eastAsia="lt-LT"/>
        </w:rPr>
        <w:t xml:space="preserve"> m.</w:t>
      </w:r>
      <w:r w:rsidR="00AD2CD2">
        <w:rPr>
          <w:rFonts w:ascii="Times New Roman" w:eastAsia="Arial Unicode MS" w:hAnsi="Times New Roman"/>
          <w:b/>
          <w:iCs/>
          <w:szCs w:val="22"/>
          <w:bdr w:val="nil"/>
          <w:lang w:val="en-US" w:eastAsia="lt-LT"/>
        </w:rPr>
        <w:t xml:space="preserve"> </w:t>
      </w:r>
      <w:proofErr w:type="spellStart"/>
      <w:r w:rsidR="00243E66">
        <w:rPr>
          <w:rFonts w:ascii="Times New Roman" w:eastAsia="Arial Unicode MS" w:hAnsi="Times New Roman"/>
          <w:b/>
          <w:iCs/>
          <w:szCs w:val="22"/>
          <w:bdr w:val="nil"/>
          <w:lang w:val="en-US" w:eastAsia="lt-LT"/>
        </w:rPr>
        <w:t>balandžio</w:t>
      </w:r>
      <w:proofErr w:type="spellEnd"/>
      <w:r w:rsidR="00AD2CD2">
        <w:rPr>
          <w:rFonts w:ascii="Times New Roman" w:eastAsia="Arial Unicode MS" w:hAnsi="Times New Roman"/>
          <w:b/>
          <w:iCs/>
          <w:szCs w:val="22"/>
          <w:bdr w:val="nil"/>
          <w:lang w:val="en-US" w:eastAsia="lt-LT"/>
        </w:rPr>
        <w:t xml:space="preserve"> </w:t>
      </w:r>
      <w:proofErr w:type="spellStart"/>
      <w:r w:rsidRPr="008B72F0">
        <w:rPr>
          <w:rFonts w:ascii="Times New Roman" w:eastAsia="Arial Unicode MS" w:hAnsi="Times New Roman"/>
          <w:b/>
          <w:iCs/>
          <w:szCs w:val="22"/>
          <w:bdr w:val="nil"/>
          <w:lang w:val="en-US" w:eastAsia="lt-LT"/>
        </w:rPr>
        <w:t>mėn</w:t>
      </w:r>
      <w:proofErr w:type="spellEnd"/>
      <w:r w:rsidRPr="008B72F0">
        <w:rPr>
          <w:rFonts w:ascii="Times New Roman" w:eastAsia="Arial Unicode MS" w:hAnsi="Times New Roman"/>
          <w:b/>
          <w:iCs/>
          <w:szCs w:val="22"/>
          <w:bdr w:val="nil"/>
          <w:lang w:val="en-US" w:eastAsia="lt-LT"/>
        </w:rPr>
        <w:t xml:space="preserve">. </w:t>
      </w:r>
      <w:r w:rsidR="00C137A9">
        <w:rPr>
          <w:rFonts w:ascii="Times New Roman" w:eastAsia="Arial Unicode MS" w:hAnsi="Times New Roman"/>
          <w:b/>
          <w:iCs/>
          <w:szCs w:val="22"/>
          <w:bdr w:val="nil"/>
          <w:lang w:val="en-US" w:eastAsia="lt-LT"/>
        </w:rPr>
        <w:t>1</w:t>
      </w:r>
      <w:r w:rsidR="00243E66">
        <w:rPr>
          <w:rFonts w:ascii="Times New Roman" w:eastAsia="Arial Unicode MS" w:hAnsi="Times New Roman"/>
          <w:b/>
          <w:iCs/>
          <w:szCs w:val="22"/>
          <w:bdr w:val="nil"/>
          <w:lang w:val="en-US" w:eastAsia="lt-LT"/>
        </w:rPr>
        <w:t>7</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w:t>
      </w:r>
      <w:proofErr w:type="spellStart"/>
      <w:r w:rsidRPr="008B72F0">
        <w:rPr>
          <w:rFonts w:ascii="Times New Roman" w:eastAsia="Arial Unicode MS" w:hAnsi="Times New Roman"/>
          <w:iCs/>
          <w:szCs w:val="22"/>
          <w:bdr w:val="nil"/>
          <w:lang w:val="en-US" w:eastAsia="lt-LT"/>
        </w:rPr>
        <w:t>Respublikos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laiku</w:t>
      </w:r>
      <w:proofErr w:type="spellEnd"/>
      <w:r w:rsidRPr="008B72F0">
        <w:rPr>
          <w:rFonts w:ascii="Times New Roman" w:eastAsia="Arial Unicode MS" w:hAnsi="Times New Roman"/>
          <w:iCs/>
          <w:szCs w:val="22"/>
          <w:bdr w:val="nil"/>
          <w:lang w:val="en-US" w:eastAsia="lt-LT"/>
        </w:rPr>
        <w:t xml:space="preserve">) tik </w:t>
      </w:r>
      <w:proofErr w:type="spellStart"/>
      <w:r w:rsidRPr="008B72F0">
        <w:rPr>
          <w:rFonts w:ascii="Times New Roman" w:eastAsia="Arial Unicode MS" w:hAnsi="Times New Roman"/>
          <w:iCs/>
          <w:szCs w:val="22"/>
          <w:bdr w:val="nil"/>
          <w:lang w:val="en-US" w:eastAsia="lt-LT"/>
        </w:rPr>
        <w:t>elektroninėmis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priemonėmis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naudojant</w:t>
      </w:r>
      <w:proofErr w:type="spellEnd"/>
      <w:r w:rsidRPr="008B72F0">
        <w:rPr>
          <w:rFonts w:ascii="Times New Roman" w:eastAsia="Arial Unicode MS" w:hAnsi="Times New Roman"/>
          <w:iCs/>
          <w:szCs w:val="22"/>
          <w:bdr w:val="nil"/>
          <w:lang w:val="en-US" w:eastAsia="lt-LT"/>
        </w:rPr>
        <w:t xml:space="preserve">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5.5. </w:t>
      </w:r>
      <w:proofErr w:type="spellStart"/>
      <w:r w:rsidRPr="008B72F0">
        <w:rPr>
          <w:rFonts w:ascii="Times New Roman" w:eastAsia="Arial Unicode MS" w:hAnsi="Times New Roman"/>
          <w:color w:val="000000"/>
          <w:szCs w:val="22"/>
          <w:bdr w:val="nil"/>
          <w:lang w:val="en-US" w:eastAsia="lt-LT"/>
        </w:rPr>
        <w:t>Susipažinti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5.6. </w:t>
      </w:r>
      <w:proofErr w:type="spellStart"/>
      <w:r w:rsidRPr="008B72F0">
        <w:rPr>
          <w:rFonts w:ascii="Times New Roman" w:eastAsia="Arial Unicode MS" w:hAnsi="Times New Roman"/>
          <w:color w:val="000000"/>
          <w:szCs w:val="22"/>
          <w:bdr w:val="nil"/>
          <w:lang w:val="en-US" w:eastAsia="lt-LT"/>
        </w:rPr>
        <w:t>Pateikdamas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patvirtina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teisinga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viską</w:t>
      </w:r>
      <w:proofErr w:type="spellEnd"/>
      <w:r w:rsidRPr="008B72F0">
        <w:rPr>
          <w:rFonts w:ascii="Times New Roman" w:eastAsia="Arial Unicode MS" w:hAnsi="Times New Roman"/>
          <w:color w:val="000000"/>
          <w:szCs w:val="22"/>
          <w:bdr w:val="nil"/>
          <w:lang w:val="en-US" w:eastAsia="lt-LT"/>
        </w:rPr>
        <w:t xml:space="preserve">,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5.7.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korespondencija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reikalaujami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lymo dokumentai negali b</w:t>
      </w:r>
      <w:proofErr w:type="spellStart"/>
      <w:r w:rsidRPr="008B72F0">
        <w:rPr>
          <w:rFonts w:ascii="Times New Roman" w:eastAsia="Arial Unicode MS" w:hAnsi="Times New Roman"/>
          <w:color w:val="000000"/>
          <w:szCs w:val="22"/>
          <w:bdr w:val="nil"/>
          <w:lang w:val="en-US" w:eastAsia="lt-LT"/>
        </w:rPr>
        <w:t>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kalba</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vertimą</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lietuvi</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kalbą</w:t>
      </w:r>
      <w:proofErr w:type="spellEnd"/>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 xml:space="preserve">ti </w:t>
      </w:r>
      <w:proofErr w:type="spellStart"/>
      <w:r w:rsidRPr="008B72F0">
        <w:rPr>
          <w:rFonts w:ascii="Times New Roman" w:eastAsia="Arial Unicode MS" w:hAnsi="Times New Roman"/>
          <w:color w:val="000000"/>
          <w:szCs w:val="22"/>
          <w:bdr w:val="nil"/>
          <w:lang w:val="es-ES_tradnl" w:eastAsia="lt-LT"/>
        </w:rPr>
        <w:t>patvirtintas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vert</w:t>
      </w:r>
      <w:proofErr w:type="spellEnd"/>
      <w:r w:rsidRPr="008B72F0">
        <w:rPr>
          <w:rFonts w:ascii="Times New Roman" w:eastAsia="Arial Unicode MS" w:hAnsi="Times New Roman"/>
          <w:color w:val="000000"/>
          <w:szCs w:val="22"/>
          <w:bdr w:val="nil"/>
          <w:lang w:val="en-US" w:eastAsia="lt-LT"/>
        </w:rPr>
        <w:t>ė</w:t>
      </w:r>
      <w:proofErr w:type="spellStart"/>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vertimo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biuro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antspaudu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nl-NL" w:eastAsia="lt-LT"/>
        </w:rPr>
        <w:t>iek</w:t>
      </w:r>
      <w:proofErr w:type="spellStart"/>
      <w:r w:rsidRPr="008B72F0">
        <w:rPr>
          <w:rFonts w:ascii="Times New Roman" w:eastAsia="Arial Unicode MS" w:hAnsi="Times New Roman"/>
          <w:color w:val="000000"/>
          <w:szCs w:val="22"/>
          <w:bdr w:val="nil"/>
          <w:lang w:val="en-US" w:eastAsia="lt-LT"/>
        </w:rPr>
        <w:t>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jo į</w:t>
      </w:r>
      <w:r w:rsidRPr="008B72F0">
        <w:rPr>
          <w:rFonts w:ascii="Times New Roman" w:eastAsia="Arial Unicode MS" w:hAnsi="Times New Roman"/>
          <w:color w:val="000000"/>
          <w:szCs w:val="22"/>
          <w:bdr w:val="nil"/>
          <w:lang w:val="pt-PT" w:eastAsia="lt-LT"/>
        </w:rPr>
        <w:t>galioto asmens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 xml:space="preserve">5.8. Pasiūlyme turi būti nurodytas jo galiojimo terminas. </w:t>
      </w:r>
      <w:proofErr w:type="spellStart"/>
      <w:r w:rsidRPr="008B72F0">
        <w:rPr>
          <w:rFonts w:ascii="Times New Roman" w:hAnsi="Times New Roman"/>
          <w:szCs w:val="22"/>
        </w:rPr>
        <w:t>Pasiū</w:t>
      </w:r>
      <w:proofErr w:type="spellEnd"/>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proofErr w:type="spellStart"/>
      <w:r w:rsidRPr="008B72F0">
        <w:rPr>
          <w:rFonts w:ascii="Times New Roman" w:hAnsi="Times New Roman"/>
          <w:szCs w:val="22"/>
        </w:rPr>
        <w:t>ūlyme</w:t>
      </w:r>
      <w:proofErr w:type="spellEnd"/>
      <w:r w:rsidRPr="008B72F0">
        <w:rPr>
          <w:rFonts w:ascii="Times New Roman" w:hAnsi="Times New Roman"/>
          <w:szCs w:val="22"/>
        </w:rPr>
        <w:t xml:space="preserv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5.9.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de-DE" w:eastAsia="lt-LT"/>
        </w:rPr>
        <w:t>lyme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nurodom</w:t>
      </w:r>
      <w:proofErr w:type="spellEnd"/>
      <w:r w:rsidRPr="008B72F0">
        <w:rPr>
          <w:rFonts w:ascii="Times New Roman" w:eastAsia="Arial Unicode MS" w:hAnsi="Times New Roman"/>
          <w:color w:val="000000"/>
          <w:szCs w:val="22"/>
          <w:bdr w:val="nil"/>
          <w:lang w:val="en-US" w:eastAsia="lt-LT"/>
        </w:rPr>
        <w:t xml:space="preserve">a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Apskaičiuojant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atsižvelgta</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visus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w:t>
      </w:r>
      <w:proofErr w:type="spellEnd"/>
      <w:r w:rsidRPr="008B72F0">
        <w:rPr>
          <w:rFonts w:ascii="Times New Roman" w:eastAsia="Arial Unicode MS" w:hAnsi="Times New Roman"/>
          <w:color w:val="000000"/>
          <w:szCs w:val="22"/>
          <w:bdr w:val="nil"/>
          <w:lang w:val="it-IT" w:eastAsia="lt-LT"/>
        </w:rPr>
        <w:t xml:space="preserve">ti </w:t>
      </w:r>
      <w:proofErr w:type="spellStart"/>
      <w:r w:rsidRPr="008B72F0">
        <w:rPr>
          <w:rFonts w:ascii="Times New Roman" w:eastAsia="Arial Unicode MS" w:hAnsi="Times New Roman"/>
          <w:color w:val="000000"/>
          <w:szCs w:val="22"/>
          <w:bdr w:val="nil"/>
          <w:lang w:val="en-US" w:eastAsia="lt-LT"/>
        </w:rPr>
        <w:t>įskaityti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mokesč</w:t>
      </w:r>
      <w:r w:rsidRPr="008B72F0">
        <w:rPr>
          <w:rFonts w:ascii="Times New Roman" w:eastAsia="Arial Unicode MS" w:hAnsi="Times New Roman"/>
          <w:color w:val="000000"/>
          <w:szCs w:val="22"/>
          <w:bdr w:val="nil"/>
          <w:lang w:val="es-ES_tradnl" w:eastAsia="lt-LT"/>
        </w:rPr>
        <w:t>iai</w:t>
      </w:r>
      <w:proofErr w:type="spellEnd"/>
      <w:r w:rsidRPr="008B72F0">
        <w:rPr>
          <w:rFonts w:ascii="Times New Roman" w:eastAsia="Arial Unicode MS" w:hAnsi="Times New Roman"/>
          <w:color w:val="000000"/>
          <w:szCs w:val="22"/>
          <w:bdr w:val="nil"/>
          <w:lang w:val="es-ES_tradnl" w:eastAsia="lt-LT"/>
        </w:rPr>
        <w:t xml:space="preserve"> ir visos </w:t>
      </w:r>
      <w:proofErr w:type="spellStart"/>
      <w:r w:rsidRPr="008B72F0">
        <w:rPr>
          <w:rFonts w:ascii="Times New Roman" w:eastAsia="Arial Unicode MS" w:hAnsi="Times New Roman"/>
          <w:color w:val="000000"/>
          <w:szCs w:val="22"/>
          <w:bdr w:val="nil"/>
          <w:lang w:val="es-ES_tradnl" w:eastAsia="lt-LT"/>
        </w:rPr>
        <w:t>tiek</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visk</w:t>
      </w:r>
      <w:proofErr w:type="spellEnd"/>
      <w:r w:rsidRPr="008B72F0">
        <w:rPr>
          <w:rFonts w:ascii="Times New Roman" w:eastAsia="Arial Unicode MS" w:hAnsi="Times New Roman"/>
          <w:color w:val="000000"/>
          <w:szCs w:val="22"/>
          <w:bdr w:val="nil"/>
          <w:lang w:val="en-US" w:eastAsia="lt-LT"/>
        </w:rPr>
        <w:t xml:space="preserve">ą,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visiškam</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 xml:space="preserve">.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prat</w:t>
      </w:r>
      <w:proofErr w:type="spellStart"/>
      <w:r w:rsidRPr="008B72F0">
        <w:rPr>
          <w:rFonts w:ascii="Times New Roman" w:eastAsia="Arial Unicode MS" w:hAnsi="Times New Roman"/>
          <w:color w:val="000000"/>
          <w:szCs w:val="22"/>
          <w:bdr w:val="nil"/>
          <w:lang w:val="en-US" w:eastAsia="lt-LT"/>
        </w:rPr>
        <w: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paskelbia</w:t>
      </w:r>
      <w:proofErr w:type="spellEnd"/>
      <w:r w:rsidRPr="008B72F0">
        <w:rPr>
          <w:rFonts w:ascii="Times New Roman" w:eastAsia="Arial Unicode MS" w:hAnsi="Times New Roman"/>
          <w:color w:val="000000"/>
          <w:szCs w:val="22"/>
          <w:bdr w:val="nil"/>
          <w:lang w:val="en-US" w:eastAsia="lt-LT"/>
        </w:rPr>
        <w:t xml:space="preserve"> CVP IS ir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prisijungusiems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w:t>
      </w:r>
      <w:proofErr w:type="spellStart"/>
      <w:r w:rsidRPr="008B72F0">
        <w:rPr>
          <w:rFonts w:ascii="Times New Roman" w:eastAsia="Arial Unicode MS" w:hAnsi="Times New Roman"/>
          <w:szCs w:val="22"/>
          <w:bdr w:val="nil"/>
          <w:lang w:val="en-US" w:eastAsia="lt-LT"/>
        </w:rPr>
        <w:t>Pasiūlymas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turi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pateikiamas</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proofErr w:type="spellStart"/>
      <w:r w:rsidRPr="008B72F0">
        <w:rPr>
          <w:rFonts w:ascii="Times New Roman" w:eastAsia="Arial Unicode MS" w:hAnsi="Times New Roman"/>
          <w:iCs/>
          <w:color w:val="000000"/>
          <w:szCs w:val="22"/>
          <w:bdr w:val="nil"/>
          <w:lang w:val="en-US" w:eastAsia="lt-LT"/>
        </w:rPr>
        <w:t>Užpildyta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pasiūlymo</w:t>
      </w:r>
      <w:proofErr w:type="spellEnd"/>
      <w:r w:rsidRPr="008B72F0">
        <w:rPr>
          <w:rFonts w:ascii="Times New Roman" w:eastAsia="Arial Unicode MS" w:hAnsi="Times New Roman"/>
          <w:iCs/>
          <w:color w:val="000000"/>
          <w:szCs w:val="22"/>
          <w:bdr w:val="nil"/>
          <w:lang w:val="en-US" w:eastAsia="lt-LT"/>
        </w:rPr>
        <w:t xml:space="preserve"> forma, </w:t>
      </w:r>
      <w:proofErr w:type="spellStart"/>
      <w:r w:rsidRPr="008B72F0">
        <w:rPr>
          <w:rFonts w:ascii="Times New Roman" w:eastAsia="Arial Unicode MS" w:hAnsi="Times New Roman"/>
          <w:iCs/>
          <w:color w:val="000000"/>
          <w:szCs w:val="22"/>
          <w:bdr w:val="nil"/>
          <w:lang w:val="en-US" w:eastAsia="lt-LT"/>
        </w:rPr>
        <w:t>parengta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pagal</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šių</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konkurso</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sąlygų</w:t>
      </w:r>
      <w:proofErr w:type="spellEnd"/>
      <w:r w:rsidRPr="008B72F0">
        <w:rPr>
          <w:rFonts w:ascii="Times New Roman" w:eastAsia="Arial Unicode MS" w:hAnsi="Times New Roman"/>
          <w:iCs/>
          <w:color w:val="000000"/>
          <w:szCs w:val="22"/>
          <w:bdr w:val="nil"/>
          <w:lang w:val="en-US" w:eastAsia="lt-LT"/>
        </w:rPr>
        <w:t xml:space="preserve"> 1 </w:t>
      </w:r>
      <w:proofErr w:type="spellStart"/>
      <w:r w:rsidRPr="008B72F0">
        <w:rPr>
          <w:rFonts w:ascii="Times New Roman" w:eastAsia="Arial Unicode MS" w:hAnsi="Times New Roman"/>
          <w:iCs/>
          <w:color w:val="000000"/>
          <w:szCs w:val="22"/>
          <w:bdr w:val="nil"/>
          <w:lang w:val="en-US" w:eastAsia="lt-LT"/>
        </w:rPr>
        <w:t>priedą</w:t>
      </w:r>
      <w:proofErr w:type="spellEnd"/>
      <w:r w:rsidRPr="008B72F0">
        <w:rPr>
          <w:rFonts w:ascii="Times New Roman" w:eastAsia="Arial Unicode MS" w:hAnsi="Times New Roman"/>
          <w:iCs/>
          <w:color w:val="000000"/>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užpildant</w:t>
      </w:r>
      <w:proofErr w:type="spellEnd"/>
      <w:r w:rsidRPr="008B72F0">
        <w:rPr>
          <w:rFonts w:ascii="Times New Roman" w:eastAsia="Arial Unicode MS" w:hAnsi="Times New Roman"/>
          <w:color w:val="000000"/>
          <w:szCs w:val="22"/>
          <w:bdr w:val="nil"/>
          <w:lang w:val="en-US" w:eastAsia="lt-LT"/>
        </w:rPr>
        <w:t xml:space="preserve"> visas </w:t>
      </w:r>
      <w:proofErr w:type="spellStart"/>
      <w:r w:rsidRPr="008B72F0">
        <w:rPr>
          <w:rFonts w:ascii="Times New Roman" w:eastAsia="Arial Unicode MS" w:hAnsi="Times New Roman"/>
          <w:color w:val="000000"/>
          <w:szCs w:val="22"/>
          <w:bdr w:val="nil"/>
          <w:lang w:val="en-US" w:eastAsia="lt-LT"/>
        </w:rPr>
        <w:t>šiame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tiksliai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ne </w:t>
      </w:r>
      <w:proofErr w:type="spellStart"/>
      <w:r w:rsidRPr="008B72F0">
        <w:rPr>
          <w:rFonts w:ascii="Times New Roman" w:eastAsia="Arial Unicode MS" w:hAnsi="Times New Roman"/>
          <w:color w:val="000000"/>
          <w:szCs w:val="22"/>
          <w:bdr w:val="nil"/>
          <w:lang w:val="en-US" w:eastAsia="lt-LT"/>
        </w:rPr>
        <w:t>skenuota</w:t>
      </w:r>
      <w:proofErr w:type="spellEnd"/>
      <w:r w:rsidRPr="008B72F0">
        <w:rPr>
          <w:rFonts w:ascii="Times New Roman" w:eastAsia="Arial Unicode MS" w:hAnsi="Times New Roman"/>
          <w:color w:val="000000"/>
          <w:szCs w:val="22"/>
          <w:bdr w:val="nil"/>
          <w:lang w:val="en-US" w:eastAsia="lt-LT"/>
        </w:rPr>
        <w:t xml:space="preserve"> forma, bet </w:t>
      </w:r>
      <w:proofErr w:type="spellStart"/>
      <w:r w:rsidRPr="008B72F0">
        <w:rPr>
          <w:rFonts w:ascii="Times New Roman" w:eastAsia="Arial Unicode MS" w:hAnsi="Times New Roman"/>
          <w:bCs/>
          <w:color w:val="000000"/>
          <w:szCs w:val="22"/>
          <w:bdr w:val="nil"/>
          <w:lang w:val="en-US" w:eastAsia="lt-LT"/>
        </w:rPr>
        <w:t>prisegant</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atskiru</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dokumentu</w:t>
      </w:r>
      <w:proofErr w:type="spellEnd"/>
      <w:r w:rsidRPr="008B72F0">
        <w:rPr>
          <w:rFonts w:ascii="Times New Roman" w:eastAsia="Arial Unicode MS" w:hAnsi="Times New Roman"/>
          <w:bCs/>
          <w:color w:val="000000"/>
          <w:szCs w:val="22"/>
          <w:bdr w:val="nil"/>
          <w:lang w:val="en-US" w:eastAsia="lt-LT"/>
        </w:rPr>
        <w:t xml:space="preserve"> Microsoft Word (Excel)</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visuotinai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teksto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redagavimo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programa</w:t>
      </w:r>
      <w:proofErr w:type="spellEnd"/>
      <w:r w:rsidRPr="008B72F0">
        <w:rPr>
          <w:rFonts w:ascii="Times New Roman" w:eastAsia="Arial Unicode MS" w:hAnsi="Times New Roman"/>
          <w:color w:val="000000"/>
          <w:szCs w:val="22"/>
          <w:bdr w:val="nil"/>
          <w:lang w:val="en-US" w:eastAsia="lt-LT"/>
        </w:rPr>
        <w:t xml:space="preserve">.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Įgaliojimas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pasirašyti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Galimybę</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pasinaudoti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kitų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ūkio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subjektų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ištekliais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patvirtinantys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5.12.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sudaro</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 xml:space="preserve">mis </w:t>
      </w:r>
      <w:proofErr w:type="spellStart"/>
      <w:r w:rsidRPr="008B72F0">
        <w:rPr>
          <w:rFonts w:ascii="Times New Roman" w:eastAsia="Arial Unicode MS" w:hAnsi="Times New Roman"/>
          <w:szCs w:val="22"/>
          <w:bdr w:val="nil"/>
          <w:lang w:val="en-US" w:eastAsia="lt-LT"/>
        </w:rPr>
        <w:t>pateiktos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informacijos</w:t>
      </w:r>
      <w:proofErr w:type="spellEnd"/>
      <w:r w:rsidRPr="008B72F0">
        <w:rPr>
          <w:rFonts w:ascii="Times New Roman" w:eastAsia="Arial Unicode MS" w:hAnsi="Times New Roman"/>
          <w:szCs w:val="22"/>
          <w:bdr w:val="nil"/>
          <w:lang w:val="en-US" w:eastAsia="lt-LT"/>
        </w:rPr>
        <w:t xml:space="preserve"> ir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visuma</w:t>
      </w:r>
      <w:proofErr w:type="spellEnd"/>
      <w:r w:rsidRPr="008B72F0">
        <w:rPr>
          <w:rFonts w:ascii="Times New Roman" w:eastAsia="Arial Unicode MS" w:hAnsi="Times New Roman"/>
          <w:szCs w:val="22"/>
          <w:bdr w:val="nil"/>
          <w:lang w:val="en-US" w:eastAsia="lt-LT"/>
        </w:rPr>
        <w:t>.</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5.13.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bet ja </w:t>
      </w:r>
      <w:proofErr w:type="spellStart"/>
      <w:r w:rsidRPr="008B72F0">
        <w:rPr>
          <w:rFonts w:ascii="Times New Roman" w:eastAsia="Arial Unicode MS" w:hAnsi="Times New Roman"/>
          <w:color w:val="000000"/>
          <w:szCs w:val="22"/>
          <w:bdr w:val="nil"/>
          <w:lang w:val="en-US" w:eastAsia="lt-LT"/>
        </w:rPr>
        <w:t>neapsiribojant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gamybinė</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paslaptis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konfidencialieji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aspektai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 xml:space="preserve">1) </w:t>
      </w:r>
      <w:proofErr w:type="spellStart"/>
      <w:r w:rsidRPr="008B72F0">
        <w:rPr>
          <w:rFonts w:ascii="Times New Roman" w:eastAsia="Calibri" w:hAnsi="Times New Roman"/>
          <w:szCs w:val="22"/>
          <w:bdr w:val="nil"/>
          <w:lang w:val="en-US" w:eastAsia="lt-LT"/>
        </w:rPr>
        <w:t>jeigu</w:t>
      </w:r>
      <w:proofErr w:type="spellEnd"/>
      <w:r w:rsidRPr="008B72F0">
        <w:rPr>
          <w:rFonts w:ascii="Times New Roman" w:eastAsia="Calibri" w:hAnsi="Times New Roman"/>
          <w:szCs w:val="22"/>
          <w:bdr w:val="nil"/>
          <w:lang w:val="en-US" w:eastAsia="lt-LT"/>
        </w:rPr>
        <w:t xml:space="preserve"> tai </w:t>
      </w:r>
      <w:proofErr w:type="spellStart"/>
      <w:r w:rsidRPr="008B72F0">
        <w:rPr>
          <w:rFonts w:ascii="Times New Roman" w:eastAsia="Calibri" w:hAnsi="Times New Roman"/>
          <w:szCs w:val="22"/>
          <w:bdr w:val="nil"/>
          <w:lang w:val="en-US" w:eastAsia="lt-LT"/>
        </w:rPr>
        <w:t>pažeistų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nustatančius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informacijos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atskleidimo</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gauti</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informaciją</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reikalavimus</w:t>
      </w:r>
      <w:proofErr w:type="spellEnd"/>
      <w:r w:rsidRPr="008B72F0">
        <w:rPr>
          <w:rFonts w:ascii="Times New Roman" w:eastAsia="Calibri" w:hAnsi="Times New Roman"/>
          <w:szCs w:val="22"/>
          <w:bdr w:val="nil"/>
          <w:lang w:val="en-US" w:eastAsia="lt-LT"/>
        </w:rPr>
        <w:t xml:space="preserve">, ir </w:t>
      </w:r>
      <w:proofErr w:type="spellStart"/>
      <w:r w:rsidRPr="008B72F0">
        <w:rPr>
          <w:rFonts w:ascii="Times New Roman" w:eastAsia="Calibri" w:hAnsi="Times New Roman"/>
          <w:szCs w:val="22"/>
          <w:bdr w:val="nil"/>
          <w:lang w:val="en-US" w:eastAsia="lt-LT"/>
        </w:rPr>
        <w:t>šių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įgyvendinamuosius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aktus</w:t>
      </w:r>
      <w:proofErr w:type="spellEnd"/>
      <w:r w:rsidRPr="008B72F0">
        <w:rPr>
          <w:rFonts w:ascii="Times New Roman" w:eastAsia="Calibri" w:hAnsi="Times New Roman"/>
          <w:szCs w:val="22"/>
          <w:bdr w:val="nil"/>
          <w:lang w:val="en-US" w:eastAsia="lt-LT"/>
        </w:rPr>
        <w:t>;</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2) jeigu tai pažeistų šio įstatymo </w:t>
      </w:r>
      <w:proofErr w:type="spellStart"/>
      <w:r w:rsidRPr="008B72F0">
        <w:rPr>
          <w:rFonts w:ascii="Times New Roman" w:eastAsia="Calibri" w:hAnsi="Times New Roman"/>
          <w:szCs w:val="22"/>
          <w:lang w:eastAsia="lt-LT"/>
        </w:rPr>
        <w:t>Viešųju</w:t>
      </w:r>
      <w:proofErr w:type="spellEnd"/>
      <w:r w:rsidRPr="008B72F0">
        <w:rPr>
          <w:rFonts w:ascii="Times New Roman" w:eastAsia="Calibri" w:hAnsi="Times New Roman"/>
          <w:szCs w:val="22"/>
          <w:lang w:eastAsia="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atšaukti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Toks pakeitimas arba prane</w:t>
      </w:r>
      <w:proofErr w:type="spellStart"/>
      <w:r w:rsidRPr="008B72F0">
        <w:rPr>
          <w:rFonts w:ascii="Times New Roman" w:eastAsia="Arial Unicode MS" w:hAnsi="Times New Roman"/>
          <w:color w:val="000000"/>
          <w:szCs w:val="22"/>
          <w:bdr w:val="nil"/>
          <w:lang w:val="en-US" w:eastAsia="lt-LT"/>
        </w:rPr>
        <w:t>šimas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pt-PT" w:eastAsia="lt-LT"/>
        </w:rPr>
        <w:t>lymas at</w:t>
      </w:r>
      <w:proofErr w:type="spellStart"/>
      <w:r w:rsidRPr="008B72F0">
        <w:rPr>
          <w:rFonts w:ascii="Times New Roman" w:eastAsia="Arial Unicode MS" w:hAnsi="Times New Roman"/>
          <w:color w:val="000000"/>
          <w:szCs w:val="22"/>
          <w:bdr w:val="nil"/>
          <w:lang w:val="en-US" w:eastAsia="lt-LT"/>
        </w:rPr>
        <w:t>šaukiamas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pripažįstamas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galiojančiu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konkrečiai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 xml:space="preserve">.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užšifruojamas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nusprend</w:t>
      </w:r>
      <w:proofErr w:type="spellStart"/>
      <w:r w:rsidRPr="008B72F0">
        <w:rPr>
          <w:rFonts w:ascii="Times New Roman" w:eastAsia="Arial Unicode MS" w:hAnsi="Times New Roman"/>
          <w:color w:val="000000"/>
          <w:szCs w:val="22"/>
          <w:bdr w:val="nil"/>
          <w:lang w:val="en-US" w:eastAsia="lt-LT"/>
        </w:rPr>
        <w:t>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w:t>
      </w:r>
      <w:proofErr w:type="spellEnd"/>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xml:space="preserve"> IS priemonėmis pateikti </w:t>
      </w:r>
      <w:proofErr w:type="spellStart"/>
      <w:r w:rsidRPr="008B72F0">
        <w:rPr>
          <w:rFonts w:ascii="Times New Roman" w:hAnsi="Times New Roman"/>
          <w:szCs w:val="22"/>
        </w:rPr>
        <w:t>užš</w:t>
      </w:r>
      <w:proofErr w:type="spellEnd"/>
      <w:r w:rsidRPr="008B72F0">
        <w:rPr>
          <w:rFonts w:ascii="Times New Roman" w:hAnsi="Times New Roman"/>
          <w:szCs w:val="22"/>
          <w:lang w:val="it-IT"/>
        </w:rPr>
        <w:t>ifruot</w:t>
      </w:r>
      <w:r w:rsidRPr="008B72F0">
        <w:rPr>
          <w:rFonts w:ascii="Times New Roman" w:hAnsi="Times New Roman"/>
          <w:szCs w:val="22"/>
        </w:rPr>
        <w:t xml:space="preserve">ą </w:t>
      </w:r>
      <w:proofErr w:type="spellStart"/>
      <w:r w:rsidRPr="008B72F0">
        <w:rPr>
          <w:rFonts w:ascii="Times New Roman" w:hAnsi="Times New Roman"/>
          <w:szCs w:val="22"/>
          <w:lang w:val="es-ES_tradnl"/>
        </w:rPr>
        <w:t>pasi</w:t>
      </w:r>
      <w:r w:rsidRPr="008B72F0">
        <w:rPr>
          <w:rFonts w:ascii="Times New Roman" w:hAnsi="Times New Roman"/>
          <w:szCs w:val="22"/>
        </w:rPr>
        <w:t>ūlymą</w:t>
      </w:r>
      <w:proofErr w:type="spellEnd"/>
      <w:r w:rsidRPr="008B72F0">
        <w:rPr>
          <w:rFonts w:ascii="Times New Roman" w:hAnsi="Times New Roman"/>
          <w:szCs w:val="22"/>
        </w:rPr>
        <w:t xml:space="preserve">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6.1.2.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proofErr w:type="spellStart"/>
      <w:r w:rsidRPr="008B72F0">
        <w:rPr>
          <w:rFonts w:ascii="Times New Roman" w:eastAsia="Arial Unicode MS" w:hAnsi="Times New Roman"/>
          <w:color w:val="000000"/>
          <w:szCs w:val="22"/>
          <w:bdr w:val="nil"/>
          <w:lang w:val="en-US" w:eastAsia="lt-LT"/>
        </w:rPr>
        <w:t>ūlymais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techninėms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problemoms</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w:t>
      </w:r>
      <w:proofErr w:type="spellEnd"/>
      <w:r w:rsidRPr="008B72F0">
        <w:rPr>
          <w:rFonts w:ascii="Times New Roman" w:eastAsia="Arial Unicode MS" w:hAnsi="Times New Roman"/>
          <w:color w:val="000000"/>
          <w:szCs w:val="22"/>
          <w:bdr w:val="nil"/>
          <w:lang w:val="it-IT" w:eastAsia="lt-LT"/>
        </w:rPr>
        <w:t>io per CVP IS susira</w:t>
      </w:r>
      <w:proofErr w:type="spellStart"/>
      <w:r w:rsidRPr="008B72F0">
        <w:rPr>
          <w:rFonts w:ascii="Times New Roman" w:eastAsia="Arial Unicode MS" w:hAnsi="Times New Roman"/>
          <w:color w:val="000000"/>
          <w:szCs w:val="22"/>
          <w:bdr w:val="nil"/>
          <w:lang w:val="en-US" w:eastAsia="lt-LT"/>
        </w:rPr>
        <w:t>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priemonę</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it-IT" w:eastAsia="lt-LT"/>
        </w:rPr>
        <w:t>mis pasirinktinai: perkan</w:t>
      </w:r>
      <w:proofErr w:type="spellStart"/>
      <w:r w:rsidRPr="008B72F0">
        <w:rPr>
          <w:rFonts w:ascii="Times New Roman" w:eastAsia="Arial Unicode MS" w:hAnsi="Times New Roman"/>
          <w:color w:val="000000"/>
          <w:szCs w:val="22"/>
          <w:bdr w:val="nil"/>
          <w:lang w:val="en-US" w:eastAsia="lt-LT"/>
        </w:rPr>
        <w:t>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faksu</w:t>
      </w:r>
      <w:proofErr w:type="spellEnd"/>
      <w:r w:rsidRPr="008B72F0">
        <w:rPr>
          <w:rFonts w:ascii="Times New Roman" w:eastAsia="Arial Unicode MS" w:hAnsi="Times New Roman"/>
          <w:color w:val="000000"/>
          <w:szCs w:val="22"/>
          <w:bdr w:val="nil"/>
          <w:lang w:val="en-US" w:eastAsia="lt-LT"/>
        </w:rPr>
        <w:t xml:space="preserve"> (8 389) 63820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tur</w:t>
      </w:r>
      <w:proofErr w:type="spellStart"/>
      <w:r w:rsidRPr="008B72F0">
        <w:rPr>
          <w:rFonts w:ascii="Times New Roman" w:eastAsia="Arial Unicode MS" w:hAnsi="Times New Roman"/>
          <w:color w:val="000000"/>
          <w:szCs w:val="22"/>
          <w:bdr w:val="nil"/>
          <w:lang w:val="en-US" w:eastAsia="lt-LT"/>
        </w:rPr>
        <w:t>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aktyvus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įsitikinti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pasiekė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adresatą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pavyzdžiui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susisiekęs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būdais</w:t>
      </w:r>
      <w:proofErr w:type="spellEnd"/>
      <w:r w:rsidRPr="008B72F0">
        <w:rPr>
          <w:rFonts w:ascii="Times New Roman" w:eastAsia="Arial Unicode MS" w:hAnsi="Times New Roman"/>
          <w:color w:val="000000"/>
          <w:szCs w:val="22"/>
          <w:bdr w:val="nil"/>
          <w:lang w:val="en-US" w:eastAsia="lt-LT"/>
        </w:rPr>
        <w:t xml:space="preserve">).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užšifravus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proofErr w:type="spellStart"/>
      <w:r w:rsidRPr="008B72F0">
        <w:rPr>
          <w:rFonts w:ascii="Times New Roman" w:eastAsia="Arial Unicode MS" w:hAnsi="Times New Roman"/>
          <w:color w:val="000000"/>
          <w:szCs w:val="22"/>
          <w:bdr w:val="nil"/>
          <w:lang w:val="en-US" w:eastAsia="lt-LT"/>
        </w:rPr>
        <w:t>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w:t>
      </w:r>
      <w:proofErr w:type="spellEnd"/>
      <w:r w:rsidRPr="008B72F0">
        <w:rPr>
          <w:rFonts w:ascii="Times New Roman" w:eastAsia="Arial Unicode MS" w:hAnsi="Times New Roman"/>
          <w:color w:val="000000"/>
          <w:szCs w:val="22"/>
          <w:bdr w:val="nil"/>
          <w:lang w:val="nl-NL" w:eastAsia="lt-LT"/>
        </w:rPr>
        <w:t>s) slapta</w:t>
      </w:r>
      <w:proofErr w:type="spellStart"/>
      <w:r w:rsidRPr="008B72F0">
        <w:rPr>
          <w:rFonts w:ascii="Times New Roman" w:eastAsia="Arial Unicode MS" w:hAnsi="Times New Roman"/>
          <w:color w:val="000000"/>
          <w:szCs w:val="22"/>
          <w:bdr w:val="nil"/>
          <w:lang w:val="en-US" w:eastAsia="lt-LT"/>
        </w:rPr>
        <w:t>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w:t>
      </w:r>
      <w:proofErr w:type="spellEnd"/>
      <w:r w:rsidRPr="008B72F0">
        <w:rPr>
          <w:rFonts w:ascii="Times New Roman" w:eastAsia="Arial Unicode MS" w:hAnsi="Times New Roman"/>
          <w:color w:val="000000"/>
          <w:szCs w:val="22"/>
          <w:bdr w:val="nil"/>
          <w:lang w:val="da-DK" w:eastAsia="lt-LT"/>
        </w:rPr>
        <w:t>jo i</w:t>
      </w:r>
      <w:proofErr w:type="spellStart"/>
      <w:r w:rsidRPr="008B72F0">
        <w:rPr>
          <w:rFonts w:ascii="Times New Roman" w:eastAsia="Arial Unicode MS" w:hAnsi="Times New Roman"/>
          <w:color w:val="000000"/>
          <w:szCs w:val="22"/>
          <w:bdr w:val="nil"/>
          <w:lang w:val="en-US" w:eastAsia="lt-LT"/>
        </w:rPr>
        <w:t>šš</w:t>
      </w:r>
      <w:proofErr w:type="spellEnd"/>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proofErr w:type="spellStart"/>
      <w:r w:rsidRPr="008B72F0">
        <w:rPr>
          <w:rFonts w:ascii="Times New Roman" w:eastAsia="Arial Unicode MS" w:hAnsi="Times New Roman"/>
          <w:color w:val="000000"/>
          <w:szCs w:val="22"/>
          <w:bdr w:val="nil"/>
          <w:lang w:val="es-ES_tradnl" w:eastAsia="lt-LT"/>
        </w:rPr>
        <w:t>lymo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nepateiktu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u</w:t>
      </w:r>
      <w:proofErr w:type="spellStart"/>
      <w:r w:rsidRPr="008B72F0">
        <w:rPr>
          <w:rFonts w:ascii="Times New Roman" w:eastAsia="Arial Unicode MS" w:hAnsi="Times New Roman"/>
          <w:color w:val="000000"/>
          <w:szCs w:val="22"/>
          <w:bdr w:val="nil"/>
          <w:lang w:val="en-US" w:eastAsia="lt-LT"/>
        </w:rPr>
        <w:t>žšifravo</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kuriame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nurodyta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kaina</w:t>
      </w:r>
      <w:proofErr w:type="spellEnd"/>
      <w:r w:rsidRPr="008B72F0">
        <w:rPr>
          <w:rFonts w:ascii="Times New Roman" w:eastAsia="Arial Unicode MS" w:hAnsi="Times New Roman"/>
          <w:szCs w:val="22"/>
          <w:bdr w:val="nil"/>
          <w:lang w:val="en-US" w:eastAsia="lt-LT"/>
        </w:rPr>
        <w:t xml:space="preserve">, o </w:t>
      </w:r>
      <w:proofErr w:type="spellStart"/>
      <w:r w:rsidRPr="008B72F0">
        <w:rPr>
          <w:rFonts w:ascii="Times New Roman" w:eastAsia="Arial Unicode MS" w:hAnsi="Times New Roman"/>
          <w:szCs w:val="22"/>
          <w:bdr w:val="nil"/>
          <w:lang w:val="en-US" w:eastAsia="lt-LT"/>
        </w:rPr>
        <w:t>kitus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pateikė</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de-DE" w:eastAsia="lt-LT"/>
        </w:rPr>
        <w:t>neu</w:t>
      </w:r>
      <w:proofErr w:type="spellStart"/>
      <w:r w:rsidRPr="008B72F0">
        <w:rPr>
          <w:rFonts w:ascii="Times New Roman" w:eastAsia="Arial Unicode MS" w:hAnsi="Times New Roman"/>
          <w:szCs w:val="22"/>
          <w:bdr w:val="nil"/>
          <w:lang w:val="en-US" w:eastAsia="lt-LT"/>
        </w:rPr>
        <w:t>žšifruotus</w:t>
      </w:r>
      <w:proofErr w:type="spellEnd"/>
      <w:r w:rsidRPr="008B72F0">
        <w:rPr>
          <w:rFonts w:ascii="Times New Roman" w:eastAsia="Arial Unicode MS" w:hAnsi="Times New Roman"/>
          <w:szCs w:val="22"/>
          <w:bdr w:val="nil"/>
          <w:lang w:val="en-US" w:eastAsia="lt-LT"/>
        </w:rPr>
        <w:t xml:space="preserve"> – </w:t>
      </w:r>
      <w:r w:rsidRPr="008B72F0">
        <w:rPr>
          <w:rFonts w:ascii="Times New Roman" w:eastAsia="Arial Unicode MS" w:hAnsi="Times New Roman"/>
          <w:szCs w:val="22"/>
          <w:bdr w:val="nil"/>
          <w:lang w:val="nl-NL" w:eastAsia="lt-LT"/>
        </w:rPr>
        <w:t>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atmeta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neatitinkantį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dokumentuose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nustatytų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reikalavimų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(tiek</w:t>
      </w:r>
      <w:proofErr w:type="spellStart"/>
      <w:r w:rsidRPr="008B72F0">
        <w:rPr>
          <w:rFonts w:ascii="Times New Roman" w:eastAsia="Arial Unicode MS" w:hAnsi="Times New Roman"/>
          <w:szCs w:val="22"/>
          <w:bdr w:val="nil"/>
          <w:lang w:val="en-US" w:eastAsia="lt-LT"/>
        </w:rPr>
        <w:t>ėjas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nepateikė</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kainos</w:t>
      </w:r>
      <w:proofErr w:type="spellEnd"/>
      <w:r w:rsidRPr="008B72F0">
        <w:rPr>
          <w:rFonts w:ascii="Times New Roman" w:eastAsia="Arial Unicode MS" w:hAnsi="Times New Roman"/>
          <w:szCs w:val="22"/>
          <w:bdr w:val="nil"/>
          <w:lang w:val="en-US" w:eastAsia="lt-LT"/>
        </w:rPr>
        <w:t>).</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galiojimo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užtikrinimas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nereikalaujamas</w:t>
      </w:r>
      <w:proofErr w:type="spellEnd"/>
      <w:r w:rsidRPr="008B72F0">
        <w:rPr>
          <w:rFonts w:ascii="Times New Roman" w:eastAsia="Arial Unicode MS" w:hAnsi="Times New Roman"/>
          <w:szCs w:val="22"/>
          <w:bdr w:val="nil"/>
          <w:lang w:val="en-US" w:eastAsia="lt-LT"/>
        </w:rPr>
        <w:t xml:space="preserve">.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
    <w:p w14:paraId="4BBF86A4"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8.2.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kiekvieną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proofErr w:type="spellStart"/>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ra</w:t>
      </w:r>
      <w:r w:rsidRPr="008B72F0">
        <w:rPr>
          <w:rFonts w:ascii="Times New Roman" w:eastAsia="Arial Unicode MS" w:hAnsi="Times New Roman"/>
          <w:szCs w:val="22"/>
          <w:bdr w:val="nil"/>
          <w:lang w:val="en-US" w:eastAsia="lt-LT"/>
        </w:rPr>
        <w:t>šytinį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dėl</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yra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pateiktas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ne </w:t>
      </w:r>
      <w:proofErr w:type="spellStart"/>
      <w:r w:rsidRPr="008B72F0">
        <w:rPr>
          <w:rFonts w:ascii="Times New Roman" w:eastAsia="Arial Unicode MS" w:hAnsi="Times New Roman"/>
          <w:szCs w:val="22"/>
          <w:bdr w:val="nil"/>
          <w:lang w:val="en-US" w:eastAsia="lt-LT"/>
        </w:rPr>
        <w:t>mažiau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3 </w:t>
      </w:r>
      <w:proofErr w:type="spellStart"/>
      <w:r w:rsidRPr="008B72F0">
        <w:rPr>
          <w:rFonts w:ascii="Times New Roman" w:eastAsia="Arial Unicode MS" w:hAnsi="Times New Roman"/>
          <w:szCs w:val="22"/>
          <w:bdr w:val="nil"/>
          <w:lang w:val="en-US" w:eastAsia="lt-LT"/>
        </w:rPr>
        <w:t>dienoms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 xml:space="preserve">8.3. </w:t>
      </w:r>
      <w:proofErr w:type="spellStart"/>
      <w:r w:rsidRPr="008B72F0">
        <w:rPr>
          <w:rFonts w:ascii="Times New Roman" w:eastAsia="Arial Unicode MS" w:hAnsi="Times New Roman"/>
          <w:szCs w:val="22"/>
          <w:bdr w:val="nil"/>
          <w:lang w:val="en-US" w:eastAsia="lt-LT"/>
        </w:rPr>
        <w:t>Tiekė</w:t>
      </w:r>
      <w:proofErr w:type="spellEnd"/>
      <w:r w:rsidRPr="008B72F0">
        <w:rPr>
          <w:rFonts w:ascii="Times New Roman" w:eastAsia="Arial Unicode MS" w:hAnsi="Times New Roman"/>
          <w:szCs w:val="22"/>
          <w:bdr w:val="nil"/>
          <w:lang w:val="pt-PT" w:eastAsia="lt-LT"/>
        </w:rPr>
        <w:t>jo pra</w:t>
      </w:r>
      <w:proofErr w:type="spellStart"/>
      <w:r w:rsidRPr="008B72F0">
        <w:rPr>
          <w:rFonts w:ascii="Times New Roman" w:eastAsia="Arial Unicode MS" w:hAnsi="Times New Roman"/>
          <w:szCs w:val="22"/>
          <w:bdr w:val="nil"/>
          <w:lang w:val="en-US" w:eastAsia="lt-LT"/>
        </w:rPr>
        <w:t>šymu</w:t>
      </w:r>
      <w:proofErr w:type="spellEnd"/>
      <w:r w:rsidRPr="008B72F0">
        <w:rPr>
          <w:rFonts w:ascii="Times New Roman" w:eastAsia="Arial Unicode MS" w:hAnsi="Times New Roman"/>
          <w:szCs w:val="22"/>
          <w:bdr w:val="nil"/>
          <w:lang w:val="en-US" w:eastAsia="lt-LT"/>
        </w:rPr>
        <w:t>, (</w:t>
      </w:r>
      <w:proofErr w:type="spellStart"/>
      <w:r w:rsidRPr="008B72F0">
        <w:rPr>
          <w:rFonts w:ascii="Times New Roman" w:eastAsia="Arial Unicode MS" w:hAnsi="Times New Roman"/>
          <w:szCs w:val="22"/>
          <w:bdr w:val="nil"/>
          <w:lang w:val="en-US" w:eastAsia="lt-LT"/>
        </w:rPr>
        <w:t>pateiktu</w:t>
      </w:r>
      <w:proofErr w:type="spellEnd"/>
      <w:r w:rsidRPr="008B72F0">
        <w:rPr>
          <w:rFonts w:ascii="Times New Roman" w:eastAsia="Arial Unicode MS" w:hAnsi="Times New Roman"/>
          <w:szCs w:val="22"/>
          <w:bdr w:val="nil"/>
          <w:lang w:val="en-US" w:eastAsia="lt-LT"/>
        </w:rPr>
        <w:t xml:space="preserve"> tik CVP IS </w:t>
      </w:r>
      <w:proofErr w:type="spellStart"/>
      <w:r w:rsidRPr="008B72F0">
        <w:rPr>
          <w:rFonts w:ascii="Times New Roman" w:eastAsia="Arial Unicode MS" w:hAnsi="Times New Roman"/>
          <w:szCs w:val="22"/>
          <w:bdr w:val="nil"/>
          <w:lang w:val="en-US" w:eastAsia="lt-LT"/>
        </w:rPr>
        <w:t>susirašinėjimo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papildomi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paaiškinimai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pataisymai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pateikiami</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mis ne v</w:t>
      </w:r>
      <w:proofErr w:type="spellStart"/>
      <w:r w:rsidRPr="008B72F0">
        <w:rPr>
          <w:rFonts w:ascii="Times New Roman" w:eastAsia="Arial Unicode MS" w:hAnsi="Times New Roman"/>
          <w:szCs w:val="22"/>
          <w:bdr w:val="nil"/>
          <w:lang w:val="en-US" w:eastAsia="lt-LT"/>
        </w:rPr>
        <w:t>ėliau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1 </w:t>
      </w:r>
      <w:proofErr w:type="spellStart"/>
      <w:r w:rsidRPr="008B72F0">
        <w:rPr>
          <w:rFonts w:ascii="Times New Roman" w:eastAsia="Arial Unicode MS" w:hAnsi="Times New Roman"/>
          <w:szCs w:val="22"/>
          <w:bdr w:val="nil"/>
          <w:lang w:val="en-US" w:eastAsia="lt-LT"/>
        </w:rPr>
        <w:t>dienai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w:t>
      </w:r>
      <w:proofErr w:type="spellStart"/>
      <w:r w:rsidRPr="008B72F0">
        <w:rPr>
          <w:rFonts w:ascii="Times New Roman" w:eastAsia="Arial Unicode MS" w:hAnsi="Times New Roman"/>
          <w:szCs w:val="22"/>
          <w:bdr w:val="nil"/>
          <w:lang w:val="en-US" w:eastAsia="lt-LT"/>
        </w:rPr>
        <w:t>paprašyta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laiku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neatsiejama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anonimi</w:t>
      </w:r>
      <w:proofErr w:type="spellStart"/>
      <w:r w:rsidRPr="008B72F0">
        <w:rPr>
          <w:rFonts w:ascii="Times New Roman" w:eastAsia="Arial Unicode MS" w:hAnsi="Times New Roman"/>
          <w:color w:val="000000"/>
          <w:szCs w:val="22"/>
          <w:bdr w:val="nil"/>
          <w:lang w:val="en-US" w:eastAsia="lt-LT"/>
        </w:rPr>
        <w:t>škumą</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pavadinimų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rekvizitų</w:t>
      </w:r>
      <w:proofErr w:type="spellEnd"/>
      <w:r w:rsidRPr="008B72F0">
        <w:rPr>
          <w:rFonts w:ascii="Times New Roman" w:eastAsia="Arial Unicode MS" w:hAnsi="Times New Roman"/>
          <w:color w:val="000000"/>
          <w:szCs w:val="22"/>
          <w:bdr w:val="nil"/>
          <w:lang w:val="en-US" w:eastAsia="lt-LT"/>
        </w:rPr>
        <w:t>.</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proofErr w:type="spellStart"/>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pateikimo terminui,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iniciatyva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8.6.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pataisoma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taikomas</w:t>
      </w:r>
      <w:proofErr w:type="spellEnd"/>
      <w:r w:rsidRPr="008B72F0">
        <w:rPr>
          <w:rFonts w:ascii="Times New Roman" w:eastAsia="Arial Unicode MS" w:hAnsi="Times New Roman"/>
          <w:color w:val="000000"/>
          <w:szCs w:val="22"/>
          <w:bdr w:val="nil"/>
          <w:lang w:val="en-US" w:eastAsia="lt-LT"/>
        </w:rPr>
        <w:t>)</w:t>
      </w:r>
      <w:r w:rsidRPr="008B72F0">
        <w:rPr>
          <w:rFonts w:ascii="Times New Roman" w:eastAsia="Arial Unicode MS" w:hAnsi="Times New Roman"/>
          <w:color w:val="000000"/>
          <w:szCs w:val="22"/>
          <w:bdr w:val="nil"/>
          <w:lang w:val="nl-NL" w:eastAsia="lt-LT"/>
        </w:rPr>
        <w:t>,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prireikus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kriterijų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atitinkanč</w:t>
      </w:r>
      <w:proofErr w:type="spellEnd"/>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w:t>
      </w:r>
      <w:proofErr w:type="spellEnd"/>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patikslinimus</w:t>
      </w:r>
      <w:proofErr w:type="spellEnd"/>
      <w:r w:rsidRPr="008B72F0">
        <w:rPr>
          <w:rFonts w:ascii="Times New Roman" w:eastAsia="Arial Unicode MS" w:hAnsi="Times New Roman"/>
          <w:color w:val="000000"/>
          <w:szCs w:val="22"/>
          <w:bdr w:val="nil"/>
          <w:lang w:val="en-US" w:eastAsia="lt-LT"/>
        </w:rPr>
        <w:t>.</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8.7. Bet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konkurso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w:t>
      </w:r>
      <w:proofErr w:type="spellEnd"/>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susira</w:t>
      </w:r>
      <w:r w:rsidRPr="008B72F0">
        <w:rPr>
          <w:rFonts w:ascii="Times New Roman" w:eastAsia="Arial Unicode MS" w:hAnsi="Times New Roman"/>
          <w:color w:val="000000"/>
          <w:szCs w:val="22"/>
          <w:bdr w:val="nil"/>
          <w:lang w:val="en-US" w:eastAsia="lt-LT"/>
        </w:rPr>
        <w:t>šinėjimas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paaiškinimų</w:t>
      </w:r>
      <w:proofErr w:type="spellEnd"/>
      <w:r w:rsidRPr="008B72F0">
        <w:rPr>
          <w:rFonts w:ascii="Times New Roman" w:eastAsia="Arial Unicode MS" w:hAnsi="Times New Roman"/>
          <w:color w:val="000000"/>
          <w:szCs w:val="22"/>
          <w:bdr w:val="nil"/>
          <w:lang w:val="en-US" w:eastAsia="lt-LT"/>
        </w:rPr>
        <w:t>.</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0DDE604A"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243E66">
        <w:rPr>
          <w:rFonts w:ascii="Times New Roman" w:eastAsia="Arial Unicode MS" w:hAnsi="Times New Roman"/>
          <w:b/>
          <w:szCs w:val="22"/>
        </w:rPr>
        <w:t>5</w:t>
      </w:r>
      <w:r w:rsidRPr="008B72F0">
        <w:rPr>
          <w:rFonts w:ascii="Times New Roman" w:eastAsia="Arial Unicode MS" w:hAnsi="Times New Roman"/>
          <w:b/>
          <w:szCs w:val="22"/>
        </w:rPr>
        <w:t xml:space="preserve"> m. </w:t>
      </w:r>
      <w:r w:rsidR="00243E66">
        <w:rPr>
          <w:rFonts w:ascii="Times New Roman" w:eastAsia="Arial Unicode MS" w:hAnsi="Times New Roman"/>
          <w:b/>
          <w:szCs w:val="22"/>
        </w:rPr>
        <w:t>balandžio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C137A9">
        <w:rPr>
          <w:rFonts w:ascii="Times New Roman" w:eastAsia="Arial Unicode MS" w:hAnsi="Times New Roman"/>
          <w:b/>
          <w:szCs w:val="22"/>
        </w:rPr>
        <w:t>1</w:t>
      </w:r>
      <w:r w:rsidR="00243E66">
        <w:rPr>
          <w:rFonts w:ascii="Times New Roman" w:eastAsia="Arial Unicode MS" w:hAnsi="Times New Roman"/>
          <w:b/>
          <w:szCs w:val="22"/>
        </w:rPr>
        <w:t>7</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243E66">
        <w:rPr>
          <w:rFonts w:ascii="Times New Roman" w:hAnsi="Times New Roman"/>
          <w:b/>
          <w:iCs/>
          <w:szCs w:val="22"/>
        </w:rPr>
        <w:t>5</w:t>
      </w:r>
      <w:r w:rsidRPr="008B72F0">
        <w:rPr>
          <w:rFonts w:ascii="Times New Roman" w:hAnsi="Times New Roman"/>
          <w:b/>
          <w:iCs/>
          <w:szCs w:val="22"/>
        </w:rPr>
        <w:t xml:space="preserve"> m.</w:t>
      </w:r>
      <w:r w:rsidR="004307B3">
        <w:rPr>
          <w:rFonts w:ascii="Times New Roman" w:hAnsi="Times New Roman"/>
          <w:b/>
          <w:iCs/>
          <w:szCs w:val="22"/>
        </w:rPr>
        <w:t xml:space="preserve"> </w:t>
      </w:r>
      <w:r w:rsidR="00243E66">
        <w:rPr>
          <w:rFonts w:ascii="Times New Roman" w:hAnsi="Times New Roman"/>
          <w:b/>
          <w:iCs/>
          <w:szCs w:val="22"/>
        </w:rPr>
        <w:t>balandžio</w:t>
      </w:r>
      <w:r w:rsidRPr="008B72F0">
        <w:rPr>
          <w:rFonts w:ascii="Times New Roman" w:hAnsi="Times New Roman"/>
          <w:b/>
          <w:iCs/>
          <w:szCs w:val="22"/>
        </w:rPr>
        <w:t xml:space="preserve"> mėn. </w:t>
      </w:r>
      <w:r w:rsidR="00C137A9">
        <w:rPr>
          <w:rFonts w:ascii="Times New Roman" w:hAnsi="Times New Roman"/>
          <w:b/>
          <w:iCs/>
          <w:szCs w:val="22"/>
        </w:rPr>
        <w:t>1</w:t>
      </w:r>
      <w:r w:rsidR="00243E66">
        <w:rPr>
          <w:rFonts w:ascii="Times New Roman" w:hAnsi="Times New Roman"/>
          <w:b/>
          <w:iCs/>
          <w:szCs w:val="22"/>
        </w:rPr>
        <w:t>7</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9.2.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proofErr w:type="spellStart"/>
      <w:r w:rsidRPr="008B72F0">
        <w:rPr>
          <w:rFonts w:ascii="Times New Roman" w:eastAsia="Arial Unicode MS" w:hAnsi="Times New Roman"/>
          <w:color w:val="000000"/>
          <w:szCs w:val="22"/>
          <w:bdr w:val="nil"/>
          <w:lang w:val="en-US" w:eastAsia="lt-LT"/>
        </w:rPr>
        <w:t>ūroje</w:t>
      </w:r>
      <w:proofErr w:type="spellEnd"/>
      <w:r w:rsidRPr="008B72F0">
        <w:rPr>
          <w:rFonts w:ascii="Times New Roman" w:eastAsia="Arial Unicode MS" w:hAnsi="Times New Roman"/>
          <w:color w:val="000000"/>
          <w:szCs w:val="22"/>
          <w:bdr w:val="nil"/>
          <w:lang w:val="en-US" w:eastAsia="lt-LT"/>
        </w:rPr>
        <w:t>, k</w:t>
      </w:r>
      <w:proofErr w:type="spellStart"/>
      <w:r w:rsidRPr="008B72F0">
        <w:rPr>
          <w:rFonts w:ascii="Times New Roman" w:eastAsia="Arial Unicode MS" w:hAnsi="Times New Roman"/>
          <w:color w:val="000000"/>
          <w:szCs w:val="22"/>
          <w:bdr w:val="nil"/>
          <w:lang w:val="es-ES_tradnl" w:eastAsia="lt-LT"/>
        </w:rPr>
        <w:t>omisijos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pos</w:t>
      </w:r>
      <w:r w:rsidRPr="008B72F0">
        <w:rPr>
          <w:rFonts w:ascii="Times New Roman" w:eastAsia="Arial Unicode MS" w:hAnsi="Times New Roman"/>
          <w:color w:val="000000"/>
          <w:szCs w:val="22"/>
          <w:bdr w:val="nil"/>
          <w:lang w:val="en-US" w:eastAsia="lt-LT"/>
        </w:rPr>
        <w:t>ėdžiuose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nagrinėjimo</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w:t>
      </w:r>
      <w:proofErr w:type="spellEnd"/>
      <w:r w:rsidRPr="008B72F0">
        <w:rPr>
          <w:rFonts w:ascii="Times New Roman" w:eastAsia="Arial Unicode MS" w:hAnsi="Times New Roman"/>
          <w:color w:val="000000"/>
          <w:szCs w:val="22"/>
          <w:bdr w:val="nil"/>
          <w:lang w:val="it-IT" w:eastAsia="lt-LT"/>
        </w:rPr>
        <w:t>iuose steb</w:t>
      </w:r>
      <w:proofErr w:type="spellStart"/>
      <w:r w:rsidRPr="008B72F0">
        <w:rPr>
          <w:rFonts w:ascii="Times New Roman" w:eastAsia="Arial Unicode MS" w:hAnsi="Times New Roman"/>
          <w:color w:val="000000"/>
          <w:szCs w:val="22"/>
          <w:bdr w:val="nil"/>
          <w:lang w:val="en-US" w:eastAsia="lt-LT"/>
        </w:rPr>
        <w:t>ėtojai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pasilieka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organizuojama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10.2.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vykdoma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susitikimų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ir/</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el.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pan.). </w:t>
      </w:r>
      <w:proofErr w:type="spellStart"/>
      <w:r w:rsidRPr="008B72F0">
        <w:rPr>
          <w:rFonts w:ascii="Times New Roman" w:eastAsia="Arial Unicode MS" w:hAnsi="Times New Roman"/>
          <w:color w:val="000000"/>
          <w:szCs w:val="22"/>
          <w:bdr w:val="nil"/>
          <w:lang w:val="en-US" w:eastAsia="lt-LT"/>
        </w:rPr>
        <w:t>Tikslus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kvietime</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10.3.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eiliškumas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atvirkščiai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proporcingai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laikui</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o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10.4.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interesų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principo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tretiesiems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jokios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suteikiamos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pateikiama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nediskriminuoja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10.5.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vedamos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atskirai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rezultatai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protokoluojami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nariai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atstovas</w:t>
      </w:r>
      <w:proofErr w:type="spellEnd"/>
      <w:r w:rsidRPr="008B72F0">
        <w:rPr>
          <w:rFonts w:ascii="Times New Roman" w:eastAsia="Arial Unicode MS" w:hAnsi="Times New Roman"/>
          <w:color w:val="000000"/>
          <w:szCs w:val="22"/>
          <w:bdr w:val="nil"/>
          <w:lang w:val="en-US" w:eastAsia="lt-LT"/>
        </w:rPr>
        <w:t>.</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10.6. </w:t>
      </w:r>
      <w:proofErr w:type="spellStart"/>
      <w:r w:rsidRPr="008B72F0">
        <w:rPr>
          <w:rFonts w:ascii="Times New Roman" w:eastAsia="Arial Unicode MS" w:hAnsi="Times New Roman"/>
          <w:color w:val="000000"/>
          <w:szCs w:val="22"/>
          <w:bdr w:val="nil"/>
          <w:lang w:val="en-US" w:eastAsia="lt-LT"/>
        </w:rPr>
        <w:t>Atlikus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dalyvavusiems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nuostatas</w:t>
      </w:r>
      <w:proofErr w:type="spellEnd"/>
      <w:r w:rsidRPr="008B72F0">
        <w:rPr>
          <w:rFonts w:ascii="Times New Roman" w:eastAsia="Arial Unicode MS" w:hAnsi="Times New Roman"/>
          <w:color w:val="000000"/>
          <w:szCs w:val="22"/>
          <w:bdr w:val="nil"/>
          <w:lang w:val="en-US" w:eastAsia="lt-LT"/>
        </w:rPr>
        <w:t>.</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radusi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 xml:space="preserve">.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10.8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įvykusiomis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bent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keliamus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netikslius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neišsamius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trumpesnis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trys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11.2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randa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sudedamąsias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11.3. Kai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atrodo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57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 3 </w:t>
      </w:r>
      <w:proofErr w:type="spellStart"/>
      <w:r w:rsidRPr="008B72F0">
        <w:rPr>
          <w:rFonts w:ascii="Times New Roman" w:eastAsia="Arial Unicode MS" w:hAnsi="Times New Roman"/>
          <w:color w:val="000000"/>
          <w:szCs w:val="22"/>
          <w:bdr w:val="nil"/>
          <w:lang w:val="en-US" w:eastAsia="lt-LT"/>
        </w:rPr>
        <w:t>dalyse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nepagrindžia</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11.4.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siunčiami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viršija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užfiksuotas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rengiamuose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nurodžiusi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esantys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nustatyti</w:t>
      </w:r>
      <w:proofErr w:type="spellEnd"/>
      <w:r w:rsidRPr="008B72F0">
        <w:rPr>
          <w:rFonts w:ascii="Times New Roman" w:eastAsia="Arial Unicode MS" w:hAnsi="Times New Roman"/>
          <w:color w:val="000000"/>
          <w:szCs w:val="22"/>
          <w:bdr w:val="nil"/>
          <w:lang w:val="en-US" w:eastAsia="lt-LT"/>
        </w:rPr>
        <w:t>.</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klausimams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Komisijai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papildomus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nekeisdami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reikalaujamų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originalus</w:t>
      </w:r>
      <w:proofErr w:type="spellEnd"/>
      <w:r w:rsidRPr="008B72F0">
        <w:rPr>
          <w:rFonts w:ascii="Times New Roman" w:eastAsia="Arial Unicode MS" w:hAnsi="Times New Roman"/>
          <w:color w:val="000000"/>
          <w:szCs w:val="22"/>
          <w:bdr w:val="nil"/>
          <w:lang w:val="en-US" w:eastAsia="lt-LT"/>
        </w:rPr>
        <w:t>.</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esmės</w:t>
      </w:r>
      <w:proofErr w:type="spellEnd"/>
      <w:r w:rsidRPr="008B72F0">
        <w:rPr>
          <w:rFonts w:ascii="Times New Roman" w:eastAsia="Arial Unicode MS" w:hAnsi="Times New Roman"/>
          <w:color w:val="000000"/>
          <w:szCs w:val="22"/>
          <w:bdr w:val="nil"/>
          <w:lang w:val="en-US" w:eastAsia="lt-LT"/>
        </w:rPr>
        <w:t xml:space="preserve"> –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taptų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nevertinti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patikrinusi</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atmestas</w:t>
      </w:r>
      <w:proofErr w:type="spellEnd"/>
      <w:r w:rsidRPr="008B72F0">
        <w:rPr>
          <w:rFonts w:ascii="Times New Roman" w:eastAsia="Arial Unicode MS" w:hAnsi="Times New Roman"/>
          <w:color w:val="000000"/>
          <w:szCs w:val="22"/>
          <w:bdr w:val="nil"/>
          <w:lang w:val="en-US" w:eastAsia="lt-LT"/>
        </w:rPr>
        <w:t>.</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11.9.1.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ne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11.9.2.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11.9.3.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raštiško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sudėtinių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įrodymų</w:t>
      </w:r>
      <w:proofErr w:type="spellEnd"/>
      <w:r w:rsidRPr="008B72F0">
        <w:rPr>
          <w:rFonts w:ascii="Times New Roman" w:eastAsia="Arial Unicode MS" w:hAnsi="Times New Roman"/>
          <w:color w:val="000000"/>
          <w:szCs w:val="22"/>
          <w:bdr w:val="nil"/>
          <w:lang w:val="en-US" w:eastAsia="lt-LT"/>
        </w:rPr>
        <w:t>;</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nepatikslino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nepapildė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11.9.5.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neištaisė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nepaaiškino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11.9.6.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neatmesti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11.9.7.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melagingą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bet </w:t>
      </w:r>
      <w:proofErr w:type="spellStart"/>
      <w:r w:rsidRPr="008B72F0">
        <w:rPr>
          <w:rFonts w:ascii="Times New Roman" w:eastAsia="Arial Unicode MS" w:hAnsi="Times New Roman"/>
          <w:color w:val="000000"/>
          <w:szCs w:val="22"/>
          <w:bdr w:val="nil"/>
          <w:lang w:val="en-US" w:eastAsia="lt-LT"/>
        </w:rPr>
        <w:t>kokiomis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11.9.8.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11.9.9.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Apraše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atvejais</w:t>
      </w:r>
      <w:proofErr w:type="spellEnd"/>
      <w:r w:rsidRPr="008B72F0">
        <w:rPr>
          <w:rFonts w:ascii="Times New Roman" w:eastAsia="Arial Unicode MS" w:hAnsi="Times New Roman"/>
          <w:color w:val="000000"/>
          <w:szCs w:val="22"/>
          <w:bdr w:val="nil"/>
          <w:lang w:val="en-US" w:eastAsia="lt-LT"/>
        </w:rPr>
        <w:t>.</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11.10.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informuojamas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išrenka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mažiausios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12.2.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vertinama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13.1. </w:t>
      </w:r>
      <w:proofErr w:type="spellStart"/>
      <w:r w:rsidRPr="008B72F0">
        <w:rPr>
          <w:rFonts w:ascii="Times New Roman" w:eastAsia="Arial Unicode MS" w:hAnsi="Times New Roman"/>
          <w:color w:val="000000"/>
          <w:szCs w:val="22"/>
          <w:bdr w:val="nil"/>
          <w:lang w:val="en-US" w:eastAsia="lt-LT"/>
        </w:rPr>
        <w:t>Išnagrinėjusi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įvertinusi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palyginusi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įtraukiami</w:t>
      </w:r>
      <w:proofErr w:type="spellEnd"/>
      <w:r w:rsidRPr="008B72F0">
        <w:rPr>
          <w:rFonts w:ascii="Times New Roman" w:eastAsia="Arial Unicode MS" w:hAnsi="Times New Roman"/>
          <w:color w:val="000000"/>
          <w:szCs w:val="22"/>
          <w:bdr w:val="nil"/>
          <w:lang w:val="en-US" w:eastAsia="lt-LT"/>
        </w:rPr>
        <w:t xml:space="preserve">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įrašomas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anksčiau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Laimėtoju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pasirenkamas</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toks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bet ne </w:t>
      </w:r>
      <w:proofErr w:type="spellStart"/>
      <w:r w:rsidRPr="008B72F0">
        <w:rPr>
          <w:rFonts w:ascii="Times New Roman" w:eastAsia="Arial Unicode MS" w:hAnsi="Times New Roman"/>
          <w:color w:val="000000"/>
          <w:szCs w:val="22"/>
          <w:bdr w:val="nil"/>
          <w:lang w:val="en-US" w:eastAsia="lt-LT"/>
        </w:rPr>
        <w:t>vėliau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per 5 (</w:t>
      </w:r>
      <w:proofErr w:type="spellStart"/>
      <w:r w:rsidRPr="008B72F0">
        <w:rPr>
          <w:rFonts w:ascii="Times New Roman" w:eastAsia="Arial Unicode MS" w:hAnsi="Times New Roman"/>
          <w:color w:val="000000"/>
          <w:szCs w:val="22"/>
          <w:bdr w:val="nil"/>
          <w:lang w:val="en-US" w:eastAsia="lt-LT"/>
        </w:rPr>
        <w:t>penkias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neįrašyti</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šią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pranešama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nusprendžiama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priežastys</w:t>
      </w:r>
      <w:proofErr w:type="spellEnd"/>
      <w:r w:rsidRPr="008B72F0">
        <w:rPr>
          <w:rFonts w:ascii="Times New Roman" w:eastAsia="Arial Unicode MS" w:hAnsi="Times New Roman"/>
          <w:color w:val="000000"/>
          <w:szCs w:val="22"/>
          <w:bdr w:val="nil"/>
          <w:lang w:val="en-US" w:eastAsia="lt-LT"/>
        </w:rPr>
        <w:t>.</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13.3.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atidėjimo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netaikomas</w:t>
      </w:r>
      <w:proofErr w:type="spellEnd"/>
      <w:r w:rsidRPr="008B72F0">
        <w:rPr>
          <w:rFonts w:ascii="Times New Roman" w:eastAsia="Arial Unicode MS" w:hAnsi="Times New Roman"/>
          <w:color w:val="000000"/>
          <w:szCs w:val="22"/>
          <w:bdr w:val="nil"/>
          <w:lang w:val="en-US" w:eastAsia="lt-LT"/>
        </w:rPr>
        <w:t>.</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tam </w:t>
      </w:r>
      <w:proofErr w:type="spellStart"/>
      <w:r w:rsidRPr="008B72F0">
        <w:rPr>
          <w:rFonts w:ascii="Times New Roman" w:eastAsia="Arial Unicode MS" w:hAnsi="Times New Roman"/>
          <w:color w:val="000000"/>
          <w:szCs w:val="22"/>
          <w:bdr w:val="nil"/>
          <w:lang w:val="en-US" w:eastAsia="lt-LT"/>
        </w:rPr>
        <w:t>dalyviui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laimėjusiu</w:t>
      </w:r>
      <w:proofErr w:type="spellEnd"/>
      <w:r w:rsidRPr="008B72F0">
        <w:rPr>
          <w:rFonts w:ascii="Times New Roman" w:eastAsia="Arial Unicode MS" w:hAnsi="Times New Roman"/>
          <w:color w:val="000000"/>
          <w:szCs w:val="22"/>
          <w:bdr w:val="nil"/>
          <w:lang w:val="en-US" w:eastAsia="lt-LT"/>
        </w:rPr>
        <w:t>.</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13.5.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89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įforminami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abiejų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jie</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neatskiriamos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dalys</w:t>
      </w:r>
      <w:proofErr w:type="spellEnd"/>
      <w:r w:rsidRPr="008B72F0">
        <w:rPr>
          <w:rFonts w:ascii="Times New Roman" w:eastAsia="Arial Unicode MS" w:hAnsi="Times New Roman"/>
          <w:color w:val="000000"/>
          <w:szCs w:val="22"/>
          <w:bdr w:val="nil"/>
          <w:lang w:val="en-US" w:eastAsia="lt-LT"/>
        </w:rPr>
        <w:t>.</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13.6. </w:t>
      </w:r>
      <w:proofErr w:type="spellStart"/>
      <w:r w:rsidRPr="008B72F0">
        <w:rPr>
          <w:rFonts w:ascii="Times New Roman" w:eastAsia="Arial Unicode MS" w:hAnsi="Times New Roman"/>
          <w:color w:val="000000"/>
          <w:szCs w:val="22"/>
          <w:bdr w:val="nil"/>
          <w:lang w:val="en-US" w:eastAsia="lt-LT"/>
        </w:rPr>
        <w:t>Viešąjį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13.7.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reikalaujama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neatvyksta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atsisakiusio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13.8.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nuspręsti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paaiškėja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17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dalies</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punkte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aplinkos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apsaugos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socialinės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įpareigojimų</w:t>
      </w:r>
      <w:proofErr w:type="spellEnd"/>
      <w:r w:rsidRPr="008B72F0">
        <w:rPr>
          <w:rFonts w:ascii="Times New Roman" w:eastAsia="Arial Unicode MS" w:hAnsi="Times New Roman"/>
          <w:color w:val="000000"/>
          <w:szCs w:val="22"/>
          <w:bdr w:val="nil"/>
          <w:lang w:val="en-US" w:eastAsia="lt-LT"/>
        </w:rPr>
        <w:t>.</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nutraukti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norėdamas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ginčyti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skundžiamas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teismui</w:t>
      </w:r>
      <w:proofErr w:type="spellEnd"/>
      <w:r w:rsidRPr="008B72F0">
        <w:rPr>
          <w:rFonts w:ascii="Times New Roman" w:eastAsia="Arial Unicode MS" w:hAnsi="Times New Roman"/>
          <w:color w:val="000000"/>
          <w:szCs w:val="22"/>
          <w:bdr w:val="nil"/>
          <w:lang w:val="en-US" w:eastAsia="lt-LT"/>
        </w:rPr>
        <w:t>.</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Neprivaloma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pakartotinai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to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veiksmo</w:t>
      </w:r>
      <w:proofErr w:type="spellEnd"/>
      <w:r w:rsidRPr="008B72F0">
        <w:rPr>
          <w:rFonts w:ascii="Times New Roman" w:eastAsia="Arial Unicode MS" w:hAnsi="Times New Roman"/>
          <w:color w:val="000000"/>
          <w:szCs w:val="22"/>
          <w:bdr w:val="nil"/>
          <w:lang w:val="en-US" w:eastAsia="lt-LT"/>
        </w:rPr>
        <w:t>.</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14.3.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gavusi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sustabdo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kol</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išnagrinėta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Heading1"/>
        <w:jc w:val="both"/>
        <w:rPr>
          <w:b w:val="0"/>
          <w:bCs/>
          <w:sz w:val="24"/>
          <w:szCs w:val="24"/>
        </w:rPr>
      </w:pPr>
    </w:p>
    <w:p w14:paraId="3182156B" w14:textId="52A2DEAF" w:rsidR="000B5A21" w:rsidRDefault="000B5A21" w:rsidP="00212ECF">
      <w:pPr>
        <w:pStyle w:val="Heading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39A85D8F" w14:textId="77777777" w:rsidR="009B1566" w:rsidRPr="008B72F0" w:rsidRDefault="009B1566" w:rsidP="008B72F0">
      <w:pPr>
        <w:rPr>
          <w:lang w:eastAsia="lt-LT"/>
        </w:rPr>
      </w:pPr>
    </w:p>
    <w:p w14:paraId="4E0A1A80" w14:textId="30E1FD7B" w:rsidR="000B5A21" w:rsidRDefault="000B5A21" w:rsidP="00212ECF">
      <w:pPr>
        <w:pStyle w:val="Heading1"/>
        <w:jc w:val="both"/>
        <w:rPr>
          <w:b w:val="0"/>
          <w:bCs/>
          <w:sz w:val="24"/>
          <w:szCs w:val="24"/>
        </w:rPr>
      </w:pPr>
    </w:p>
    <w:p w14:paraId="68C627C8" w14:textId="14F10FAB" w:rsidR="008A06EE" w:rsidRDefault="008A06EE" w:rsidP="008A06EE">
      <w:pPr>
        <w:rPr>
          <w:lang w:eastAsia="lt-LT"/>
        </w:rPr>
      </w:pPr>
    </w:p>
    <w:p w14:paraId="7EF2D368" w14:textId="44A53724" w:rsidR="008A06EE" w:rsidRDefault="008A06EE" w:rsidP="008A06EE">
      <w:pPr>
        <w:rPr>
          <w:lang w:eastAsia="lt-LT"/>
        </w:rPr>
      </w:pPr>
    </w:p>
    <w:p w14:paraId="11412B62" w14:textId="0C2A1723" w:rsidR="008A06EE" w:rsidRDefault="008A06EE" w:rsidP="008A06EE">
      <w:pPr>
        <w:rPr>
          <w:lang w:eastAsia="lt-LT"/>
        </w:rPr>
      </w:pPr>
    </w:p>
    <w:p w14:paraId="68963D0A" w14:textId="66B095A7" w:rsidR="005928D3" w:rsidRDefault="005928D3" w:rsidP="00C807AE">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Heading1"/>
        <w:jc w:val="both"/>
        <w:rPr>
          <w:szCs w:val="22"/>
        </w:rPr>
      </w:pPr>
    </w:p>
    <w:p w14:paraId="5639E79E" w14:textId="14E9DC59" w:rsidR="006C1861" w:rsidRPr="00855A7E" w:rsidRDefault="007854AD" w:rsidP="00564984">
      <w:pPr>
        <w:pStyle w:val="Heading1"/>
        <w:jc w:val="right"/>
        <w:rPr>
          <w:sz w:val="24"/>
          <w:szCs w:val="24"/>
        </w:rPr>
      </w:pPr>
      <w:r w:rsidRPr="00855A7E">
        <w:rPr>
          <w:sz w:val="24"/>
          <w:szCs w:val="24"/>
        </w:rPr>
        <w:t>Priedas Nr.1</w:t>
      </w:r>
    </w:p>
    <w:p w14:paraId="1EAD7C0D" w14:textId="77777777" w:rsidR="007854AD" w:rsidRPr="00916559" w:rsidRDefault="007854AD" w:rsidP="00916559">
      <w:pPr>
        <w:pStyle w:val="Heading1"/>
        <w:rPr>
          <w:szCs w:val="22"/>
        </w:rPr>
      </w:pPr>
      <w:r w:rsidRPr="00916559">
        <w:rPr>
          <w:szCs w:val="22"/>
        </w:rPr>
        <w:t>PASIŪLYMAS</w:t>
      </w:r>
    </w:p>
    <w:p w14:paraId="4C2050F0" w14:textId="049C6641" w:rsidR="007854AD" w:rsidRPr="00916559" w:rsidRDefault="006C1861" w:rsidP="006C1861">
      <w:pPr>
        <w:pStyle w:val="Heading1"/>
        <w:rPr>
          <w:szCs w:val="22"/>
        </w:rPr>
      </w:pPr>
      <w:r>
        <w:rPr>
          <w:szCs w:val="22"/>
        </w:rPr>
        <w:t xml:space="preserve">DĖL  </w:t>
      </w:r>
      <w:r w:rsidR="00243E66">
        <w:rPr>
          <w:szCs w:val="22"/>
        </w:rPr>
        <w:t>UTRAGARSO ĮRANGOS (ECHOSKOPO)</w:t>
      </w:r>
      <w:r>
        <w:rPr>
          <w:szCs w:val="22"/>
        </w:rPr>
        <w:t xml:space="preserve">  PIRKIMO</w:t>
      </w:r>
    </w:p>
    <w:p w14:paraId="0ECDED05" w14:textId="77777777" w:rsidR="007854AD" w:rsidRPr="00916559" w:rsidRDefault="00AC53BB" w:rsidP="00916559">
      <w:pPr>
        <w:pStyle w:val="Heading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Heading1"/>
        <w:rPr>
          <w:b w:val="0"/>
          <w:bCs/>
          <w:szCs w:val="22"/>
          <w:lang w:val="pt-BR"/>
        </w:rPr>
      </w:pPr>
      <w:r w:rsidRPr="00564984">
        <w:rPr>
          <w:b w:val="0"/>
          <w:bCs/>
          <w:szCs w:val="22"/>
          <w:lang w:val="pt-BR"/>
        </w:rPr>
        <w:t>(Data)</w:t>
      </w:r>
    </w:p>
    <w:p w14:paraId="698F6116" w14:textId="77777777" w:rsidR="007854AD" w:rsidRPr="00916559" w:rsidRDefault="007854AD" w:rsidP="00916559">
      <w:pPr>
        <w:pStyle w:val="Heading1"/>
        <w:rPr>
          <w:szCs w:val="22"/>
        </w:rPr>
      </w:pPr>
      <w:r w:rsidRPr="00916559">
        <w:rPr>
          <w:szCs w:val="22"/>
        </w:rPr>
        <w:t>____________________</w:t>
      </w:r>
    </w:p>
    <w:p w14:paraId="3C8C8274" w14:textId="77777777" w:rsidR="007854AD" w:rsidRPr="00916559" w:rsidRDefault="007854AD" w:rsidP="00916559">
      <w:pPr>
        <w:pStyle w:val="Heading1"/>
        <w:rPr>
          <w:b w:val="0"/>
          <w:bCs/>
          <w:szCs w:val="22"/>
        </w:rPr>
      </w:pPr>
      <w:r w:rsidRPr="00916559">
        <w:rPr>
          <w:b w:val="0"/>
          <w:bCs/>
          <w:szCs w:val="22"/>
        </w:rPr>
        <w:t>(Vieta)</w:t>
      </w:r>
    </w:p>
    <w:p w14:paraId="75756079" w14:textId="77777777" w:rsidR="007854AD" w:rsidRPr="00916559" w:rsidRDefault="007854AD" w:rsidP="00916559">
      <w:pPr>
        <w:pStyle w:val="Heading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3302F4F9" w14:textId="77777777" w:rsidR="007854AD" w:rsidRPr="00916559" w:rsidRDefault="007854AD" w:rsidP="00916559">
            <w:pPr>
              <w:pStyle w:val="Heading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4FA972E" w14:textId="77777777" w:rsidR="007854AD" w:rsidRPr="00916559" w:rsidRDefault="007854AD" w:rsidP="00916559">
            <w:pPr>
              <w:pStyle w:val="Heading1"/>
              <w:jc w:val="both"/>
              <w:rPr>
                <w:b w:val="0"/>
                <w:bCs/>
                <w:szCs w:val="22"/>
              </w:rPr>
            </w:pPr>
          </w:p>
          <w:p w14:paraId="0C86949C" w14:textId="77777777" w:rsidR="007854AD" w:rsidRPr="00916559" w:rsidRDefault="007854AD" w:rsidP="00916559">
            <w:pPr>
              <w:pStyle w:val="Heading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6DEBE8CB" w14:textId="77777777" w:rsidR="007854AD" w:rsidRPr="00916559" w:rsidRDefault="007854AD" w:rsidP="00916559">
            <w:pPr>
              <w:pStyle w:val="Heading1"/>
              <w:jc w:val="both"/>
              <w:rPr>
                <w:b w:val="0"/>
                <w:bCs/>
                <w:szCs w:val="22"/>
              </w:rPr>
            </w:pPr>
            <w:r w:rsidRPr="00916559">
              <w:rPr>
                <w:b w:val="0"/>
                <w:bCs/>
                <w:szCs w:val="22"/>
              </w:rPr>
              <w:t>Tiekėjo adresas</w:t>
            </w:r>
          </w:p>
          <w:p w14:paraId="0E4EB5FA"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CA7DF9B" w14:textId="77777777" w:rsidR="007854AD" w:rsidRPr="00916559" w:rsidRDefault="007854AD" w:rsidP="00916559">
            <w:pPr>
              <w:pStyle w:val="Heading1"/>
              <w:jc w:val="both"/>
              <w:rPr>
                <w:b w:val="0"/>
                <w:bCs/>
                <w:szCs w:val="22"/>
              </w:rPr>
            </w:pPr>
          </w:p>
          <w:p w14:paraId="4F3A2875" w14:textId="77777777" w:rsidR="007854AD" w:rsidRPr="00916559" w:rsidRDefault="007854AD" w:rsidP="00916559">
            <w:pPr>
              <w:pStyle w:val="Heading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72711431" w14:textId="77777777" w:rsidR="007854AD" w:rsidRPr="00916559" w:rsidRDefault="007854AD" w:rsidP="00564984">
            <w:pPr>
              <w:pStyle w:val="Heading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72091F6" w14:textId="77777777" w:rsidR="007854AD" w:rsidRPr="00916559" w:rsidRDefault="007854AD" w:rsidP="00916559">
            <w:pPr>
              <w:pStyle w:val="Heading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22823942" w14:textId="77777777" w:rsidR="007854AD" w:rsidRPr="00916559" w:rsidRDefault="007854AD" w:rsidP="00564984">
            <w:pPr>
              <w:pStyle w:val="Heading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12BA112A" w14:textId="77777777" w:rsidR="007854AD" w:rsidRPr="00916559" w:rsidRDefault="007854AD" w:rsidP="00916559">
            <w:pPr>
              <w:pStyle w:val="Heading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077579CC" w14:textId="77777777" w:rsidR="007854AD" w:rsidRPr="00916559" w:rsidRDefault="007854AD" w:rsidP="00564984">
            <w:pPr>
              <w:pStyle w:val="Heading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41572D6D" w14:textId="77777777" w:rsidR="007854AD" w:rsidRPr="00916559" w:rsidRDefault="007854AD" w:rsidP="00916559">
            <w:pPr>
              <w:pStyle w:val="Heading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46E989B" w14:textId="77777777" w:rsidR="007854AD" w:rsidRPr="00916559" w:rsidRDefault="007854AD" w:rsidP="00564984">
            <w:pPr>
              <w:pStyle w:val="Heading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81F82E9" w14:textId="77777777" w:rsidR="007854AD" w:rsidRPr="00916559" w:rsidRDefault="007854AD" w:rsidP="00916559">
            <w:pPr>
              <w:pStyle w:val="Heading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6B590CA" w14:textId="77777777" w:rsidR="007854AD" w:rsidRPr="00916559" w:rsidRDefault="007854AD" w:rsidP="00564984">
            <w:pPr>
              <w:pStyle w:val="Heading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E80409D" w14:textId="77777777" w:rsidR="007854AD" w:rsidRPr="00916559" w:rsidRDefault="007854AD" w:rsidP="00916559">
            <w:pPr>
              <w:pStyle w:val="Heading1"/>
              <w:jc w:val="both"/>
              <w:rPr>
                <w:b w:val="0"/>
                <w:bCs/>
                <w:szCs w:val="22"/>
              </w:rPr>
            </w:pPr>
          </w:p>
        </w:tc>
      </w:tr>
    </w:tbl>
    <w:p w14:paraId="243AADA3" w14:textId="77777777" w:rsidR="007854AD" w:rsidRPr="00916559" w:rsidRDefault="007854AD" w:rsidP="00916559">
      <w:pPr>
        <w:pStyle w:val="Heading1"/>
        <w:jc w:val="both"/>
        <w:rPr>
          <w:b w:val="0"/>
          <w:bCs/>
          <w:szCs w:val="22"/>
        </w:rPr>
      </w:pPr>
    </w:p>
    <w:p w14:paraId="7A241197" w14:textId="77777777" w:rsidR="00003FAD" w:rsidRPr="00916559" w:rsidRDefault="00003FAD" w:rsidP="00916559">
      <w:pPr>
        <w:pStyle w:val="Heading1"/>
        <w:jc w:val="both"/>
        <w:rPr>
          <w:b w:val="0"/>
          <w:bCs/>
          <w:spacing w:val="-4"/>
          <w:szCs w:val="22"/>
        </w:rPr>
      </w:pPr>
      <w:r w:rsidRPr="00916559">
        <w:rPr>
          <w:b w:val="0"/>
          <w:bCs/>
          <w:i/>
          <w:spacing w:val="-4"/>
          <w:szCs w:val="22"/>
        </w:rPr>
        <w:t>Pildoma, jei tiekėjas ketina pasitelkti subtiekėją (-</w:t>
      </w:r>
      <w:proofErr w:type="spellStart"/>
      <w:r w:rsidRPr="00916559">
        <w:rPr>
          <w:b w:val="0"/>
          <w:bCs/>
          <w:i/>
          <w:spacing w:val="-4"/>
          <w:szCs w:val="22"/>
        </w:rPr>
        <w:t>us</w:t>
      </w:r>
      <w:proofErr w:type="spellEnd"/>
      <w:r w:rsidRPr="00916559">
        <w:rPr>
          <w:b w:val="0"/>
          <w:bCs/>
          <w:i/>
          <w:spacing w:val="-4"/>
          <w:szCs w:val="22"/>
        </w:rPr>
        <w:t>)</w:t>
      </w:r>
      <w:r w:rsidRPr="00916559">
        <w:rPr>
          <w:b w:val="0"/>
          <w:bCs/>
          <w:i/>
          <w:strike/>
          <w:spacing w:val="-4"/>
          <w:szCs w:val="22"/>
        </w:rPr>
        <w:t>,</w:t>
      </w:r>
      <w:r w:rsidRPr="00916559">
        <w:rPr>
          <w:b w:val="0"/>
          <w:bCs/>
          <w:i/>
          <w:spacing w:val="-4"/>
          <w:szCs w:val="22"/>
        </w:rPr>
        <w:t xml:space="preserve"> ar subtiekėją (-</w:t>
      </w:r>
      <w:proofErr w:type="spellStart"/>
      <w:r w:rsidRPr="00916559">
        <w:rPr>
          <w:b w:val="0"/>
          <w:bCs/>
          <w:i/>
          <w:spacing w:val="-4"/>
          <w:szCs w:val="22"/>
        </w:rPr>
        <w:t>us</w:t>
      </w:r>
      <w:proofErr w:type="spellEnd"/>
      <w:r w:rsidRPr="00916559">
        <w:rPr>
          <w:b w:val="0"/>
          <w:bCs/>
          <w:i/>
          <w:spacing w:val="-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Heading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Heading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Heading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Heading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Heading1"/>
              <w:jc w:val="both"/>
              <w:rPr>
                <w:b w:val="0"/>
                <w:bCs/>
                <w:szCs w:val="22"/>
              </w:rPr>
            </w:pPr>
            <w:r w:rsidRPr="00916559">
              <w:rPr>
                <w:b w:val="0"/>
                <w:bCs/>
                <w:szCs w:val="22"/>
              </w:rPr>
              <w:t>Įsipareigojimų dalis (procentais), kuriai ketinama pasitelkti subtiekėją (-</w:t>
            </w:r>
            <w:proofErr w:type="spellStart"/>
            <w:r w:rsidRPr="00916559">
              <w:rPr>
                <w:b w:val="0"/>
                <w:bCs/>
                <w:szCs w:val="22"/>
              </w:rPr>
              <w:t>us</w:t>
            </w:r>
            <w:proofErr w:type="spellEnd"/>
            <w:r w:rsidRPr="00916559">
              <w:rPr>
                <w:b w:val="0"/>
                <w:bCs/>
                <w:szCs w:val="22"/>
              </w:rPr>
              <w:t>) ar subtiekėją (-</w:t>
            </w:r>
            <w:proofErr w:type="spellStart"/>
            <w:r w:rsidRPr="00916559">
              <w:rPr>
                <w:b w:val="0"/>
                <w:bCs/>
                <w:szCs w:val="22"/>
              </w:rPr>
              <w:t>us</w:t>
            </w:r>
            <w:proofErr w:type="spellEnd"/>
            <w:r w:rsidRPr="00916559">
              <w:rPr>
                <w:b w:val="0"/>
                <w:bCs/>
                <w:szCs w:val="22"/>
              </w:rPr>
              <w:t>)</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Heading1"/>
              <w:jc w:val="both"/>
              <w:rPr>
                <w:b w:val="0"/>
                <w:bCs/>
                <w:szCs w:val="22"/>
              </w:rPr>
            </w:pPr>
          </w:p>
        </w:tc>
      </w:tr>
    </w:tbl>
    <w:p w14:paraId="54DB6610" w14:textId="77777777" w:rsidR="00003FAD" w:rsidRPr="00916559" w:rsidRDefault="00003FAD" w:rsidP="00916559">
      <w:pPr>
        <w:pStyle w:val="Heading1"/>
        <w:jc w:val="both"/>
        <w:rPr>
          <w:b w:val="0"/>
          <w:bCs/>
          <w:szCs w:val="22"/>
        </w:rPr>
      </w:pPr>
    </w:p>
    <w:p w14:paraId="7FE74781" w14:textId="77777777" w:rsidR="00003FAD" w:rsidRPr="00916559" w:rsidRDefault="00003FAD" w:rsidP="00916559">
      <w:pPr>
        <w:pStyle w:val="Heading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Heading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Heading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Heading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Heading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TableGrid"/>
        <w:tblW w:w="9005" w:type="dxa"/>
        <w:tblInd w:w="488" w:type="dxa"/>
        <w:tblLayout w:type="fixed"/>
        <w:tblLook w:val="04A0" w:firstRow="1" w:lastRow="0" w:firstColumn="1" w:lastColumn="0" w:noHBand="0" w:noVBand="1"/>
      </w:tblPr>
      <w:tblGrid>
        <w:gridCol w:w="986"/>
        <w:gridCol w:w="2134"/>
        <w:gridCol w:w="1417"/>
        <w:gridCol w:w="837"/>
        <w:gridCol w:w="937"/>
        <w:gridCol w:w="1276"/>
        <w:gridCol w:w="1418"/>
      </w:tblGrid>
      <w:tr w:rsidR="00243E66" w14:paraId="1B537F8D" w14:textId="77777777" w:rsidTr="00F97109">
        <w:tc>
          <w:tcPr>
            <w:tcW w:w="986" w:type="dxa"/>
            <w:tcBorders>
              <w:top w:val="single" w:sz="4" w:space="0" w:color="auto"/>
              <w:left w:val="single" w:sz="4" w:space="0" w:color="auto"/>
              <w:bottom w:val="single" w:sz="4" w:space="0" w:color="auto"/>
              <w:right w:val="single" w:sz="4" w:space="0" w:color="auto"/>
            </w:tcBorders>
          </w:tcPr>
          <w:p w14:paraId="5E6F4E7C" w14:textId="0D03CA34" w:rsidR="00243E66" w:rsidRPr="006C3CDC" w:rsidRDefault="00243E66" w:rsidP="003F3D7E">
            <w:pPr>
              <w:pStyle w:val="Heading1"/>
              <w:rPr>
                <w:szCs w:val="22"/>
              </w:rPr>
            </w:pPr>
            <w:r w:rsidRPr="006C3CDC">
              <w:rPr>
                <w:szCs w:val="22"/>
              </w:rPr>
              <w:t>Pirkimo dalies</w:t>
            </w:r>
          </w:p>
          <w:p w14:paraId="4E301EF2" w14:textId="23196ECE"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Nr.</w:t>
            </w:r>
          </w:p>
        </w:tc>
        <w:tc>
          <w:tcPr>
            <w:tcW w:w="2134" w:type="dxa"/>
            <w:tcBorders>
              <w:top w:val="single" w:sz="4" w:space="0" w:color="auto"/>
              <w:left w:val="single" w:sz="4" w:space="0" w:color="auto"/>
              <w:bottom w:val="single" w:sz="4" w:space="0" w:color="auto"/>
              <w:right w:val="single" w:sz="4" w:space="0" w:color="auto"/>
            </w:tcBorders>
          </w:tcPr>
          <w:p w14:paraId="2720101E" w14:textId="1019545F" w:rsidR="00243E66" w:rsidRPr="006C3CDC" w:rsidRDefault="00243E66"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14171F73" w14:textId="18219FA5" w:rsidR="00243E66" w:rsidRPr="006C3CDC" w:rsidRDefault="00243E66"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6BF8FF73" w14:textId="77777777" w:rsidR="00243E66" w:rsidRPr="006C3CDC" w:rsidRDefault="00243E66" w:rsidP="007A6AB1">
            <w:pPr>
              <w:pStyle w:val="Heading1"/>
              <w:rPr>
                <w:szCs w:val="22"/>
              </w:rPr>
            </w:pPr>
            <w:r w:rsidRPr="006C3CDC">
              <w:rPr>
                <w:szCs w:val="22"/>
              </w:rPr>
              <w:t>Mato</w:t>
            </w:r>
          </w:p>
          <w:p w14:paraId="41F1F95C" w14:textId="5E6E1B6B" w:rsidR="00243E66" w:rsidRPr="006C3CDC" w:rsidRDefault="00243E66"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243E66" w:rsidRPr="006C3CDC" w:rsidRDefault="00243E66" w:rsidP="003F3D7E">
            <w:pPr>
              <w:jc w:val="center"/>
              <w:rPr>
                <w:rFonts w:ascii="Times New Roman" w:hAnsi="Times New Roman"/>
                <w:b/>
                <w:lang w:val="pt-BR" w:eastAsia="lt-LT"/>
              </w:rPr>
            </w:pPr>
          </w:p>
        </w:tc>
        <w:tc>
          <w:tcPr>
            <w:tcW w:w="937" w:type="dxa"/>
            <w:tcBorders>
              <w:top w:val="single" w:sz="4" w:space="0" w:color="auto"/>
              <w:left w:val="single" w:sz="4" w:space="0" w:color="auto"/>
              <w:bottom w:val="single" w:sz="4" w:space="0" w:color="auto"/>
              <w:right w:val="single" w:sz="4" w:space="0" w:color="auto"/>
            </w:tcBorders>
          </w:tcPr>
          <w:p w14:paraId="7F0D45E1" w14:textId="7267DA0C" w:rsidR="00243E66" w:rsidRPr="006C3CDC" w:rsidRDefault="00243E66"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60FEC7D3" w14:textId="34BEC2E8"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1418" w:type="dxa"/>
            <w:tcBorders>
              <w:top w:val="single" w:sz="4" w:space="0" w:color="auto"/>
              <w:left w:val="single" w:sz="4" w:space="0" w:color="auto"/>
              <w:bottom w:val="single" w:sz="4" w:space="0" w:color="auto"/>
              <w:right w:val="single" w:sz="4" w:space="0" w:color="auto"/>
            </w:tcBorders>
          </w:tcPr>
          <w:p w14:paraId="426CD299" w14:textId="77777777" w:rsidR="00243E66" w:rsidRPr="006C3CDC" w:rsidRDefault="00243E66" w:rsidP="003F3D7E">
            <w:pPr>
              <w:pStyle w:val="Heading1"/>
              <w:rPr>
                <w:szCs w:val="22"/>
              </w:rPr>
            </w:pPr>
            <w:r w:rsidRPr="006C3CDC">
              <w:rPr>
                <w:szCs w:val="22"/>
              </w:rPr>
              <w:t>Vieneto</w:t>
            </w:r>
          </w:p>
          <w:p w14:paraId="63D810F8" w14:textId="77777777" w:rsidR="00243E66" w:rsidRPr="006C3CDC" w:rsidRDefault="00243E66" w:rsidP="003F3D7E">
            <w:pPr>
              <w:pStyle w:val="Heading1"/>
              <w:rPr>
                <w:szCs w:val="22"/>
              </w:rPr>
            </w:pPr>
            <w:r w:rsidRPr="006C3CDC">
              <w:rPr>
                <w:szCs w:val="22"/>
              </w:rPr>
              <w:t>kaina</w:t>
            </w:r>
          </w:p>
          <w:p w14:paraId="14A50F95" w14:textId="730FEEAE" w:rsidR="00243E66" w:rsidRPr="006C3CDC" w:rsidRDefault="00243E66" w:rsidP="00564984">
            <w:pPr>
              <w:pStyle w:val="Heading1"/>
              <w:jc w:val="both"/>
              <w:rPr>
                <w:szCs w:val="22"/>
              </w:rPr>
            </w:pPr>
            <w:r w:rsidRPr="006C3CDC">
              <w:rPr>
                <w:szCs w:val="22"/>
              </w:rPr>
              <w:t>su PVM</w:t>
            </w:r>
          </w:p>
        </w:tc>
      </w:tr>
      <w:tr w:rsidR="00243E66" w14:paraId="0C55B1E5" w14:textId="77777777" w:rsidTr="00F97109">
        <w:trPr>
          <w:trHeight w:val="593"/>
        </w:trPr>
        <w:tc>
          <w:tcPr>
            <w:tcW w:w="986" w:type="dxa"/>
            <w:tcBorders>
              <w:top w:val="single" w:sz="4" w:space="0" w:color="auto"/>
              <w:left w:val="single" w:sz="4" w:space="0" w:color="auto"/>
              <w:bottom w:val="single" w:sz="4" w:space="0" w:color="auto"/>
              <w:right w:val="single" w:sz="4" w:space="0" w:color="auto"/>
            </w:tcBorders>
          </w:tcPr>
          <w:p w14:paraId="6D511571" w14:textId="056C402C"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1</w:t>
            </w:r>
          </w:p>
        </w:tc>
        <w:tc>
          <w:tcPr>
            <w:tcW w:w="2134" w:type="dxa"/>
            <w:tcBorders>
              <w:top w:val="single" w:sz="4" w:space="0" w:color="auto"/>
              <w:left w:val="single" w:sz="4" w:space="0" w:color="auto"/>
              <w:bottom w:val="single" w:sz="4" w:space="0" w:color="auto"/>
              <w:right w:val="single" w:sz="4" w:space="0" w:color="auto"/>
            </w:tcBorders>
          </w:tcPr>
          <w:p w14:paraId="5AB08C5B" w14:textId="22BCE473" w:rsidR="00243E66" w:rsidRPr="006C3CDC" w:rsidRDefault="00243E66" w:rsidP="004A393C">
            <w:pPr>
              <w:jc w:val="left"/>
              <w:rPr>
                <w:rFonts w:ascii="Times New Roman" w:hAnsi="Times New Roman"/>
                <w:b/>
                <w:bCs/>
                <w:szCs w:val="22"/>
              </w:rPr>
            </w:pPr>
            <w:r>
              <w:rPr>
                <w:rFonts w:ascii="Times New Roman" w:hAnsi="Times New Roman"/>
                <w:b/>
                <w:bCs/>
                <w:szCs w:val="22"/>
              </w:rPr>
              <w:t>Ultragarso įranga (echoskopas)</w:t>
            </w:r>
          </w:p>
        </w:tc>
        <w:tc>
          <w:tcPr>
            <w:tcW w:w="1417" w:type="dxa"/>
            <w:tcBorders>
              <w:top w:val="single" w:sz="4" w:space="0" w:color="auto"/>
              <w:left w:val="single" w:sz="4" w:space="0" w:color="auto"/>
              <w:bottom w:val="single" w:sz="4" w:space="0" w:color="auto"/>
              <w:right w:val="single" w:sz="4" w:space="0" w:color="auto"/>
            </w:tcBorders>
          </w:tcPr>
          <w:p w14:paraId="42056616" w14:textId="2C2D3C60" w:rsidR="00243E66" w:rsidRPr="006C3CDC" w:rsidRDefault="00243E66" w:rsidP="007A6AB1">
            <w:pPr>
              <w:jc w:val="center"/>
              <w:rPr>
                <w:rFonts w:ascii="Times New Roman" w:hAnsi="Times New Roman"/>
                <w:szCs w:val="22"/>
                <w:lang w:val="pt-BR" w:eastAsia="lt-LT"/>
              </w:rPr>
            </w:pPr>
          </w:p>
        </w:tc>
        <w:tc>
          <w:tcPr>
            <w:tcW w:w="837" w:type="dxa"/>
            <w:tcBorders>
              <w:top w:val="single" w:sz="4" w:space="0" w:color="auto"/>
              <w:left w:val="single" w:sz="4" w:space="0" w:color="auto"/>
              <w:bottom w:val="single" w:sz="4" w:space="0" w:color="auto"/>
              <w:right w:val="single" w:sz="4" w:space="0" w:color="auto"/>
            </w:tcBorders>
          </w:tcPr>
          <w:p w14:paraId="593A49C7" w14:textId="77777777"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Vnt.</w:t>
            </w:r>
          </w:p>
        </w:tc>
        <w:tc>
          <w:tcPr>
            <w:tcW w:w="937" w:type="dxa"/>
            <w:tcBorders>
              <w:top w:val="single" w:sz="4" w:space="0" w:color="auto"/>
              <w:left w:val="single" w:sz="4" w:space="0" w:color="auto"/>
              <w:bottom w:val="single" w:sz="4" w:space="0" w:color="auto"/>
              <w:right w:val="single" w:sz="4" w:space="0" w:color="auto"/>
            </w:tcBorders>
          </w:tcPr>
          <w:p w14:paraId="642A2A77" w14:textId="3F74CADE"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lang w:val="pt-BR" w:eastAsia="lt-LT"/>
              </w:rPr>
              <w:t>1</w:t>
            </w:r>
          </w:p>
        </w:tc>
        <w:tc>
          <w:tcPr>
            <w:tcW w:w="1276" w:type="dxa"/>
          </w:tcPr>
          <w:p w14:paraId="40ABF437" w14:textId="77777777" w:rsidR="00243E66" w:rsidRPr="006C3CDC" w:rsidRDefault="00243E66" w:rsidP="00EC14A9">
            <w:pPr>
              <w:rPr>
                <w:rFonts w:ascii="Times New Roman" w:hAnsi="Times New Roman"/>
                <w:lang w:val="pt-BR" w:eastAsia="lt-LT"/>
              </w:rPr>
            </w:pPr>
          </w:p>
        </w:tc>
        <w:tc>
          <w:tcPr>
            <w:tcW w:w="1418" w:type="dxa"/>
          </w:tcPr>
          <w:p w14:paraId="023A2979" w14:textId="77777777" w:rsidR="00243E66" w:rsidRPr="006C3CDC" w:rsidRDefault="00243E66" w:rsidP="00EC14A9">
            <w:pPr>
              <w:rPr>
                <w:rFonts w:ascii="Times New Roman" w:hAnsi="Times New Roman"/>
                <w:lang w:val="pt-BR" w:eastAsia="lt-LT"/>
              </w:rPr>
            </w:pPr>
          </w:p>
        </w:tc>
      </w:tr>
      <w:tr w:rsidR="00564984" w14:paraId="1E2A2EC1" w14:textId="77777777" w:rsidTr="00F97109">
        <w:trPr>
          <w:trHeight w:val="359"/>
        </w:trPr>
        <w:tc>
          <w:tcPr>
            <w:tcW w:w="9005" w:type="dxa"/>
            <w:gridSpan w:val="7"/>
            <w:tcBorders>
              <w:top w:val="single" w:sz="4" w:space="0" w:color="auto"/>
              <w:left w:val="single" w:sz="4" w:space="0" w:color="auto"/>
              <w:bottom w:val="single" w:sz="4" w:space="0" w:color="auto"/>
            </w:tcBorders>
          </w:tcPr>
          <w:p w14:paraId="5E2074B5" w14:textId="06AF7F36" w:rsidR="00564984" w:rsidRPr="006C3CDC" w:rsidRDefault="00564984" w:rsidP="00EC14A9">
            <w:pPr>
              <w:rPr>
                <w:rFonts w:ascii="Times New Roman" w:hAnsi="Times New Roman"/>
                <w:b/>
                <w:bCs/>
                <w:szCs w:val="22"/>
              </w:rPr>
            </w:pPr>
            <w:r w:rsidRPr="006C3CDC">
              <w:rPr>
                <w:rFonts w:ascii="Times New Roman" w:hAnsi="Times New Roman"/>
                <w:b/>
                <w:bCs/>
                <w:szCs w:val="22"/>
              </w:rPr>
              <w:t xml:space="preserve">Bendra </w:t>
            </w:r>
            <w:r w:rsidR="00243E66">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proofErr w:type="spellStart"/>
                  <w:r w:rsidRPr="00CF05B8">
                    <w:rPr>
                      <w:rFonts w:ascii="Times New Roman" w:hAnsi="Times New Roman"/>
                      <w:bCs/>
                      <w:lang w:eastAsia="lt-LT"/>
                    </w:rPr>
                    <w:t>Eil.Nr</w:t>
                  </w:r>
                  <w:proofErr w:type="spellEnd"/>
                  <w:r w:rsidRPr="00CF05B8">
                    <w:rPr>
                      <w:rFonts w:ascii="Times New Roman" w:hAnsi="Times New Roman"/>
                      <w:bCs/>
                      <w:lang w:eastAsia="lt-LT"/>
                    </w:rPr>
                    <w:t>.</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CF05B8">
                    <w:rPr>
                      <w:rFonts w:ascii="Times New Roman" w:hAnsi="Times New Roman"/>
                      <w:bCs/>
                      <w:lang w:eastAsia="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78FCD32F" w14:textId="77777777" w:rsidR="00F97109" w:rsidRDefault="00F97109" w:rsidP="00A56101">
      <w:pPr>
        <w:rPr>
          <w:lang w:eastAsia="lt-LT"/>
        </w:rPr>
      </w:pPr>
    </w:p>
    <w:p w14:paraId="7C0579A9" w14:textId="77777777" w:rsidR="00F97109" w:rsidRDefault="00F97109" w:rsidP="00A56101">
      <w:pPr>
        <w:rPr>
          <w:lang w:eastAsia="lt-LT"/>
        </w:rPr>
      </w:pPr>
    </w:p>
    <w:p w14:paraId="59424FEB" w14:textId="77777777" w:rsidR="00F97109" w:rsidRDefault="00F97109" w:rsidP="00A56101">
      <w:pPr>
        <w:rPr>
          <w:lang w:eastAsia="lt-LT"/>
        </w:rPr>
      </w:pPr>
    </w:p>
    <w:p w14:paraId="198810E0" w14:textId="77777777" w:rsidR="00F97109" w:rsidRDefault="00F97109" w:rsidP="00A56101">
      <w:pPr>
        <w:rPr>
          <w:lang w:eastAsia="lt-LT"/>
        </w:rPr>
      </w:pPr>
    </w:p>
    <w:p w14:paraId="4C9B541F" w14:textId="77777777" w:rsidR="00F97109" w:rsidRDefault="00F97109" w:rsidP="00A56101">
      <w:pPr>
        <w:rPr>
          <w:lang w:eastAsia="lt-LT"/>
        </w:rPr>
      </w:pPr>
    </w:p>
    <w:p w14:paraId="07365A05" w14:textId="77777777" w:rsidR="00F97109" w:rsidRDefault="00F97109" w:rsidP="00A56101">
      <w:pPr>
        <w:rPr>
          <w:lang w:eastAsia="lt-LT"/>
        </w:rPr>
      </w:pPr>
    </w:p>
    <w:p w14:paraId="5D738831" w14:textId="77777777" w:rsidR="00F97109" w:rsidRDefault="00F97109" w:rsidP="00A56101">
      <w:pPr>
        <w:rPr>
          <w:lang w:eastAsia="lt-LT"/>
        </w:rPr>
      </w:pPr>
    </w:p>
    <w:p w14:paraId="18D58117" w14:textId="77777777" w:rsidR="00F97109" w:rsidRDefault="00F97109" w:rsidP="00A56101">
      <w:pPr>
        <w:rPr>
          <w:lang w:eastAsia="lt-LT"/>
        </w:rPr>
      </w:pPr>
    </w:p>
    <w:p w14:paraId="3752D56D" w14:textId="77777777" w:rsidR="00F97109" w:rsidRDefault="00F97109" w:rsidP="00A56101">
      <w:pPr>
        <w:rPr>
          <w:lang w:eastAsia="lt-LT"/>
        </w:rPr>
      </w:pPr>
    </w:p>
    <w:p w14:paraId="4C52267B" w14:textId="77777777" w:rsidR="00F97109" w:rsidRPr="00A56101" w:rsidRDefault="00F97109" w:rsidP="00A56101">
      <w:pPr>
        <w:rPr>
          <w:lang w:eastAsia="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40D021D9" w14:textId="77777777" w:rsidR="00F97109" w:rsidRDefault="00F97109" w:rsidP="009B55F2">
      <w:pPr>
        <w:pStyle w:val="Patvirtinta"/>
        <w:tabs>
          <w:tab w:val="left" w:pos="7740"/>
        </w:tabs>
        <w:ind w:left="0"/>
        <w:rPr>
          <w:rFonts w:ascii="Times New Roman" w:hAnsi="Times New Roman"/>
          <w:bCs/>
          <w:sz w:val="22"/>
          <w:szCs w:val="22"/>
          <w:lang w:val="lt-LT"/>
        </w:rPr>
      </w:pPr>
    </w:p>
    <w:p w14:paraId="62AA1827" w14:textId="77777777" w:rsidR="00F97109" w:rsidRDefault="00F97109" w:rsidP="009B55F2">
      <w:pPr>
        <w:pStyle w:val="Patvirtinta"/>
        <w:tabs>
          <w:tab w:val="left" w:pos="7740"/>
        </w:tabs>
        <w:ind w:left="0"/>
        <w:rPr>
          <w:rFonts w:ascii="Times New Roman" w:hAnsi="Times New Roman"/>
          <w:bCs/>
          <w:sz w:val="22"/>
          <w:szCs w:val="22"/>
          <w:lang w:val="lt-LT"/>
        </w:rPr>
      </w:pPr>
    </w:p>
    <w:p w14:paraId="2D90BD7B" w14:textId="77777777" w:rsidR="00F97109" w:rsidRDefault="00F97109" w:rsidP="009B55F2">
      <w:pPr>
        <w:pStyle w:val="Patvirtinta"/>
        <w:tabs>
          <w:tab w:val="left" w:pos="7740"/>
        </w:tabs>
        <w:ind w:left="0"/>
        <w:rPr>
          <w:rFonts w:ascii="Times New Roman" w:hAnsi="Times New Roman"/>
          <w:bCs/>
          <w:sz w:val="22"/>
          <w:szCs w:val="22"/>
          <w:lang w:val="lt-LT"/>
        </w:rPr>
      </w:pPr>
    </w:p>
    <w:p w14:paraId="3F447463" w14:textId="77777777" w:rsidR="00F97109" w:rsidRDefault="00F97109" w:rsidP="009B55F2">
      <w:pPr>
        <w:pStyle w:val="Patvirtinta"/>
        <w:tabs>
          <w:tab w:val="left" w:pos="7740"/>
        </w:tabs>
        <w:ind w:left="0"/>
        <w:rPr>
          <w:rFonts w:ascii="Times New Roman" w:hAnsi="Times New Roman"/>
          <w:bCs/>
          <w:sz w:val="22"/>
          <w:szCs w:val="22"/>
          <w:lang w:val="lt-LT"/>
        </w:rPr>
      </w:pPr>
    </w:p>
    <w:p w14:paraId="4BADD9D3" w14:textId="77777777" w:rsidR="001F5E13" w:rsidRDefault="001F5E13" w:rsidP="009B55F2">
      <w:pPr>
        <w:pStyle w:val="Patvirtinta"/>
        <w:tabs>
          <w:tab w:val="left" w:pos="7740"/>
        </w:tabs>
        <w:ind w:left="0"/>
        <w:rPr>
          <w:rFonts w:ascii="Times New Roman" w:hAnsi="Times New Roman"/>
          <w:bCs/>
          <w:sz w:val="22"/>
          <w:szCs w:val="22"/>
          <w:lang w:val="lt-LT"/>
        </w:rPr>
      </w:pPr>
    </w:p>
    <w:p w14:paraId="77BA8395" w14:textId="7901059B" w:rsidR="001C0808" w:rsidRDefault="007854AD" w:rsidP="009B55F2">
      <w:pPr>
        <w:pStyle w:val="Patvirtinta"/>
        <w:tabs>
          <w:tab w:val="left" w:pos="7740"/>
        </w:tabs>
        <w:ind w:left="0"/>
        <w:rPr>
          <w:b/>
          <w:lang w:val="lt-LT"/>
        </w:rPr>
      </w:pPr>
      <w:r w:rsidRPr="00F1552D">
        <w:rPr>
          <w:b/>
          <w:lang w:val="lt-LT"/>
        </w:rPr>
        <w:tab/>
      </w: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E279F">
      <w:headerReference w:type="default" r:id="rId12"/>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CE15" w14:textId="77777777" w:rsidR="00E1406D" w:rsidRDefault="00E1406D" w:rsidP="00247F42">
      <w:r>
        <w:separator/>
      </w:r>
    </w:p>
  </w:endnote>
  <w:endnote w:type="continuationSeparator" w:id="0">
    <w:p w14:paraId="765344E9" w14:textId="77777777" w:rsidR="00E1406D" w:rsidRDefault="00E1406D"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3DB0" w14:textId="77777777" w:rsidR="00E1406D" w:rsidRDefault="00E1406D" w:rsidP="00247F42">
      <w:r>
        <w:separator/>
      </w:r>
    </w:p>
  </w:footnote>
  <w:footnote w:type="continuationSeparator" w:id="0">
    <w:p w14:paraId="11C98BBC" w14:textId="77777777" w:rsidR="00E1406D" w:rsidRDefault="00E1406D"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Header"/>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77C9"/>
    <w:rsid w:val="00164CE3"/>
    <w:rsid w:val="00165886"/>
    <w:rsid w:val="001A5FAB"/>
    <w:rsid w:val="001A632E"/>
    <w:rsid w:val="001B44B8"/>
    <w:rsid w:val="001C0808"/>
    <w:rsid w:val="001C2CF5"/>
    <w:rsid w:val="001D2A5D"/>
    <w:rsid w:val="001D3BC4"/>
    <w:rsid w:val="001D5E6A"/>
    <w:rsid w:val="001E22FD"/>
    <w:rsid w:val="001E6A6C"/>
    <w:rsid w:val="001F02AA"/>
    <w:rsid w:val="001F5E13"/>
    <w:rsid w:val="002017D6"/>
    <w:rsid w:val="00202D15"/>
    <w:rsid w:val="00204389"/>
    <w:rsid w:val="00212ECF"/>
    <w:rsid w:val="00221881"/>
    <w:rsid w:val="0022781A"/>
    <w:rsid w:val="002404EC"/>
    <w:rsid w:val="00243E66"/>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C70C9"/>
    <w:rsid w:val="002D2C2A"/>
    <w:rsid w:val="002D5BDE"/>
    <w:rsid w:val="002E3F6C"/>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52EB"/>
    <w:rsid w:val="00850DA4"/>
    <w:rsid w:val="00851002"/>
    <w:rsid w:val="00851BC3"/>
    <w:rsid w:val="00855A7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6D35"/>
    <w:rsid w:val="0099295E"/>
    <w:rsid w:val="009A3FFD"/>
    <w:rsid w:val="009B1566"/>
    <w:rsid w:val="009B3375"/>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525DA"/>
    <w:rsid w:val="00A56101"/>
    <w:rsid w:val="00A56EA2"/>
    <w:rsid w:val="00A62AE9"/>
    <w:rsid w:val="00A713AF"/>
    <w:rsid w:val="00A74D40"/>
    <w:rsid w:val="00A76086"/>
    <w:rsid w:val="00A80E85"/>
    <w:rsid w:val="00A82468"/>
    <w:rsid w:val="00AA6868"/>
    <w:rsid w:val="00AB44CA"/>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279F"/>
    <w:rsid w:val="00CE3D69"/>
    <w:rsid w:val="00CF05B8"/>
    <w:rsid w:val="00CF30AF"/>
    <w:rsid w:val="00D02EDF"/>
    <w:rsid w:val="00D13A83"/>
    <w:rsid w:val="00D174D8"/>
    <w:rsid w:val="00D201C1"/>
    <w:rsid w:val="00D20498"/>
    <w:rsid w:val="00D221C2"/>
    <w:rsid w:val="00D242D7"/>
    <w:rsid w:val="00D40008"/>
    <w:rsid w:val="00D44DFF"/>
    <w:rsid w:val="00D55F25"/>
    <w:rsid w:val="00D61B56"/>
    <w:rsid w:val="00D63D3D"/>
    <w:rsid w:val="00D64B25"/>
    <w:rsid w:val="00D73C8A"/>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06D"/>
    <w:rsid w:val="00E14C03"/>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B8"/>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uiPriority w:val="99"/>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Normal"/>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
    <w:name w:val="Įprastasis"/>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
    <w:name w:val="Numatytasis pastraipos šriftas"/>
    <w:rsid w:val="00D44DFF"/>
  </w:style>
  <w:style w:type="paragraph" w:customStyle="1" w:styleId="Sraopastraipa">
    <w:name w:val="Sąrašo pastraipa"/>
    <w:basedOn w:val="prastasis"/>
    <w:rsid w:val="00D44DFF"/>
    <w:pPr>
      <w:ind w:left="720"/>
    </w:pPr>
  </w:style>
  <w:style w:type="character" w:styleId="Strong">
    <w:name w:val="Strong"/>
    <w:basedOn w:val="DefaultParagraphFont"/>
    <w:uiPriority w:val="22"/>
    <w:qFormat/>
    <w:rsid w:val="00090605"/>
    <w:rPr>
      <w:b/>
      <w:bCs/>
    </w:rPr>
  </w:style>
  <w:style w:type="table" w:styleId="TableGrid">
    <w:name w:val="Table Grid"/>
    <w:basedOn w:val="TableNorma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Normal"/>
    <w:rsid w:val="001C0808"/>
    <w:pPr>
      <w:numPr>
        <w:ilvl w:val="1"/>
        <w:numId w:val="16"/>
      </w:numPr>
      <w:jc w:val="left"/>
    </w:pPr>
    <w:rPr>
      <w:rFonts w:ascii="Times New Roman" w:hAnsi="Times New Roman"/>
      <w:sz w:val="24"/>
      <w:lang w:val="en-AU"/>
    </w:rPr>
  </w:style>
  <w:style w:type="paragraph" w:customStyle="1" w:styleId="NumPar1">
    <w:name w:val="NumPar 1"/>
    <w:basedOn w:val="Normal"/>
    <w:next w:val="Normal"/>
    <w:rsid w:val="001C0808"/>
    <w:pPr>
      <w:tabs>
        <w:tab w:val="num" w:pos="360"/>
      </w:tabs>
      <w:spacing w:before="120" w:after="120"/>
    </w:pPr>
    <w:rPr>
      <w:rFonts w:ascii="Times New Roman" w:hAnsi="Times New Roman"/>
      <w:sz w:val="24"/>
    </w:rPr>
  </w:style>
  <w:style w:type="paragraph" w:customStyle="1" w:styleId="xmsonormal">
    <w:name w:val="x_msonormal"/>
    <w:basedOn w:val="Normal"/>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23326</Words>
  <Characters>13296</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43</cp:revision>
  <cp:lastPrinted>2020-10-26T11:25:00Z</cp:lastPrinted>
  <dcterms:created xsi:type="dcterms:W3CDTF">2023-06-27T13:40:00Z</dcterms:created>
  <dcterms:modified xsi:type="dcterms:W3CDTF">2025-04-04T10:25:00Z</dcterms:modified>
</cp:coreProperties>
</file>