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F6E5" w14:textId="77777777" w:rsidR="00027B83" w:rsidRDefault="00027B83">
      <w:pPr>
        <w:tabs>
          <w:tab w:val="left" w:pos="5400"/>
        </w:tabs>
        <w:ind w:firstLine="62"/>
        <w:textAlignment w:val="center"/>
      </w:pPr>
      <w:bookmarkStart w:id="0" w:name="_GoBack"/>
      <w:bookmarkEnd w:id="0"/>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77777777" w:rsidR="00027B83" w:rsidRDefault="00027B83">
            <w:pPr>
              <w:jc w:val="both"/>
              <w:rPr>
                <w:kern w:val="2"/>
                <w:szCs w:val="24"/>
              </w:rPr>
            </w:pP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559FFC70" w:rsidR="00DA7919" w:rsidRDefault="00EB74A3">
            <w:pPr>
              <w:jc w:val="both"/>
              <w:rPr>
                <w:kern w:val="2"/>
                <w:szCs w:val="24"/>
              </w:rPr>
            </w:pPr>
            <w:r>
              <w:rPr>
                <w:kern w:val="2"/>
                <w:szCs w:val="24"/>
              </w:rPr>
              <w:t>7</w:t>
            </w: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3B9E6EBB" w:rsidR="00DA7919" w:rsidRDefault="00DA7919">
            <w:pPr>
              <w:jc w:val="both"/>
              <w:rPr>
                <w:kern w:val="2"/>
                <w:szCs w:val="24"/>
              </w:rPr>
            </w:pPr>
            <w:r w:rsidRPr="00DA7919">
              <w:rPr>
                <w:kern w:val="2"/>
                <w:szCs w:val="24"/>
              </w:rPr>
              <w:t xml:space="preserve"> 72211000-7;2267100-0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669E1C7" w:rsidR="00060F62" w:rsidRDefault="00060F62" w:rsidP="00060F62">
            <w:pPr>
              <w:jc w:val="center"/>
              <w:rPr>
                <w:kern w:val="2"/>
                <w:szCs w:val="24"/>
              </w:rPr>
            </w:pPr>
            <w:r w:rsidRPr="002F589B">
              <w:rPr>
                <w:rFonts w:asciiTheme="majorBidi" w:hAnsiTheme="majorBidi" w:cstheme="majorBidi"/>
                <w:kern w:val="2"/>
              </w:rPr>
              <w:t>info@nsa.smm.lt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Simonas Šabanovas</w:t>
            </w:r>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1FDE637" w14:textId="7777777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74D1A35E"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E92A5E">
              <w:rPr>
                <w:kern w:val="2"/>
                <w:szCs w:val="24"/>
              </w:rPr>
              <w:t xml:space="preserve">Švietimo, mokslo ir sporto institucijų </w:t>
            </w:r>
            <w:r w:rsidR="00253DBD">
              <w:rPr>
                <w:kern w:val="2"/>
                <w:szCs w:val="24"/>
              </w:rPr>
              <w:t xml:space="preserve"> registro (toliau - </w:t>
            </w:r>
            <w:r w:rsidR="00E92A5E">
              <w:rPr>
                <w:kern w:val="2"/>
                <w:szCs w:val="24"/>
              </w:rPr>
              <w:t>ŠMI</w:t>
            </w:r>
            <w:r w:rsidR="00253DBD">
              <w:rPr>
                <w:kern w:val="2"/>
                <w:szCs w:val="24"/>
              </w:rPr>
              <w:t>R)</w:t>
            </w:r>
            <w:r w:rsidR="00253DBD" w:rsidRPr="00253DBD">
              <w:rPr>
                <w:kern w:val="2"/>
                <w:szCs w:val="24"/>
              </w:rPr>
              <w:t xml:space="preserve"> programinės įrangos priežiūros ir vystymo paslaugas sudaro:</w:t>
            </w:r>
          </w:p>
          <w:p w14:paraId="437DF921" w14:textId="54F0B051" w:rsidR="00253DBD" w:rsidRPr="00253DBD" w:rsidRDefault="00253DBD" w:rsidP="00253DBD">
            <w:pPr>
              <w:rPr>
                <w:kern w:val="2"/>
                <w:szCs w:val="24"/>
              </w:rPr>
            </w:pPr>
            <w:r w:rsidRPr="00253DBD">
              <w:rPr>
                <w:kern w:val="2"/>
                <w:szCs w:val="24"/>
              </w:rPr>
              <w:t>1.1.</w:t>
            </w:r>
            <w:r w:rsidR="00E92A5E">
              <w:rPr>
                <w:kern w:val="2"/>
                <w:szCs w:val="24"/>
              </w:rPr>
              <w:t>ŠMI</w:t>
            </w:r>
            <w:r w:rsidR="003870D5">
              <w:rPr>
                <w:kern w:val="2"/>
                <w:szCs w:val="24"/>
              </w:rPr>
              <w:t xml:space="preserve">R </w:t>
            </w:r>
            <w:r w:rsidRPr="00253DBD">
              <w:rPr>
                <w:kern w:val="2"/>
                <w:szCs w:val="24"/>
              </w:rPr>
              <w:t xml:space="preserve">priežiūros paslauga (toliau –priežiūros paslauga) – tai paslauga, apimanti su </w:t>
            </w:r>
            <w:r w:rsidR="009D7D93">
              <w:rPr>
                <w:kern w:val="2"/>
                <w:szCs w:val="24"/>
              </w:rPr>
              <w:t xml:space="preserve">ŠMIR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0C3CEDC9" w:rsidR="00027B83" w:rsidRDefault="00253DBD" w:rsidP="00253DBD">
            <w:pPr>
              <w:rPr>
                <w:color w:val="000000"/>
                <w:kern w:val="2"/>
                <w:szCs w:val="24"/>
              </w:rPr>
            </w:pPr>
            <w:r w:rsidRPr="00253DBD">
              <w:rPr>
                <w:kern w:val="2"/>
                <w:szCs w:val="24"/>
              </w:rPr>
              <w:t>1.2.</w:t>
            </w:r>
            <w:r w:rsidRPr="00253DBD">
              <w:rPr>
                <w:kern w:val="2"/>
                <w:szCs w:val="24"/>
              </w:rPr>
              <w:tab/>
            </w:r>
            <w:r w:rsidR="009D7D93">
              <w:rPr>
                <w:kern w:val="2"/>
                <w:szCs w:val="24"/>
              </w:rPr>
              <w:t xml:space="preserve">ŠMIR </w:t>
            </w:r>
            <w:r w:rsidRPr="00253DBD">
              <w:rPr>
                <w:kern w:val="2"/>
                <w:szCs w:val="24"/>
              </w:rPr>
              <w:t xml:space="preserve">vystymo paslauga (toliau –vystymo paslauga)– tai paslauga, apimanti </w:t>
            </w:r>
            <w:r w:rsidR="009D7D93">
              <w:rPr>
                <w:kern w:val="2"/>
                <w:szCs w:val="24"/>
              </w:rPr>
              <w:t xml:space="preserve">ŠMIR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03180E28" w:rsidR="00006626" w:rsidRDefault="00006626">
            <w:pPr>
              <w:rPr>
                <w:color w:val="000000"/>
                <w:kern w:val="2"/>
                <w:szCs w:val="24"/>
              </w:rPr>
            </w:pPr>
            <w:r w:rsidRPr="00006626">
              <w:rPr>
                <w:color w:val="000000"/>
                <w:kern w:val="2"/>
                <w:szCs w:val="24"/>
              </w:rPr>
              <w:t xml:space="preserve">Preliminari paslaugų apimtis 23 mėn. laikotarpiui valandomis yra </w:t>
            </w:r>
            <w:r w:rsidR="009D7D93">
              <w:rPr>
                <w:color w:val="000000"/>
                <w:kern w:val="2"/>
                <w:szCs w:val="24"/>
              </w:rPr>
              <w:t>5</w:t>
            </w:r>
            <w:r w:rsidRPr="00006626">
              <w:rPr>
                <w:color w:val="000000"/>
                <w:kern w:val="2"/>
                <w:szCs w:val="24"/>
              </w:rPr>
              <w:t>000</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6FCF4F27" w:rsidR="00027B83" w:rsidRDefault="00E92A5E">
            <w:pPr>
              <w:rPr>
                <w:kern w:val="2"/>
                <w:szCs w:val="24"/>
              </w:rPr>
            </w:pPr>
            <w:r>
              <w:rPr>
                <w:bCs/>
                <w:spacing w:val="3"/>
                <w:szCs w:val="24"/>
              </w:rPr>
              <w:t xml:space="preserve">Švietimo, mokslo ir sporto institucijų </w:t>
            </w:r>
            <w:r w:rsidR="00347071" w:rsidRPr="0052316F">
              <w:rPr>
                <w:bCs/>
                <w:spacing w:val="3"/>
                <w:szCs w:val="24"/>
              </w:rPr>
              <w:t xml:space="preserve"> registro programinės įrangos priežiūros ir vystymo paslaugos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77C12226" w14:textId="77777777" w:rsidR="0004063C" w:rsidRDefault="0004063C" w:rsidP="0004063C">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47480736" w14:textId="77777777" w:rsidR="0004063C" w:rsidRDefault="0004063C" w:rsidP="0004063C">
            <w:r w:rsidRPr="00427330">
              <w:t>Užsakomiems darbams įvykdymo terminai pateikti Techninėje specifikacijos 26 punkte lentelėje.</w:t>
            </w:r>
          </w:p>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shd w:val="clear" w:color="auto" w:fill="auto"/>
          </w:tcPr>
          <w:p w14:paraId="5C3EF796" w14:textId="24D92BC0" w:rsidR="00027B83" w:rsidRDefault="0004063C" w:rsidP="0004063C">
            <w:pPr>
              <w:rPr>
                <w:kern w:val="2"/>
                <w:szCs w:val="24"/>
              </w:rPr>
            </w:pPr>
            <w:r>
              <w:rPr>
                <w:kern w:val="2"/>
                <w:szCs w:val="24"/>
              </w:rPr>
              <w:t>Netaikoma</w:t>
            </w: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shd w:val="clear" w:color="auto" w:fill="auto"/>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shd w:val="clear" w:color="auto" w:fill="auto"/>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3E7B3AE1" w:rsidR="00B8574B" w:rsidRPr="00427330"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9D7D93">
              <w:rPr>
                <w:sz w:val="22"/>
                <w:szCs w:val="22"/>
              </w:rPr>
              <w:t xml:space="preserve">ŠMIR </w:t>
            </w:r>
            <w:r w:rsidRPr="00427330">
              <w:rPr>
                <w:sz w:val="22"/>
                <w:szCs w:val="22"/>
              </w:rPr>
              <w:t>aprašančių dokumentų bylas.</w:t>
            </w:r>
          </w:p>
          <w:p w14:paraId="37639E93" w14:textId="3036E10E" w:rsidR="00B8574B" w:rsidRPr="00427330" w:rsidRDefault="00B8574B" w:rsidP="00B8574B">
            <w:pPr>
              <w:rPr>
                <w:sz w:val="22"/>
                <w:szCs w:val="22"/>
              </w:rPr>
            </w:pPr>
            <w:r w:rsidRPr="00427330">
              <w:rPr>
                <w:sz w:val="22"/>
                <w:szCs w:val="22"/>
              </w:rPr>
              <w:t xml:space="preserve">4.3.3. </w:t>
            </w:r>
            <w:r w:rsidR="009D7D93">
              <w:rPr>
                <w:sz w:val="22"/>
                <w:szCs w:val="22"/>
              </w:rPr>
              <w:t xml:space="preserve">ŠMIR </w:t>
            </w:r>
            <w:r w:rsidRPr="00427330">
              <w:rPr>
                <w:sz w:val="22"/>
                <w:szCs w:val="22"/>
              </w:rPr>
              <w:t xml:space="preserve">priežiūros ir vystymo paslauga teikiama darbo metu (pirmadienį–ketvirtadienį nuo 8:00 val. iki 17:00 val., penktadienį – nuo 8:00 val. iki 15:45 val.). Tuo atveju, kai </w:t>
            </w:r>
            <w:r w:rsidR="009D7D93">
              <w:rPr>
                <w:sz w:val="22"/>
                <w:szCs w:val="22"/>
              </w:rPr>
              <w:t xml:space="preserve">ŠMIR </w:t>
            </w:r>
            <w:r w:rsidRPr="00427330">
              <w:rPr>
                <w:sz w:val="22"/>
                <w:szCs w:val="22"/>
              </w:rPr>
              <w:t xml:space="preserve">neveikimas sukelia grėsmę perkančiosios organizacijos funkcijų vykdymo sutrikimui, ši paslauga teikiama ir nedarbo metu. Sprendimą, ar </w:t>
            </w:r>
            <w:r w:rsidR="009D7D93">
              <w:rPr>
                <w:sz w:val="22"/>
                <w:szCs w:val="22"/>
              </w:rPr>
              <w:t xml:space="preserve">ŠMIR </w:t>
            </w:r>
            <w:r w:rsidRPr="00427330">
              <w:rPr>
                <w:sz w:val="22"/>
                <w:szCs w:val="22"/>
              </w:rPr>
              <w:t>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66B06A0" w:rsidR="00863B26" w:rsidRPr="00427330" w:rsidRDefault="00863B26" w:rsidP="00B8574B">
            <w:pPr>
              <w:rPr>
                <w:szCs w:val="24"/>
              </w:rPr>
            </w:pP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1CD11AAE" w14:textId="19B56A4E" w:rsidR="00863B26" w:rsidRDefault="00F26BA5" w:rsidP="00863B26">
            <w:pPr>
              <w:rPr>
                <w:kern w:val="2"/>
                <w:szCs w:val="24"/>
              </w:rPr>
            </w:pPr>
            <w:r>
              <w:rPr>
                <w:kern w:val="2"/>
                <w:szCs w:val="24"/>
              </w:rPr>
              <w:t xml:space="preserve">4.5.1. </w:t>
            </w:r>
            <w:r w:rsidR="00745B1B"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p w14:paraId="5C3EF7B7" w14:textId="101B457C" w:rsidR="00F26BA5" w:rsidRDefault="00F26BA5" w:rsidP="00863B26">
            <w:pPr>
              <w:rPr>
                <w:szCs w:val="24"/>
              </w:rPr>
            </w:pPr>
            <w:r>
              <w:rPr>
                <w:szCs w:val="24"/>
              </w:rPr>
              <w:t xml:space="preserve">4.5.2. </w:t>
            </w:r>
            <w:r w:rsidRPr="00511310">
              <w:rPr>
                <w:sz w:val="22"/>
                <w:szCs w:val="22"/>
              </w:rPr>
              <w:t>Tiekėjas per einamojo ketvirčio pirmąją darbo savaitę pateikia Švietimo, mokslo ir sporto institucijų  registro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lastRenderedPageBreak/>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709D1705"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F26BA5">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sidRPr="00427330">
              <w:rPr>
                <w:kern w:val="2"/>
                <w:szCs w:val="24"/>
              </w:rPr>
              <w:t>[2]</w:t>
            </w:r>
            <w:r>
              <w:rPr>
                <w:kern w:val="2"/>
                <w:szCs w:val="24"/>
              </w:rPr>
              <w:t xml:space="preserve"> </w:t>
            </w:r>
            <w:r>
              <w:rPr>
                <w:color w:val="000000"/>
                <w:kern w:val="2"/>
                <w:szCs w:val="24"/>
              </w:rPr>
              <w:t xml:space="preserve"> nurodytais įkainiais, neviršijant jame nurodyto Prekių maksimalaus kiekio</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w:t>
            </w:r>
            <w:r w:rsidRPr="00686E63">
              <w:rPr>
                <w:kern w:val="2"/>
                <w:szCs w:val="24"/>
                <w:shd w:val="clear" w:color="auto" w:fill="FFFFFF"/>
              </w:rPr>
              <w:lastRenderedPageBreak/>
              <w:t>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B83F77"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686E63">
              <w:rPr>
                <w:color w:val="000000"/>
                <w:kern w:val="2"/>
                <w:szCs w:val="24"/>
                <w:shd w:val="clear" w:color="auto" w:fill="FFFFFF"/>
              </w:rPr>
              <w:lastRenderedPageBreak/>
              <w:t xml:space="preserve">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5C3EF900" w14:textId="57386F7D" w:rsidR="00F02FC4" w:rsidRPr="00AF3B69" w:rsidRDefault="00AF3B69" w:rsidP="00F02FC4">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AA4FC1">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shd w:val="clear" w:color="auto" w:fill="auto"/>
          </w:tcPr>
          <w:p w14:paraId="5C3EF927" w14:textId="62133570" w:rsidR="00F928E8" w:rsidRDefault="00AA4FC1" w:rsidP="00F928E8">
            <w:pPr>
              <w:rPr>
                <w:kern w:val="2"/>
                <w:szCs w:val="24"/>
              </w:rPr>
            </w:pPr>
            <w:r w:rsidRPr="00AA4FC1">
              <w:rPr>
                <w:color w:val="000000" w:themeColor="text1"/>
                <w:kern w:val="2"/>
                <w:szCs w:val="24"/>
              </w:rPr>
              <w:t>Paslaugos teikėjas per 5 val. nuo užsakyto darbo užregistravimo priežiūros ir vystymo darbų, problemų ir klaidų registravimo sistemoje momento, informuoja perkančiosios organizacijos atsakingus asmenis apie užsakyto darbo užregistravimą ir pateikia sprendimą dėl jo vykdymo, svarbos prioriteto pakeitimo arba atmetimo, taip pat apie užsakyto darbo įvykdymą</w:t>
            </w: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A59F2EA" w14:textId="77777777" w:rsidR="00E0261F" w:rsidRPr="002F589B" w:rsidRDefault="00E0261F" w:rsidP="00E0261F">
            <w:pPr>
              <w:widowControl w:val="0"/>
              <w:tabs>
                <w:tab w:val="left" w:pos="1829"/>
                <w:tab w:val="left" w:pos="3130"/>
                <w:tab w:val="left" w:pos="4205"/>
              </w:tabs>
              <w:jc w:val="both"/>
              <w:rPr>
                <w:color w:val="000000"/>
                <w:kern w:val="2"/>
              </w:rPr>
            </w:pPr>
            <w:r w:rsidRPr="002F589B">
              <w:t>Vertinami specialistai, atitinkantys minimaliems kvalifikacijos reikalavimams, bei turimos sistemos pritaikymas reikalingai paslaugai įgyvendinti. Maksimalus balų skaičius: 5 balai</w:t>
            </w:r>
          </w:p>
          <w:p w14:paraId="67C8F656" w14:textId="77777777" w:rsidR="00E0261F" w:rsidRPr="002F589B" w:rsidRDefault="00E0261F" w:rsidP="00E0261F">
            <w:pPr>
              <w:pStyle w:val="Betarp"/>
              <w:rPr>
                <w:rFonts w:ascii="Times New Roman" w:hAnsi="Times New Roman" w:cs="Times New Roman"/>
                <w:i/>
                <w:iCs/>
                <w:highlight w:val="yellow"/>
                <w:lang w:val="lt-LT"/>
              </w:rPr>
            </w:pPr>
          </w:p>
          <w:p w14:paraId="239F40D9" w14:textId="77777777" w:rsidR="00E0261F" w:rsidRPr="00686E63" w:rsidRDefault="00E0261F" w:rsidP="00E0261F">
            <w:pPr>
              <w:pStyle w:val="Betarp"/>
              <w:ind w:firstLine="197"/>
              <w:rPr>
                <w:rFonts w:ascii="Times New Roman" w:hAnsi="Times New Roman" w:cs="Times New Roman"/>
                <w:i/>
                <w:iCs/>
                <w:lang w:val="lt-LT"/>
              </w:rPr>
            </w:pPr>
            <w:r w:rsidRPr="00686E63">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C3EF92E" w14:textId="5F1672A3" w:rsidR="00F928E8" w:rsidRPr="008B311D" w:rsidRDefault="00E0261F" w:rsidP="008B311D">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5741085" w:rsidR="00F928E8" w:rsidRDefault="00F928E8" w:rsidP="00F928E8">
            <w:pPr>
              <w:rPr>
                <w:kern w:val="2"/>
                <w:szCs w:val="24"/>
              </w:rPr>
            </w:pPr>
            <w:r>
              <w:rPr>
                <w:kern w:val="2"/>
                <w:szCs w:val="24"/>
              </w:rPr>
              <w:t xml:space="preserve">Sutarties vykdymui subtiekėjai ir (ar) specialistai </w:t>
            </w:r>
            <w:r w:rsidR="00F26BA5" w:rsidRPr="00F26BA5">
              <w:rPr>
                <w:color w:val="0070C0"/>
                <w:kern w:val="2"/>
                <w:szCs w:val="24"/>
              </w:rPr>
              <w:t xml:space="preserve">pasitelkiami </w:t>
            </w:r>
            <w:r w:rsidR="00F26BA5">
              <w:rPr>
                <w:kern w:val="2"/>
                <w:szCs w:val="24"/>
              </w:rPr>
              <w:t>/</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lastRenderedPageBreak/>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1C14E9F" w14:textId="5EE24146" w:rsidR="00B34706" w:rsidRPr="00B34706" w:rsidRDefault="00B34706" w:rsidP="00B34706">
            <w:r w:rsidRPr="00511310">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32640D6"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w:t>
                </w:r>
                <w:r w:rsidR="00B34706">
                  <w:rPr>
                    <w:rFonts w:asciiTheme="majorBidi" w:hAnsiTheme="majorBidi" w:cstheme="majorBidi"/>
                    <w:color w:val="000000"/>
                  </w:rPr>
                  <w:t>0</w:t>
                </w:r>
                <w:r w:rsidRPr="002F589B">
                  <w:rPr>
                    <w:rFonts w:asciiTheme="majorBidi" w:hAnsiTheme="majorBidi" w:cstheme="majorBidi"/>
                    <w:color w:val="000000"/>
                  </w:rPr>
                  <w:t xml:space="preserve">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Pr="00186BF3"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5F073A9F" w14:textId="77777777" w:rsidR="00285A14" w:rsidRPr="00186BF3" w:rsidRDefault="00285A14" w:rsidP="00285A14">
            <w:pPr>
              <w:jc w:val="both"/>
              <w:rPr>
                <w:kern w:val="2"/>
                <w:sz w:val="22"/>
                <w:szCs w:val="22"/>
              </w:rPr>
            </w:pPr>
            <w:r w:rsidRPr="00186BF3">
              <w:rPr>
                <w:kern w:val="2"/>
                <w:sz w:val="22"/>
                <w:szCs w:val="22"/>
              </w:rPr>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lastRenderedPageBreak/>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16C10" w14:textId="77777777" w:rsidR="004E65E2" w:rsidRPr="00186BF3" w:rsidRDefault="004E65E2" w:rsidP="004E65E2">
            <w:pPr>
              <w:rPr>
                <w:kern w:val="2"/>
                <w:szCs w:val="24"/>
              </w:rPr>
            </w:pPr>
          </w:p>
          <w:p w14:paraId="1B1BD794" w14:textId="64EEF214" w:rsidR="0015762D" w:rsidRPr="0015762D" w:rsidRDefault="0015762D" w:rsidP="0015762D">
            <w:pPr>
              <w:pStyle w:val="Betarp"/>
              <w:rPr>
                <w:rFonts w:ascii="Times New Roman" w:hAnsi="Times New Roman" w:cs="Times New Roman"/>
                <w:lang w:val="lt-LT"/>
              </w:rPr>
            </w:pPr>
            <w:r w:rsidRPr="0015762D">
              <w:rPr>
                <w:rFonts w:ascii="Times New Roman" w:hAnsi="Times New Roman" w:cs="Times New Roman"/>
                <w:lang w:val="lt-LT"/>
              </w:rPr>
              <w:t xml:space="preserve">Tiekėjas yra </w:t>
            </w:r>
            <w:r w:rsidR="009D7D93">
              <w:rPr>
                <w:rFonts w:ascii="Times New Roman" w:hAnsi="Times New Roman" w:cs="Times New Roman"/>
                <w:lang w:val="lt-LT"/>
              </w:rPr>
              <w:t xml:space="preserve">ŠMIR </w:t>
            </w:r>
            <w:r w:rsidRPr="0015762D">
              <w:rPr>
                <w:rFonts w:ascii="Times New Roman" w:hAnsi="Times New Roman" w:cs="Times New Roman"/>
                <w:lang w:val="lt-LT"/>
              </w:rPr>
              <w:t>tvarkomų fizinio asmens duomenų tvarkytojas ir privalo vadovaujasi teisės aktais, reglamentuojančiais fizinio asmens duomenų tvarkymą, reikalavimais.</w:t>
            </w:r>
          </w:p>
          <w:p w14:paraId="162A0BC1" w14:textId="047644A2" w:rsidR="0015762D" w:rsidRPr="0015762D" w:rsidRDefault="009D7D93" w:rsidP="0015762D">
            <w:pPr>
              <w:shd w:val="clear" w:color="auto" w:fill="FFFFFF"/>
              <w:tabs>
                <w:tab w:val="left" w:pos="993"/>
              </w:tabs>
              <w:jc w:val="both"/>
            </w:pPr>
            <w:r>
              <w:t xml:space="preserve">ŠMIR </w:t>
            </w:r>
            <w:r w:rsidR="0015762D" w:rsidRPr="0015762D">
              <w:t>turi automatines duomenų mainų sąsajas su registrais:</w:t>
            </w:r>
          </w:p>
          <w:p w14:paraId="0C7B7422" w14:textId="77777777" w:rsidR="00281FF1" w:rsidRDefault="00281FF1" w:rsidP="00281FF1">
            <w:pPr>
              <w:numPr>
                <w:ilvl w:val="1"/>
                <w:numId w:val="3"/>
              </w:numPr>
              <w:shd w:val="clear" w:color="auto" w:fill="FFFFFF"/>
              <w:tabs>
                <w:tab w:val="left" w:pos="1134"/>
              </w:tabs>
              <w:jc w:val="both"/>
            </w:pPr>
            <w:r w:rsidRPr="003520CF">
              <w:t xml:space="preserve">Juridinių asmenų </w:t>
            </w:r>
            <w:r>
              <w:t>registras;</w:t>
            </w:r>
            <w:r w:rsidRPr="009A0C8F">
              <w:t xml:space="preserve"> </w:t>
            </w:r>
          </w:p>
          <w:p w14:paraId="7722E99B" w14:textId="77777777" w:rsidR="00281FF1" w:rsidRPr="009A0C8F" w:rsidRDefault="00281FF1" w:rsidP="00281FF1">
            <w:pPr>
              <w:numPr>
                <w:ilvl w:val="1"/>
                <w:numId w:val="3"/>
              </w:numPr>
              <w:shd w:val="clear" w:color="auto" w:fill="FFFFFF"/>
              <w:tabs>
                <w:tab w:val="left" w:pos="1134"/>
              </w:tabs>
              <w:jc w:val="both"/>
            </w:pPr>
            <w:r w:rsidRPr="003520CF">
              <w:t>Mokesčių mokėtojų</w:t>
            </w:r>
            <w:r w:rsidRPr="00133B4F">
              <w:t xml:space="preserve"> registr</w:t>
            </w:r>
            <w:r>
              <w:t>as;</w:t>
            </w:r>
          </w:p>
          <w:p w14:paraId="1168D46D" w14:textId="77777777" w:rsidR="00281FF1" w:rsidRPr="003D51AF" w:rsidRDefault="00281FF1" w:rsidP="00281FF1">
            <w:pPr>
              <w:numPr>
                <w:ilvl w:val="1"/>
                <w:numId w:val="3"/>
              </w:numPr>
              <w:shd w:val="clear" w:color="auto" w:fill="FFFFFF"/>
              <w:tabs>
                <w:tab w:val="left" w:pos="1134"/>
              </w:tabs>
              <w:jc w:val="both"/>
            </w:pPr>
            <w:r w:rsidRPr="003520CF">
              <w:rPr>
                <w:szCs w:val="24"/>
                <w:lang w:eastAsia="lt-LT"/>
              </w:rPr>
              <w:t>Valstybinė mokesčių inspekcijos integruot</w:t>
            </w:r>
            <w:r>
              <w:rPr>
                <w:szCs w:val="24"/>
                <w:lang w:eastAsia="lt-LT"/>
              </w:rPr>
              <w:t>a</w:t>
            </w:r>
            <w:r w:rsidRPr="003520CF">
              <w:rPr>
                <w:szCs w:val="24"/>
                <w:lang w:eastAsia="lt-LT"/>
              </w:rPr>
              <w:t xml:space="preserve"> mokesčių informacinė sistem</w:t>
            </w:r>
            <w:r>
              <w:rPr>
                <w:szCs w:val="24"/>
                <w:lang w:eastAsia="lt-LT"/>
              </w:rPr>
              <w:t>a;</w:t>
            </w:r>
          </w:p>
          <w:p w14:paraId="7DAA0979" w14:textId="77777777" w:rsidR="00281FF1" w:rsidRPr="00B34706" w:rsidRDefault="00281FF1" w:rsidP="00281FF1">
            <w:pPr>
              <w:numPr>
                <w:ilvl w:val="1"/>
                <w:numId w:val="3"/>
              </w:numPr>
              <w:shd w:val="clear" w:color="auto" w:fill="FFFFFF"/>
              <w:tabs>
                <w:tab w:val="left" w:pos="1134"/>
              </w:tabs>
              <w:jc w:val="both"/>
            </w:pPr>
            <w:r>
              <w:rPr>
                <w:color w:val="000000"/>
                <w:szCs w:val="24"/>
                <w:lang w:eastAsia="lt-LT"/>
              </w:rPr>
              <w:t>Lietuvos Respublikos adresų registras;</w:t>
            </w:r>
          </w:p>
          <w:p w14:paraId="11F9BBAE" w14:textId="253CDCA0" w:rsidR="00B34706" w:rsidRPr="00EE2BB2" w:rsidRDefault="00B34706" w:rsidP="00281FF1">
            <w:pPr>
              <w:numPr>
                <w:ilvl w:val="1"/>
                <w:numId w:val="3"/>
              </w:numPr>
              <w:shd w:val="clear" w:color="auto" w:fill="FFFFFF"/>
              <w:tabs>
                <w:tab w:val="left" w:pos="1134"/>
              </w:tabs>
              <w:jc w:val="both"/>
            </w:pPr>
            <w:r>
              <w:rPr>
                <w:color w:val="000000"/>
                <w:szCs w:val="24"/>
                <w:lang w:eastAsia="lt-LT"/>
              </w:rPr>
              <w:t>Nekilnojamojo turto registras.</w:t>
            </w:r>
          </w:p>
          <w:p w14:paraId="5C3EF9AE" w14:textId="78CEDC2C" w:rsidR="004E65E2" w:rsidRDefault="004E65E2" w:rsidP="004E65E2">
            <w:pPr>
              <w:rPr>
                <w:color w:val="4472C4"/>
                <w:kern w:val="2"/>
                <w:szCs w:val="24"/>
              </w:rPr>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1D" w14:textId="77777777">
        <w:trPr>
          <w:trHeight w:val="300"/>
        </w:trPr>
        <w:tc>
          <w:tcPr>
            <w:tcW w:w="3058" w:type="dxa"/>
          </w:tcPr>
          <w:p w14:paraId="5C3EFA1B" w14:textId="77777777" w:rsidR="00713FC7" w:rsidRDefault="00713FC7" w:rsidP="00713FC7">
            <w:pPr>
              <w:jc w:val="center"/>
              <w:rPr>
                <w:b/>
                <w:kern w:val="2"/>
                <w:szCs w:val="24"/>
              </w:rPr>
            </w:pPr>
            <w:r>
              <w:rPr>
                <w:b/>
                <w:kern w:val="2"/>
                <w:szCs w:val="24"/>
              </w:rPr>
              <w:t>15.3. Priedas Nr. 3</w:t>
            </w:r>
          </w:p>
        </w:tc>
        <w:tc>
          <w:tcPr>
            <w:tcW w:w="6477" w:type="dxa"/>
            <w:gridSpan w:val="3"/>
          </w:tcPr>
          <w:p w14:paraId="5C3EFA1C" w14:textId="213DFA48" w:rsidR="00713FC7" w:rsidRPr="00713FC7" w:rsidRDefault="00713FC7" w:rsidP="00713FC7">
            <w:pPr>
              <w:rPr>
                <w:b/>
                <w:kern w:val="2"/>
                <w:szCs w:val="24"/>
              </w:rPr>
            </w:pPr>
            <w:r w:rsidRPr="00713FC7">
              <w:rPr>
                <w:kern w:val="2"/>
                <w:szCs w:val="24"/>
              </w:rPr>
              <w:t>Poveikio duomenų apsaugai vertinimo ataskaita</w:t>
            </w:r>
          </w:p>
        </w:tc>
      </w:tr>
      <w:tr w:rsidR="00713FC7" w14:paraId="5C3EFA20" w14:textId="77777777">
        <w:trPr>
          <w:trHeight w:val="300"/>
        </w:trPr>
        <w:tc>
          <w:tcPr>
            <w:tcW w:w="3058" w:type="dxa"/>
          </w:tcPr>
          <w:p w14:paraId="5C3EFA1E" w14:textId="77777777" w:rsidR="00713FC7" w:rsidRDefault="00713FC7" w:rsidP="00713FC7">
            <w:pPr>
              <w:jc w:val="center"/>
              <w:rPr>
                <w:b/>
                <w:kern w:val="2"/>
                <w:szCs w:val="24"/>
              </w:rPr>
            </w:pPr>
            <w:r>
              <w:rPr>
                <w:b/>
                <w:kern w:val="2"/>
                <w:szCs w:val="24"/>
              </w:rPr>
              <w:t>15.4. Priedas Nr. 4</w:t>
            </w:r>
          </w:p>
        </w:tc>
        <w:tc>
          <w:tcPr>
            <w:tcW w:w="6477" w:type="dxa"/>
            <w:gridSpan w:val="3"/>
          </w:tcPr>
          <w:p w14:paraId="5C3EFA1F" w14:textId="77777777" w:rsidR="00713FC7" w:rsidRDefault="00713FC7" w:rsidP="00713FC7">
            <w:pPr>
              <w:jc w:val="center"/>
              <w:rPr>
                <w:b/>
                <w:kern w:val="2"/>
                <w:szCs w:val="24"/>
              </w:rPr>
            </w:pPr>
          </w:p>
        </w:tc>
      </w:tr>
      <w:tr w:rsidR="00713FC7" w14:paraId="5C3EFA23" w14:textId="77777777">
        <w:trPr>
          <w:trHeight w:val="300"/>
        </w:trPr>
        <w:tc>
          <w:tcPr>
            <w:tcW w:w="3058" w:type="dxa"/>
          </w:tcPr>
          <w:p w14:paraId="5C3EFA21" w14:textId="77777777" w:rsidR="00713FC7" w:rsidRDefault="00713FC7" w:rsidP="00713FC7">
            <w:pPr>
              <w:jc w:val="center"/>
              <w:rPr>
                <w:b/>
                <w:kern w:val="2"/>
                <w:szCs w:val="24"/>
              </w:rPr>
            </w:pPr>
            <w:r>
              <w:rPr>
                <w:b/>
                <w:kern w:val="2"/>
                <w:szCs w:val="24"/>
              </w:rPr>
              <w:t>15.5. Priedas Nr. 5</w:t>
            </w:r>
          </w:p>
        </w:tc>
        <w:tc>
          <w:tcPr>
            <w:tcW w:w="6477" w:type="dxa"/>
            <w:gridSpan w:val="3"/>
          </w:tcPr>
          <w:p w14:paraId="5C3EFA22" w14:textId="77777777" w:rsidR="00713FC7" w:rsidRDefault="00713FC7" w:rsidP="00713FC7">
            <w:pPr>
              <w:jc w:val="center"/>
              <w:rPr>
                <w:b/>
                <w:kern w:val="2"/>
                <w:szCs w:val="24"/>
              </w:rPr>
            </w:pPr>
          </w:p>
        </w:tc>
      </w:tr>
      <w:tr w:rsidR="00713FC7" w14:paraId="5C3EFA25" w14:textId="77777777">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tc>
          <w:tcPr>
            <w:tcW w:w="5224" w:type="dxa"/>
            <w:gridSpan w:val="3"/>
          </w:tcPr>
          <w:p w14:paraId="5C3EFA26" w14:textId="77777777" w:rsidR="00713FC7" w:rsidRDefault="00713FC7" w:rsidP="00713FC7">
            <w:pPr>
              <w:jc w:val="center"/>
              <w:rPr>
                <w:b/>
                <w:kern w:val="2"/>
                <w:szCs w:val="24"/>
              </w:rPr>
            </w:pPr>
            <w:r>
              <w:rPr>
                <w:b/>
                <w:kern w:val="2"/>
                <w:szCs w:val="24"/>
              </w:rPr>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AEB7" w14:textId="77777777" w:rsidR="00A94A8A" w:rsidRDefault="00A94A8A">
      <w:pPr>
        <w:rPr>
          <w:sz w:val="20"/>
        </w:rPr>
      </w:pPr>
      <w:r>
        <w:rPr>
          <w:sz w:val="20"/>
        </w:rPr>
        <w:separator/>
      </w:r>
    </w:p>
  </w:endnote>
  <w:endnote w:type="continuationSeparator" w:id="0">
    <w:p w14:paraId="5DD07A66" w14:textId="77777777" w:rsidR="00A94A8A" w:rsidRDefault="00A94A8A">
      <w:pPr>
        <w:rPr>
          <w:sz w:val="20"/>
        </w:rPr>
      </w:pPr>
      <w:r>
        <w:rPr>
          <w:sz w:val="20"/>
        </w:rPr>
        <w:continuationSeparator/>
      </w:r>
    </w:p>
  </w:endnote>
  <w:endnote w:type="continuationNotice" w:id="1">
    <w:p w14:paraId="3B043D8D" w14:textId="77777777" w:rsidR="00A94A8A" w:rsidRDefault="00A9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7EF6B" w14:textId="77777777" w:rsidR="00A94A8A" w:rsidRDefault="00A94A8A">
      <w:pPr>
        <w:rPr>
          <w:sz w:val="20"/>
        </w:rPr>
      </w:pPr>
      <w:r>
        <w:rPr>
          <w:sz w:val="20"/>
        </w:rPr>
        <w:separator/>
      </w:r>
    </w:p>
  </w:footnote>
  <w:footnote w:type="continuationSeparator" w:id="0">
    <w:p w14:paraId="7C0B8E2E" w14:textId="77777777" w:rsidR="00A94A8A" w:rsidRDefault="00A94A8A">
      <w:pPr>
        <w:rPr>
          <w:sz w:val="20"/>
        </w:rPr>
      </w:pPr>
      <w:r>
        <w:rPr>
          <w:sz w:val="20"/>
        </w:rPr>
        <w:continuationSeparator/>
      </w:r>
    </w:p>
  </w:footnote>
  <w:footnote w:type="continuationNotice" w:id="1">
    <w:p w14:paraId="4532A8DB" w14:textId="77777777" w:rsidR="00A94A8A" w:rsidRDefault="00A94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4063C"/>
    <w:rsid w:val="00060F62"/>
    <w:rsid w:val="000B0897"/>
    <w:rsid w:val="000B421C"/>
    <w:rsid w:val="000D57DD"/>
    <w:rsid w:val="000F3A07"/>
    <w:rsid w:val="0015762D"/>
    <w:rsid w:val="00253DBD"/>
    <w:rsid w:val="00281FF1"/>
    <w:rsid w:val="00285A14"/>
    <w:rsid w:val="0029629A"/>
    <w:rsid w:val="002E0877"/>
    <w:rsid w:val="00323134"/>
    <w:rsid w:val="00336B01"/>
    <w:rsid w:val="00347071"/>
    <w:rsid w:val="003870D5"/>
    <w:rsid w:val="003A79C5"/>
    <w:rsid w:val="003E5404"/>
    <w:rsid w:val="00427330"/>
    <w:rsid w:val="004B6097"/>
    <w:rsid w:val="004E65E2"/>
    <w:rsid w:val="00511310"/>
    <w:rsid w:val="00546964"/>
    <w:rsid w:val="005613AE"/>
    <w:rsid w:val="005B5A61"/>
    <w:rsid w:val="005C1305"/>
    <w:rsid w:val="006057FD"/>
    <w:rsid w:val="0066175F"/>
    <w:rsid w:val="006946DB"/>
    <w:rsid w:val="006C6EC7"/>
    <w:rsid w:val="006C7C18"/>
    <w:rsid w:val="006E75B2"/>
    <w:rsid w:val="007020E8"/>
    <w:rsid w:val="00713FC7"/>
    <w:rsid w:val="00717D9F"/>
    <w:rsid w:val="00745B1B"/>
    <w:rsid w:val="00782943"/>
    <w:rsid w:val="007E02AE"/>
    <w:rsid w:val="007F26F7"/>
    <w:rsid w:val="00801044"/>
    <w:rsid w:val="00820453"/>
    <w:rsid w:val="00847E27"/>
    <w:rsid w:val="00851E93"/>
    <w:rsid w:val="00863B26"/>
    <w:rsid w:val="008B311D"/>
    <w:rsid w:val="008C2E18"/>
    <w:rsid w:val="008D4482"/>
    <w:rsid w:val="008D7B94"/>
    <w:rsid w:val="009401F1"/>
    <w:rsid w:val="00940329"/>
    <w:rsid w:val="0094418A"/>
    <w:rsid w:val="009728BC"/>
    <w:rsid w:val="009D7D93"/>
    <w:rsid w:val="00A01968"/>
    <w:rsid w:val="00A46D99"/>
    <w:rsid w:val="00A53C9C"/>
    <w:rsid w:val="00A94A8A"/>
    <w:rsid w:val="00AA4FC1"/>
    <w:rsid w:val="00AF3B69"/>
    <w:rsid w:val="00B34706"/>
    <w:rsid w:val="00B83F77"/>
    <w:rsid w:val="00B8574B"/>
    <w:rsid w:val="00BE27B9"/>
    <w:rsid w:val="00C0066D"/>
    <w:rsid w:val="00C83BA1"/>
    <w:rsid w:val="00CE344C"/>
    <w:rsid w:val="00D6581F"/>
    <w:rsid w:val="00DA4E0C"/>
    <w:rsid w:val="00DA7919"/>
    <w:rsid w:val="00E0261F"/>
    <w:rsid w:val="00E300CA"/>
    <w:rsid w:val="00E345FE"/>
    <w:rsid w:val="00E6797B"/>
    <w:rsid w:val="00E83BC7"/>
    <w:rsid w:val="00E879F9"/>
    <w:rsid w:val="00E92A5E"/>
    <w:rsid w:val="00E95ACD"/>
    <w:rsid w:val="00EA07AA"/>
    <w:rsid w:val="00EA2D87"/>
    <w:rsid w:val="00EB74A3"/>
    <w:rsid w:val="00F02FC4"/>
    <w:rsid w:val="00F26BA5"/>
    <w:rsid w:val="00F310D8"/>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3C0327"/>
    <w:rsid w:val="003E5404"/>
    <w:rsid w:val="006C7C18"/>
    <w:rsid w:val="007A184C"/>
    <w:rsid w:val="00811E70"/>
    <w:rsid w:val="009401F1"/>
    <w:rsid w:val="00A01968"/>
    <w:rsid w:val="00AD1C02"/>
    <w:rsid w:val="00BE27B9"/>
    <w:rsid w:val="00E6797B"/>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41e4d8e-a8ab-46be-9694-e40af28e9c61"/>
    <ds:schemaRef ds:uri="bd2a18c2-06d4-44cd-af38-3237b532008a"/>
    <ds:schemaRef ds:uri="http://purl.org/dc/dcmitype/"/>
    <ds:schemaRef ds:uri="http://purl.org/dc/terms/"/>
  </ds:schemaRefs>
</ds:datastoreItem>
</file>

<file path=customXml/itemProps3.xml><?xml version="1.0" encoding="utf-8"?>
<ds:datastoreItem xmlns:ds="http://schemas.openxmlformats.org/officeDocument/2006/customXml" ds:itemID="{5A0E6099-F994-4D67-8962-8A25F4F6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19B8E-B056-48C9-84DD-2E171F4D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14643</Words>
  <Characters>8348</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2025-04-03T12:23:00Z</dcterms:created>
  <dcterms:modified xsi:type="dcterms:W3CDTF">2025-04-03T12:23:00Z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