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5A83" w14:textId="2F41E2B9" w:rsidR="00EB5F7C" w:rsidRPr="00A16EA2" w:rsidRDefault="00EB5F7C" w:rsidP="00EB5F7C">
      <w:pPr>
        <w:spacing w:line="276" w:lineRule="auto"/>
        <w:jc w:val="center"/>
        <w:rPr>
          <w:rFonts w:ascii="Arial" w:eastAsia="Arial" w:hAnsi="Arial" w:cs="Arial"/>
          <w:b/>
          <w:bCs/>
          <w:szCs w:val="24"/>
        </w:rPr>
      </w:pPr>
      <w:r w:rsidRPr="00A16EA2">
        <w:rPr>
          <w:rFonts w:ascii="Arial" w:eastAsia="Arial" w:hAnsi="Arial" w:cs="Arial"/>
          <w:b/>
          <w:bCs/>
          <w:szCs w:val="24"/>
        </w:rPr>
        <w:t xml:space="preserve">KULTŪROS PASKIRTIES PASTATO – SVIRNO, DIDŽIOJI G. 22, PLATELIAI, PLUNGĖS R. SAV., TVARKOMŲJŲ STATYBOS (PAPRASTOJO REMONTO) IR TVARKYBOS (REMONTO) DARBŲ BENDROSIOS PROJEKTO EKSPERTIZĖS </w:t>
      </w:r>
    </w:p>
    <w:p w14:paraId="50C17647" w14:textId="77777777" w:rsidR="00EB5F7C" w:rsidRDefault="00EB5F7C" w:rsidP="004D12A5">
      <w:pPr>
        <w:jc w:val="center"/>
        <w:rPr>
          <w:rFonts w:ascii="Arial" w:hAnsi="Arial" w:cs="Arial"/>
          <w:b/>
          <w:caps/>
          <w:szCs w:val="24"/>
        </w:rPr>
      </w:pPr>
    </w:p>
    <w:p w14:paraId="6B1ECF0F" w14:textId="08BCDEF1" w:rsidR="00027B83" w:rsidRPr="002007A8" w:rsidRDefault="000B0897" w:rsidP="004D12A5">
      <w:pPr>
        <w:jc w:val="center"/>
        <w:rPr>
          <w:rFonts w:ascii="Arial" w:hAnsi="Arial" w:cs="Arial"/>
          <w:b/>
          <w:caps/>
          <w:szCs w:val="24"/>
        </w:rPr>
      </w:pPr>
      <w:r w:rsidRPr="002007A8">
        <w:rPr>
          <w:rFonts w:ascii="Arial" w:hAnsi="Arial" w:cs="Arial"/>
          <w:b/>
          <w:caps/>
          <w:szCs w:val="24"/>
        </w:rPr>
        <w:t>PASLAUGŲ pirkimo</w:t>
      </w:r>
      <w:r w:rsidRPr="002007A8">
        <w:rPr>
          <w:rFonts w:ascii="Arial" w:eastAsia="Arial" w:hAnsi="Arial" w:cs="Arial"/>
          <w:szCs w:val="24"/>
        </w:rPr>
        <w:t>–</w:t>
      </w:r>
      <w:r w:rsidRPr="002007A8">
        <w:rPr>
          <w:rFonts w:ascii="Arial" w:hAnsi="Arial" w:cs="Arial"/>
          <w:b/>
          <w:caps/>
          <w:szCs w:val="24"/>
        </w:rPr>
        <w:t>pardavimo sutarties 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w:t>
      </w:r>
      <w:r w:rsidRPr="002007A8">
        <w:rPr>
          <w:rFonts w:ascii="Arial" w:eastAsia="Arial" w:hAnsi="Arial" w:cs="Arial"/>
          <w:szCs w:val="24"/>
        </w:rPr>
        <w:lastRenderedPageBreak/>
        <w:t>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Paslaugų pirkimo–pardavimo sutartis, kurią sudaro Sutarties 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 xml:space="preserve">Jeigu Sutartyje nurodyta reikšmė skaičiais ir žodžiais skiriasi, vadovaujamasi </w:t>
      </w:r>
      <w:r w:rsidRPr="002007A8">
        <w:rPr>
          <w:rFonts w:ascii="Arial" w:eastAsia="Arial" w:hAnsi="Arial" w:cs="Arial"/>
          <w:szCs w:val="24"/>
          <w:shd w:val="clear" w:color="auto" w:fill="FFFFFF"/>
        </w:rPr>
        <w:lastRenderedPageBreak/>
        <w:t>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lastRenderedPageBreak/>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pirkimo dokumentuose nustatytus kokybinių, aplinkosaugos ir (arba) socialinių kriterijų (toliau – </w:t>
      </w:r>
      <w:r w:rsidRPr="002007A8">
        <w:rPr>
          <w:rFonts w:ascii="Arial" w:eastAsia="Arial" w:hAnsi="Arial" w:cs="Arial"/>
          <w:b/>
          <w:bCs/>
          <w:szCs w:val="24"/>
        </w:rPr>
        <w:t>kokybiniai kriterijai</w:t>
      </w:r>
      <w:r w:rsidRPr="002007A8">
        <w:rPr>
          <w:rFonts w:ascii="Arial" w:eastAsia="Arial" w:hAnsi="Arial" w:cs="Arial"/>
          <w:szCs w:val="24"/>
        </w:rPr>
        <w:t>)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3.1.1.4.</w:t>
      </w:r>
      <w:r w:rsidRPr="002007A8">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Pr="002007A8">
        <w:rPr>
          <w:rFonts w:ascii="Arial" w:eastAsia="Arial" w:hAnsi="Arial" w:cs="Arial"/>
          <w:szCs w:val="24"/>
        </w:rPr>
        <w:tab/>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Pr="002007A8">
        <w:rPr>
          <w:rFonts w:ascii="Arial" w:eastAsia="Arial" w:hAnsi="Arial" w:cs="Arial"/>
          <w:szCs w:val="24"/>
        </w:rPr>
        <w:tab/>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3.2.3.</w:t>
      </w:r>
      <w:r w:rsidRPr="002007A8">
        <w:rPr>
          <w:rFonts w:ascii="Arial" w:hAnsi="Arial" w:cs="Arial"/>
          <w:szCs w:val="24"/>
        </w:rPr>
        <w:tab/>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w:t>
      </w:r>
      <w:r w:rsidRPr="002007A8">
        <w:rPr>
          <w:rFonts w:ascii="Arial" w:eastAsia="Cambria" w:hAnsi="Arial" w:cs="Arial"/>
          <w:szCs w:val="24"/>
          <w:shd w:val="clear" w:color="auto" w:fill="FFFFFF"/>
        </w:rPr>
        <w:lastRenderedPageBreak/>
        <w:t xml:space="preserve">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nesirėmė pirkimo dokumentuose 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2007A8" w:rsidRDefault="000B0897" w:rsidP="004D12A5">
      <w:pPr>
        <w:widowControl w:val="0"/>
        <w:pBdr>
          <w:top w:val="nil"/>
          <w:left w:val="nil"/>
          <w:bottom w:val="nil"/>
          <w:right w:val="nil"/>
          <w:between w:val="nil"/>
        </w:pBdr>
        <w:tabs>
          <w:tab w:val="left" w:pos="993"/>
        </w:tabs>
        <w:ind w:left="720" w:firstLine="851"/>
        <w:jc w:val="both"/>
        <w:rPr>
          <w:rFonts w:ascii="Arial" w:eastAsia="Cambria" w:hAnsi="Arial" w:cs="Arial"/>
          <w:szCs w:val="24"/>
        </w:rPr>
      </w:pPr>
      <w:r w:rsidRPr="002007A8">
        <w:rPr>
          <w:rFonts w:ascii="Arial" w:eastAsia="Cambria" w:hAnsi="Arial" w:cs="Arial"/>
          <w:szCs w:val="24"/>
        </w:rPr>
        <w:t>3.2.11.</w:t>
      </w:r>
      <w:r w:rsidRPr="002007A8">
        <w:rPr>
          <w:rFonts w:ascii="Arial" w:eastAsia="Cambria" w:hAnsi="Arial" w:cs="Arial"/>
          <w:szCs w:val="24"/>
        </w:rPr>
        <w:tab/>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 xml:space="preserve">specialistui ir (ar) subtiekėjui </w:t>
      </w:r>
      <w:r w:rsidRPr="002007A8">
        <w:rPr>
          <w:rFonts w:ascii="Arial" w:eastAsia="Cambria" w:hAnsi="Arial" w:cs="Arial"/>
          <w:color w:val="000000"/>
          <w:szCs w:val="24"/>
        </w:rPr>
        <w:lastRenderedPageBreak/>
        <w:t>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2007A8">
        <w:rPr>
          <w:rFonts w:ascii="Arial" w:eastAsia="Cambria" w:hAnsi="Arial" w:cs="Arial"/>
          <w:szCs w:val="24"/>
          <w:shd w:val="clear" w:color="auto" w:fill="FFFFFF"/>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3.3.4. Pirkėjas, gavęs Tiekėjo prašymą su kitais Sutartyje nurodytais dokumentais, per 10 (dešimt) darbo dienų įvertina keitimo galimybes ir raštu informuoja Tiekėją apie sutikimą 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 xml:space="preserve">Kiekviena iš Šalių Sutarties sudarymo metu privalo paskirti kontaktinį asmenį, atsakingą už Sutarties vykdymą (pavyzdžiui, Paslaugų rezultato priėmimą, Užsakymų teikimą </w:t>
      </w:r>
      <w:r w:rsidRPr="002007A8">
        <w:rPr>
          <w:rFonts w:ascii="Arial" w:eastAsia="Arial" w:hAnsi="Arial" w:cs="Arial"/>
          <w:szCs w:val="24"/>
        </w:rPr>
        <w:lastRenderedPageBreak/>
        <w:t>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xml:space="preserve">, o Pirkėjas privalo kokybiškai suteiktas ir Sutarties bei įstatymų ir kitų teisės aktų reikalavimus atitinkančias Paslaugas priimti. Paslaugos turi būti suteiktos Specialiosiose </w:t>
      </w:r>
      <w:r w:rsidRPr="002007A8">
        <w:rPr>
          <w:rFonts w:ascii="Arial" w:eastAsia="Arial" w:hAnsi="Arial" w:cs="Arial"/>
          <w:szCs w:val="24"/>
        </w:rPr>
        <w:lastRenderedPageBreak/>
        <w:t>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07A8">
        <w:rPr>
          <w:rFonts w:ascii="Arial" w:eastAsia="Arial" w:hAnsi="Arial" w:cs="Arial"/>
          <w:b/>
          <w:bCs/>
          <w:szCs w:val="24"/>
        </w:rPr>
        <w:t>toliau – Defektų aktas</w:t>
      </w:r>
      <w:r w:rsidRPr="002007A8">
        <w:rPr>
          <w:rFonts w:ascii="Arial" w:eastAsia="Arial" w:hAnsi="Arial" w:cs="Arial"/>
          <w:szCs w:val="24"/>
        </w:rPr>
        <w:t>);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w:t>
      </w:r>
      <w:r w:rsidRPr="002007A8">
        <w:rPr>
          <w:rFonts w:ascii="Arial" w:eastAsia="Arial" w:hAnsi="Arial" w:cs="Arial"/>
          <w:szCs w:val="24"/>
        </w:rPr>
        <w:lastRenderedPageBreak/>
        <w:t>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07A8">
        <w:rPr>
          <w:rFonts w:ascii="Arial" w:eastAsia="Arial" w:hAnsi="Arial" w:cs="Arial"/>
          <w:b/>
          <w:bCs/>
          <w:szCs w:val="24"/>
        </w:rPr>
        <w:t>Defektų aktas</w:t>
      </w:r>
      <w:r w:rsidRPr="002007A8">
        <w:rPr>
          <w:rFonts w:ascii="Arial" w:eastAsia="Arial" w:hAnsi="Arial" w:cs="Arial"/>
          <w:szCs w:val="24"/>
        </w:rPr>
        <w:t>);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 xml:space="preserve">Paslaugų rezultatui taikomas teisės aktuose nustatytas ir (ar) Tiekėjo taikomas garantinis terminas, kuris nurodytas Tiekėjo pasiūlyme, techninėje specifikacijoje ar </w:t>
      </w:r>
      <w:r w:rsidRPr="002007A8">
        <w:rPr>
          <w:rFonts w:ascii="Arial" w:eastAsia="Arial" w:hAnsi="Arial" w:cs="Arial"/>
          <w:szCs w:val="24"/>
        </w:rPr>
        <w:lastRenderedPageBreak/>
        <w:t>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 xml:space="preserve">Pašalinus Paslaugų rezultato trūkumus, garantinis terminas Paslaugų rezultatui </w:t>
      </w:r>
      <w:r w:rsidRPr="002007A8">
        <w:rPr>
          <w:rFonts w:ascii="Arial" w:eastAsia="Arial" w:hAnsi="Arial" w:cs="Arial"/>
          <w:szCs w:val="24"/>
        </w:rPr>
        <w:lastRenderedPageBreak/>
        <w:t>(ar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07A8">
        <w:rPr>
          <w:rFonts w:ascii="Arial" w:eastAsia="Arial" w:hAnsi="Arial" w:cs="Arial"/>
          <w:b/>
          <w:bCs/>
          <w:szCs w:val="24"/>
        </w:rPr>
        <w:t>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007A8">
        <w:rPr>
          <w:rFonts w:ascii="Arial" w:eastAsia="Cambria" w:hAnsi="Arial" w:cs="Arial"/>
          <w:b/>
          <w:bCs/>
          <w:szCs w:val="24"/>
          <w:shd w:val="clear" w:color="auto" w:fill="FFFFFF"/>
        </w:rPr>
        <w:t>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10.5. Sutarties įvykdymo užtikrinime bankas (draudimo bendrovė) privalo neatšaukiamai ir besąlygiškai įsipareigoti ne vėliau kaip per 15 (penkiolika) dienų nuo Pirkėjo </w:t>
      </w:r>
      <w:r w:rsidRPr="002007A8">
        <w:rPr>
          <w:rFonts w:ascii="Arial" w:hAnsi="Arial" w:cs="Arial"/>
          <w:szCs w:val="24"/>
        </w:rPr>
        <w:lastRenderedPageBreak/>
        <w:t>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 Bendrųjų sąlygų 12.1 poskyrio sąlygos taikomos tuo atveju, jei Specialiosiose sąlygose yra nurodyta, kad Tiekėjui mokamas išankstinis mokėjimas (avansas) (toliau –</w:t>
      </w:r>
      <w:r w:rsidRPr="002007A8">
        <w:rPr>
          <w:rFonts w:ascii="Arial" w:hAnsi="Arial" w:cs="Arial"/>
          <w:b/>
          <w:bCs/>
          <w:szCs w:val="24"/>
        </w:rPr>
        <w:t xml:space="preserve"> Avansas</w:t>
      </w:r>
      <w:r w:rsidRPr="002007A8">
        <w:rPr>
          <w:rFonts w:ascii="Arial" w:hAnsi="Arial" w:cs="Arial"/>
          <w:szCs w:val="24"/>
        </w:rPr>
        <w:t>).</w:t>
      </w:r>
    </w:p>
    <w:p w14:paraId="77D840E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07A8">
        <w:rPr>
          <w:rFonts w:ascii="Arial" w:hAnsi="Arial" w:cs="Arial"/>
          <w:b/>
          <w:szCs w:val="24"/>
        </w:rPr>
        <w:t>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12.1.6. Bankas (draudimo bendrovė) neturi teisės reikalauti, kad Pirkėjas pagrįstų savo reikalavimą. Pirkėjas pranešime bankui (draudimo bendrovei) nurodys, kad Avanso užtikrinimo </w:t>
      </w:r>
      <w:r w:rsidRPr="002007A8">
        <w:rPr>
          <w:rFonts w:ascii="Arial" w:hAnsi="Arial" w:cs="Arial"/>
          <w:szCs w:val="24"/>
        </w:rPr>
        <w:lastRenderedPageBreak/>
        <w:t>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308F4CD3"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 xml:space="preserve">12.2.1.2. </w:t>
      </w:r>
      <w:r w:rsidRPr="002007A8">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 xml:space="preserve">Jeigu Šalys sudaro trišalį susitarimą su subtiekėju dėl tiesioginio atsiskaitymo, </w:t>
      </w:r>
      <w:r w:rsidRPr="002007A8">
        <w:rPr>
          <w:rFonts w:ascii="Arial" w:eastAsia="Arial" w:hAnsi="Arial" w:cs="Arial"/>
          <w:szCs w:val="24"/>
        </w:rPr>
        <w:lastRenderedPageBreak/>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lastRenderedPageBreak/>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w:t>
      </w:r>
      <w:r w:rsidRPr="002007A8">
        <w:rPr>
          <w:rFonts w:ascii="Arial" w:eastAsia="Arial" w:hAnsi="Arial" w:cs="Arial"/>
          <w:szCs w:val="24"/>
        </w:rPr>
        <w:lastRenderedPageBreak/>
        <w:t>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lastRenderedPageBreak/>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t>18.1.1.</w:t>
      </w:r>
      <w:r w:rsidRPr="002007A8">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w:t>
      </w:r>
      <w:r w:rsidRPr="002007A8">
        <w:rPr>
          <w:rFonts w:ascii="Arial" w:eastAsia="Arial" w:hAnsi="Arial" w:cs="Arial"/>
          <w:szCs w:val="24"/>
        </w:rPr>
        <w:lastRenderedPageBreak/>
        <w:t xml:space="preserve">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w:t>
      </w:r>
      <w:r w:rsidRPr="002007A8">
        <w:rPr>
          <w:rFonts w:ascii="Arial" w:hAnsi="Arial" w:cs="Arial"/>
          <w:szCs w:val="24"/>
        </w:rPr>
        <w:lastRenderedPageBreak/>
        <w:t>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lastRenderedPageBreak/>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lastRenderedPageBreak/>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2007A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8779" w14:textId="77777777" w:rsidR="001D6A50" w:rsidRDefault="001D6A50">
      <w:pPr>
        <w:rPr>
          <w:sz w:val="20"/>
        </w:rPr>
      </w:pPr>
      <w:r>
        <w:rPr>
          <w:sz w:val="20"/>
        </w:rPr>
        <w:separator/>
      </w:r>
    </w:p>
  </w:endnote>
  <w:endnote w:type="continuationSeparator" w:id="0">
    <w:p w14:paraId="2662F845" w14:textId="77777777" w:rsidR="001D6A50" w:rsidRDefault="001D6A50">
      <w:pPr>
        <w:rPr>
          <w:sz w:val="20"/>
        </w:rPr>
      </w:pPr>
      <w:r>
        <w:rPr>
          <w:sz w:val="20"/>
        </w:rPr>
        <w:continuationSeparator/>
      </w:r>
    </w:p>
  </w:endnote>
  <w:endnote w:type="continuationNotice" w:id="1">
    <w:p w14:paraId="1B8C7760" w14:textId="77777777" w:rsidR="001D6A50" w:rsidRDefault="001D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0288" w14:textId="77777777" w:rsidR="001D6A50" w:rsidRDefault="001D6A50">
      <w:pPr>
        <w:rPr>
          <w:sz w:val="20"/>
        </w:rPr>
      </w:pPr>
      <w:r>
        <w:rPr>
          <w:sz w:val="20"/>
        </w:rPr>
        <w:separator/>
      </w:r>
    </w:p>
  </w:footnote>
  <w:footnote w:type="continuationSeparator" w:id="0">
    <w:p w14:paraId="2FF72ED0" w14:textId="77777777" w:rsidR="001D6A50" w:rsidRDefault="001D6A50">
      <w:pPr>
        <w:rPr>
          <w:sz w:val="20"/>
        </w:rPr>
      </w:pPr>
      <w:r>
        <w:rPr>
          <w:sz w:val="20"/>
        </w:rPr>
        <w:continuationSeparator/>
      </w:r>
    </w:p>
  </w:footnote>
  <w:footnote w:type="continuationNotice" w:id="1">
    <w:p w14:paraId="770CFC30" w14:textId="77777777" w:rsidR="001D6A50" w:rsidRDefault="001D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081FC43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B3822">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D6A50"/>
    <w:rsid w:val="002007A8"/>
    <w:rsid w:val="002B3822"/>
    <w:rsid w:val="004D12A5"/>
    <w:rsid w:val="004F10FB"/>
    <w:rsid w:val="007D4CAA"/>
    <w:rsid w:val="007E028B"/>
    <w:rsid w:val="009374A5"/>
    <w:rsid w:val="009728BC"/>
    <w:rsid w:val="00A72765"/>
    <w:rsid w:val="00AD13BC"/>
    <w:rsid w:val="00DA4E0C"/>
    <w:rsid w:val="00EB5F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009B6376D8ABC45A1DEDAEE9A21977C" ma:contentTypeVersion="4" ma:contentTypeDescription="Kurkite naują dokumentą." ma:contentTypeScope="" ma:versionID="dbe55957f39dd4a1b43e4935536147d1">
  <xsd:schema xmlns:xsd="http://www.w3.org/2001/XMLSchema" xmlns:xs="http://www.w3.org/2001/XMLSchema" xmlns:p="http://schemas.microsoft.com/office/2006/metadata/properties" xmlns:ns2="ccd713c9-3a9f-416b-b228-2fbce151e412" targetNamespace="http://schemas.microsoft.com/office/2006/metadata/properties" ma:root="true" ma:fieldsID="d4b0ec5b3612f15f555709993011f955" ns2:_="">
    <xsd:import namespace="ccd713c9-3a9f-416b-b228-2fbce151e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713c9-3a9f-416b-b228-2fbce151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EAADB-C90B-4B41-986B-05049D96596D}">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7757A99-BEF2-4940-ACAA-7FA46E94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713c9-3a9f-416b-b228-2fbce151e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56375</Words>
  <Characters>32135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10</cp:revision>
  <cp:lastPrinted>2017-06-29T23:42:00Z</cp:lastPrinted>
  <dcterms:created xsi:type="dcterms:W3CDTF">2025-01-10T06:37:00Z</dcterms:created>
  <dcterms:modified xsi:type="dcterms:W3CDTF">2025-04-08T05:46:00Z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0x0101006009B6376D8ABC45A1DEDAEE9A21977C</vt:lpwstr>
  </property>
  <property fmtid="{D5CDD505-2E9C-101B-9397-08002B2CF9AE}" pid="3" name="MediaServiceImageTags">
    <vt:lpwstr/>
  </property>
</Properties>
</file>