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6617CE8C" w:rsidR="00EC5A1C" w:rsidRPr="00487EC0" w:rsidRDefault="00A24050" w:rsidP="00023FB9">
      <w:pPr>
        <w:jc w:val="center"/>
        <w:rPr>
          <w:rFonts w:ascii="Jost" w:eastAsia="Arial Unicode MS" w:hAnsi="Jost"/>
          <w:b/>
          <w:bCs/>
          <w:sz w:val="22"/>
          <w:szCs w:val="22"/>
          <w:bdr w:val="nil"/>
          <w:lang w:eastAsia="en-GB"/>
        </w:rPr>
      </w:pPr>
      <w:r w:rsidRPr="00487EC0">
        <w:rPr>
          <w:rFonts w:ascii="Jost" w:eastAsia="Arial Unicode MS" w:hAnsi="Jost"/>
          <w:b/>
          <w:bCs/>
          <w:sz w:val="22"/>
          <w:szCs w:val="22"/>
          <w:bdr w:val="nil"/>
          <w:lang w:eastAsia="en-GB"/>
        </w:rPr>
        <w:t>RINKOS KONSULTACIJOS REZULTATŲ APIBENDRINIM</w:t>
      </w:r>
      <w:r w:rsidR="000776FD" w:rsidRPr="00487EC0">
        <w:rPr>
          <w:rFonts w:ascii="Jost" w:eastAsia="Arial Unicode MS" w:hAnsi="Jost"/>
          <w:b/>
          <w:bCs/>
          <w:sz w:val="22"/>
          <w:szCs w:val="22"/>
          <w:bdr w:val="nil"/>
          <w:lang w:eastAsia="en-GB"/>
        </w:rPr>
        <w:t>O SUVESTINĖ</w:t>
      </w:r>
    </w:p>
    <w:p w14:paraId="52DB4CDD" w14:textId="77777777" w:rsidR="00E33B13" w:rsidRPr="00487EC0" w:rsidRDefault="00E33B13" w:rsidP="00023FB9">
      <w:pPr>
        <w:jc w:val="center"/>
        <w:rPr>
          <w:rFonts w:ascii="Jost" w:eastAsia="Arial Unicode MS" w:hAnsi="Jost"/>
          <w:b/>
          <w:bCs/>
          <w:sz w:val="22"/>
          <w:szCs w:val="22"/>
          <w:bdr w:val="nil"/>
          <w:lang w:eastAsia="en-GB"/>
        </w:rPr>
      </w:pPr>
    </w:p>
    <w:tbl>
      <w:tblPr>
        <w:tblStyle w:val="Lentelstinklelis"/>
        <w:tblW w:w="15163" w:type="dxa"/>
        <w:tblLook w:val="04A0" w:firstRow="1" w:lastRow="0" w:firstColumn="1" w:lastColumn="0" w:noHBand="0" w:noVBand="1"/>
      </w:tblPr>
      <w:tblGrid>
        <w:gridCol w:w="560"/>
        <w:gridCol w:w="5360"/>
        <w:gridCol w:w="1941"/>
        <w:gridCol w:w="7302"/>
      </w:tblGrid>
      <w:tr w:rsidR="00FC1346" w:rsidRPr="00487EC0" w14:paraId="6C3065F6" w14:textId="77777777" w:rsidTr="00BC6A5F">
        <w:tc>
          <w:tcPr>
            <w:tcW w:w="15163" w:type="dxa"/>
            <w:gridSpan w:val="4"/>
            <w:shd w:val="clear" w:color="auto" w:fill="E2EFD9" w:themeFill="accent6" w:themeFillTint="33"/>
          </w:tcPr>
          <w:p w14:paraId="15FB7E7E" w14:textId="07BB02EE" w:rsidR="00E05A22" w:rsidRPr="00487EC0" w:rsidRDefault="00E05A22" w:rsidP="00FE4CB6">
            <w:pPr>
              <w:tabs>
                <w:tab w:val="left" w:pos="527"/>
              </w:tabs>
              <w:spacing w:before="120" w:after="120"/>
              <w:jc w:val="center"/>
              <w:rPr>
                <w:rFonts w:ascii="Jost" w:hAnsi="Jost"/>
                <w:b/>
                <w:bCs/>
                <w:sz w:val="22"/>
                <w:szCs w:val="22"/>
              </w:rPr>
            </w:pPr>
            <w:r w:rsidRPr="00487EC0">
              <w:rPr>
                <w:rFonts w:ascii="Jost" w:hAnsi="Jost"/>
                <w:b/>
                <w:bCs/>
                <w:sz w:val="22"/>
                <w:szCs w:val="22"/>
              </w:rPr>
              <w:t>I.</w:t>
            </w:r>
            <w:r w:rsidRPr="00487EC0">
              <w:rPr>
                <w:rFonts w:ascii="Jost" w:hAnsi="Jost"/>
                <w:b/>
                <w:bCs/>
                <w:sz w:val="22"/>
                <w:szCs w:val="22"/>
              </w:rPr>
              <w:tab/>
              <w:t>RINKOS KONSULTACIJOS OBJEKTAS IR TIKSLAS</w:t>
            </w:r>
          </w:p>
        </w:tc>
      </w:tr>
      <w:tr w:rsidR="00FC1346" w:rsidRPr="00487EC0" w14:paraId="23F27477" w14:textId="77777777" w:rsidTr="0025657F">
        <w:trPr>
          <w:trHeight w:val="396"/>
        </w:trPr>
        <w:tc>
          <w:tcPr>
            <w:tcW w:w="5920" w:type="dxa"/>
            <w:gridSpan w:val="2"/>
          </w:tcPr>
          <w:p w14:paraId="7E325E27" w14:textId="7581782B" w:rsidR="00E05A22" w:rsidRPr="00487EC0" w:rsidRDefault="00E05A22" w:rsidP="006A1661">
            <w:pPr>
              <w:jc w:val="left"/>
              <w:rPr>
                <w:rFonts w:ascii="Jost" w:hAnsi="Jost"/>
                <w:b/>
                <w:bCs/>
                <w:sz w:val="22"/>
                <w:szCs w:val="22"/>
              </w:rPr>
            </w:pPr>
            <w:r w:rsidRPr="00487EC0">
              <w:rPr>
                <w:rFonts w:ascii="Jost" w:hAnsi="Jost"/>
                <w:b/>
                <w:bCs/>
                <w:sz w:val="22"/>
                <w:szCs w:val="22"/>
              </w:rPr>
              <w:t>Pirkimo objektas</w:t>
            </w:r>
          </w:p>
        </w:tc>
        <w:tc>
          <w:tcPr>
            <w:tcW w:w="9243" w:type="dxa"/>
            <w:gridSpan w:val="2"/>
          </w:tcPr>
          <w:p w14:paraId="6D52FE4B" w14:textId="6B0CEC52" w:rsidR="00E05A22" w:rsidRPr="00487EC0" w:rsidRDefault="00B03B4B" w:rsidP="000E2AFD">
            <w:pPr>
              <w:rPr>
                <w:rFonts w:ascii="Jost" w:hAnsi="Jost"/>
                <w:b/>
                <w:bCs/>
                <w:sz w:val="22"/>
                <w:szCs w:val="22"/>
              </w:rPr>
            </w:pPr>
            <w:r w:rsidRPr="00487EC0">
              <w:rPr>
                <w:rFonts w:ascii="Jost" w:eastAsia="TimesNewRomanPS-BoldMT" w:hAnsi="Jost"/>
                <w:b/>
                <w:bCs/>
                <w:szCs w:val="24"/>
              </w:rPr>
              <w:t xml:space="preserve">Mokslinių tyrimų ir eksperimentinės plėtros ir inovacijų (sumaniosios specializacijos) koncepcijos tarpinio pažangos vertinimo </w:t>
            </w:r>
            <w:r w:rsidR="00C6649A" w:rsidRPr="00487EC0">
              <w:rPr>
                <w:rFonts w:ascii="Jost" w:hAnsi="Jost"/>
                <w:b/>
                <w:bCs/>
                <w:sz w:val="22"/>
                <w:szCs w:val="22"/>
              </w:rPr>
              <w:t>paslaugos</w:t>
            </w:r>
          </w:p>
        </w:tc>
      </w:tr>
      <w:tr w:rsidR="00FC1346" w:rsidRPr="00487EC0" w14:paraId="0F2215C4" w14:textId="77777777" w:rsidTr="0025657F">
        <w:trPr>
          <w:trHeight w:val="759"/>
        </w:trPr>
        <w:tc>
          <w:tcPr>
            <w:tcW w:w="5920" w:type="dxa"/>
            <w:gridSpan w:val="2"/>
          </w:tcPr>
          <w:p w14:paraId="36281EF4" w14:textId="67129844" w:rsidR="00E05A22" w:rsidRPr="00487EC0" w:rsidRDefault="00E05A22" w:rsidP="00023FB9">
            <w:pPr>
              <w:jc w:val="left"/>
              <w:rPr>
                <w:rFonts w:ascii="Jost" w:hAnsi="Jost"/>
                <w:b/>
                <w:bCs/>
                <w:i/>
                <w:iCs/>
                <w:sz w:val="22"/>
                <w:szCs w:val="22"/>
              </w:rPr>
            </w:pPr>
            <w:r w:rsidRPr="00487EC0">
              <w:rPr>
                <w:rFonts w:ascii="Jost" w:hAnsi="Jost"/>
                <w:b/>
                <w:bCs/>
                <w:sz w:val="22"/>
                <w:szCs w:val="22"/>
              </w:rPr>
              <w:t>Rinkos konsultacijos tikslas</w:t>
            </w:r>
          </w:p>
        </w:tc>
        <w:tc>
          <w:tcPr>
            <w:tcW w:w="9243" w:type="dxa"/>
            <w:gridSpan w:val="2"/>
          </w:tcPr>
          <w:p w14:paraId="267FC7D6" w14:textId="333035D7" w:rsidR="00E05A22" w:rsidRPr="00487EC0" w:rsidRDefault="00E05A22" w:rsidP="00E24607">
            <w:pPr>
              <w:rPr>
                <w:rFonts w:ascii="Jost" w:hAnsi="Jost"/>
                <w:bCs/>
                <w:sz w:val="22"/>
                <w:szCs w:val="22"/>
              </w:rPr>
            </w:pPr>
            <w:r w:rsidRPr="00487EC0">
              <w:rPr>
                <w:rFonts w:ascii="Jost" w:hAnsi="Jost"/>
                <w:sz w:val="22"/>
                <w:szCs w:val="22"/>
              </w:rPr>
              <w:t>Kokybiškai ir tinkamai pasirengti Pirkimui, išsiaiškinti įvairius su Pirkimo objektu susijusius klausimus bei informuoti rinkos dalyvius apie ketinimą vykdyti Pirkimą, bei jam keliamus reikalavimus.</w:t>
            </w:r>
          </w:p>
        </w:tc>
      </w:tr>
      <w:tr w:rsidR="00FC1346" w:rsidRPr="00487EC0" w14:paraId="0F732FAB" w14:textId="77777777" w:rsidTr="00727087">
        <w:tc>
          <w:tcPr>
            <w:tcW w:w="15163" w:type="dxa"/>
            <w:gridSpan w:val="4"/>
            <w:shd w:val="clear" w:color="auto" w:fill="E2EFD9" w:themeFill="accent6" w:themeFillTint="33"/>
          </w:tcPr>
          <w:p w14:paraId="7D2855DE" w14:textId="0A6E4428" w:rsidR="00E05A22" w:rsidRPr="00487EC0" w:rsidRDefault="00E05A22" w:rsidP="00FE4CB6">
            <w:pPr>
              <w:tabs>
                <w:tab w:val="left" w:pos="527"/>
              </w:tabs>
              <w:spacing w:before="120" w:after="120"/>
              <w:jc w:val="center"/>
              <w:rPr>
                <w:rFonts w:ascii="Jost" w:hAnsi="Jost"/>
                <w:bCs/>
                <w:sz w:val="22"/>
                <w:szCs w:val="22"/>
              </w:rPr>
            </w:pPr>
            <w:r w:rsidRPr="00487EC0">
              <w:rPr>
                <w:rFonts w:ascii="Jost" w:hAnsi="Jost"/>
                <w:b/>
                <w:sz w:val="22"/>
                <w:szCs w:val="22"/>
              </w:rPr>
              <w:t>II.</w:t>
            </w:r>
            <w:r w:rsidRPr="00487EC0">
              <w:rPr>
                <w:rFonts w:ascii="Jost" w:hAnsi="Jost"/>
                <w:bCs/>
                <w:sz w:val="22"/>
                <w:szCs w:val="22"/>
              </w:rPr>
              <w:tab/>
            </w:r>
            <w:r w:rsidRPr="00487EC0">
              <w:rPr>
                <w:rFonts w:ascii="Jost" w:hAnsi="Jost"/>
                <w:b/>
                <w:sz w:val="22"/>
                <w:szCs w:val="22"/>
              </w:rPr>
              <w:t>RINKOS KONSULTACIJOS ATLIKIMAS</w:t>
            </w:r>
          </w:p>
        </w:tc>
      </w:tr>
      <w:tr w:rsidR="00FC1346" w:rsidRPr="00487EC0" w14:paraId="6884034E" w14:textId="77777777" w:rsidTr="0025657F">
        <w:trPr>
          <w:trHeight w:val="477"/>
        </w:trPr>
        <w:tc>
          <w:tcPr>
            <w:tcW w:w="5920" w:type="dxa"/>
            <w:gridSpan w:val="2"/>
          </w:tcPr>
          <w:p w14:paraId="50F87D13" w14:textId="5E94058C" w:rsidR="00E05A22" w:rsidRPr="00487EC0" w:rsidRDefault="00E05A22" w:rsidP="00023FB9">
            <w:pPr>
              <w:jc w:val="left"/>
              <w:rPr>
                <w:rFonts w:ascii="Jost" w:hAnsi="Jost"/>
                <w:b/>
                <w:bCs/>
                <w:i/>
                <w:iCs/>
                <w:sz w:val="22"/>
                <w:szCs w:val="22"/>
              </w:rPr>
            </w:pPr>
            <w:r w:rsidRPr="00487EC0">
              <w:rPr>
                <w:rFonts w:ascii="Jost" w:hAnsi="Jost"/>
                <w:b/>
                <w:bCs/>
                <w:sz w:val="22"/>
                <w:szCs w:val="22"/>
              </w:rPr>
              <w:t>Naudotos priemonės</w:t>
            </w:r>
          </w:p>
        </w:tc>
        <w:tc>
          <w:tcPr>
            <w:tcW w:w="9243" w:type="dxa"/>
            <w:gridSpan w:val="2"/>
          </w:tcPr>
          <w:p w14:paraId="14B7C16C" w14:textId="4B4A389C" w:rsidR="00E05A22" w:rsidRPr="00487EC0" w:rsidRDefault="00E05A22" w:rsidP="00E2588B">
            <w:pPr>
              <w:rPr>
                <w:rFonts w:ascii="Jost" w:hAnsi="Jost"/>
                <w:bCs/>
                <w:sz w:val="22"/>
                <w:szCs w:val="22"/>
              </w:rPr>
            </w:pPr>
            <w:r w:rsidRPr="00487EC0">
              <w:rPr>
                <w:rFonts w:ascii="Jost" w:hAnsi="Jost"/>
                <w:sz w:val="22"/>
                <w:szCs w:val="22"/>
              </w:rPr>
              <w:t>Konsultacija vyko Centrinės viešųjų pirkimų informacinės sistemos priemonėmis</w:t>
            </w:r>
          </w:p>
        </w:tc>
      </w:tr>
      <w:tr w:rsidR="00FC1346" w:rsidRPr="00487EC0" w14:paraId="2639E402" w14:textId="77777777" w:rsidTr="0025657F">
        <w:trPr>
          <w:trHeight w:val="683"/>
        </w:trPr>
        <w:tc>
          <w:tcPr>
            <w:tcW w:w="5920" w:type="dxa"/>
            <w:gridSpan w:val="2"/>
          </w:tcPr>
          <w:p w14:paraId="2B7FB495" w14:textId="3CD84D68" w:rsidR="00E05A22" w:rsidRPr="00487EC0" w:rsidRDefault="00E05A22" w:rsidP="00023FB9">
            <w:pPr>
              <w:jc w:val="left"/>
              <w:rPr>
                <w:rFonts w:ascii="Jost" w:hAnsi="Jost"/>
                <w:b/>
                <w:bCs/>
                <w:i/>
                <w:iCs/>
                <w:sz w:val="22"/>
                <w:szCs w:val="22"/>
              </w:rPr>
            </w:pPr>
            <w:r w:rsidRPr="00487EC0">
              <w:rPr>
                <w:rFonts w:ascii="Jost" w:hAnsi="Jost"/>
                <w:b/>
                <w:bCs/>
                <w:sz w:val="22"/>
                <w:szCs w:val="22"/>
              </w:rPr>
              <w:t>Rinkos konsultacijos paskelbimo ir atsakymų pateikimo datos</w:t>
            </w:r>
          </w:p>
        </w:tc>
        <w:tc>
          <w:tcPr>
            <w:tcW w:w="9243" w:type="dxa"/>
            <w:gridSpan w:val="2"/>
          </w:tcPr>
          <w:p w14:paraId="3DA24B96" w14:textId="3606D651" w:rsidR="00B91A59" w:rsidRPr="00487EC0" w:rsidRDefault="00E05A22" w:rsidP="00023FB9">
            <w:pPr>
              <w:jc w:val="left"/>
              <w:rPr>
                <w:rFonts w:ascii="Jost" w:hAnsi="Jost"/>
                <w:sz w:val="22"/>
                <w:szCs w:val="22"/>
              </w:rPr>
            </w:pPr>
            <w:r w:rsidRPr="00487EC0">
              <w:rPr>
                <w:rFonts w:ascii="Jost" w:hAnsi="Jost"/>
                <w:sz w:val="22"/>
                <w:szCs w:val="22"/>
              </w:rPr>
              <w:t xml:space="preserve">Paskelbimo CVP IS data: </w:t>
            </w:r>
            <w:bookmarkStart w:id="0" w:name="_Hlk109129868"/>
            <w:r w:rsidR="00817F98" w:rsidRPr="00487EC0">
              <w:rPr>
                <w:rFonts w:ascii="Jost" w:hAnsi="Jost"/>
                <w:sz w:val="22"/>
                <w:szCs w:val="22"/>
              </w:rPr>
              <w:t>2025-01-</w:t>
            </w:r>
            <w:r w:rsidR="002D10D1" w:rsidRPr="00487EC0">
              <w:rPr>
                <w:rFonts w:ascii="Jost" w:hAnsi="Jost"/>
                <w:sz w:val="22"/>
                <w:szCs w:val="22"/>
              </w:rPr>
              <w:t>27</w:t>
            </w:r>
            <w:r w:rsidRPr="00487EC0">
              <w:rPr>
                <w:rFonts w:ascii="Jost" w:hAnsi="Jost"/>
                <w:sz w:val="22"/>
                <w:szCs w:val="22"/>
              </w:rPr>
              <w:t xml:space="preserve"> (Nr. </w:t>
            </w:r>
            <w:r w:rsidR="002D10D1" w:rsidRPr="00487EC0">
              <w:rPr>
                <w:rFonts w:ascii="Jost" w:hAnsi="Jost"/>
                <w:sz w:val="22"/>
                <w:szCs w:val="22"/>
              </w:rPr>
              <w:t>908496</w:t>
            </w:r>
            <w:r w:rsidRPr="00487EC0">
              <w:rPr>
                <w:rFonts w:ascii="Jost" w:hAnsi="Jost"/>
                <w:sz w:val="22"/>
                <w:szCs w:val="22"/>
              </w:rPr>
              <w:t xml:space="preserve">). </w:t>
            </w:r>
          </w:p>
          <w:p w14:paraId="2FE2ADFF" w14:textId="6B316122" w:rsidR="00E05A22" w:rsidRPr="00487EC0" w:rsidRDefault="00E05A22" w:rsidP="00023FB9">
            <w:pPr>
              <w:jc w:val="left"/>
              <w:rPr>
                <w:rFonts w:ascii="Jost" w:hAnsi="Jost"/>
                <w:bCs/>
                <w:sz w:val="22"/>
                <w:szCs w:val="22"/>
              </w:rPr>
            </w:pPr>
            <w:r w:rsidRPr="00487EC0">
              <w:rPr>
                <w:rFonts w:ascii="Jost" w:hAnsi="Jost"/>
                <w:sz w:val="22"/>
                <w:szCs w:val="22"/>
              </w:rPr>
              <w:t xml:space="preserve">Atsakymų pateikimo terminas: iki </w:t>
            </w:r>
            <w:r w:rsidR="00817F98" w:rsidRPr="00487EC0">
              <w:rPr>
                <w:rFonts w:ascii="Jost" w:hAnsi="Jost"/>
                <w:sz w:val="22"/>
                <w:szCs w:val="22"/>
              </w:rPr>
              <w:t>2025-02-0</w:t>
            </w:r>
            <w:r w:rsidR="002D10D1" w:rsidRPr="00487EC0">
              <w:rPr>
                <w:rFonts w:ascii="Jost" w:hAnsi="Jost"/>
                <w:sz w:val="22"/>
                <w:szCs w:val="22"/>
              </w:rPr>
              <w:t>3</w:t>
            </w:r>
            <w:r w:rsidR="00817F98" w:rsidRPr="00487EC0">
              <w:rPr>
                <w:rFonts w:ascii="Jost" w:hAnsi="Jost"/>
                <w:sz w:val="22"/>
                <w:szCs w:val="22"/>
              </w:rPr>
              <w:t xml:space="preserve"> 17</w:t>
            </w:r>
            <w:r w:rsidRPr="00487EC0">
              <w:rPr>
                <w:rFonts w:ascii="Jost" w:hAnsi="Jost"/>
                <w:sz w:val="22"/>
                <w:szCs w:val="22"/>
              </w:rPr>
              <w:t>.00 val. </w:t>
            </w:r>
            <w:bookmarkEnd w:id="0"/>
          </w:p>
        </w:tc>
      </w:tr>
      <w:tr w:rsidR="00FC1346" w:rsidRPr="00487EC0" w14:paraId="52056916" w14:textId="77777777" w:rsidTr="0025657F">
        <w:trPr>
          <w:trHeight w:val="982"/>
        </w:trPr>
        <w:tc>
          <w:tcPr>
            <w:tcW w:w="5920" w:type="dxa"/>
            <w:gridSpan w:val="2"/>
          </w:tcPr>
          <w:p w14:paraId="1DAD6523" w14:textId="31396CD4" w:rsidR="00E05A22" w:rsidRPr="00487EC0" w:rsidRDefault="00E05A22" w:rsidP="00023FB9">
            <w:pPr>
              <w:jc w:val="left"/>
              <w:rPr>
                <w:rFonts w:ascii="Jost" w:hAnsi="Jost"/>
                <w:b/>
                <w:bCs/>
                <w:i/>
                <w:iCs/>
                <w:sz w:val="22"/>
                <w:szCs w:val="22"/>
              </w:rPr>
            </w:pPr>
            <w:r w:rsidRPr="00487EC0">
              <w:rPr>
                <w:rFonts w:ascii="Jost" w:hAnsi="Jost"/>
                <w:b/>
                <w:bCs/>
                <w:sz w:val="22"/>
                <w:szCs w:val="22"/>
              </w:rPr>
              <w:t>Rinkos dalyviams teikti dokumentai bei kita informacija</w:t>
            </w:r>
          </w:p>
        </w:tc>
        <w:tc>
          <w:tcPr>
            <w:tcW w:w="9243" w:type="dxa"/>
            <w:gridSpan w:val="2"/>
          </w:tcPr>
          <w:p w14:paraId="01310E7C" w14:textId="7168D0D6" w:rsidR="00E05A22" w:rsidRPr="00487EC0" w:rsidRDefault="00E05A22" w:rsidP="00023FB9">
            <w:pPr>
              <w:rPr>
                <w:rFonts w:ascii="Jost" w:hAnsi="Jost"/>
                <w:sz w:val="22"/>
                <w:szCs w:val="22"/>
              </w:rPr>
            </w:pPr>
            <w:r w:rsidRPr="00487EC0">
              <w:rPr>
                <w:rFonts w:ascii="Jost" w:hAnsi="Jost"/>
                <w:sz w:val="22"/>
                <w:szCs w:val="22"/>
              </w:rPr>
              <w:t>Buvo skelbiamas klausimynas</w:t>
            </w:r>
            <w:r w:rsidR="002D10D1" w:rsidRPr="00487EC0">
              <w:rPr>
                <w:rFonts w:ascii="Jost" w:hAnsi="Jost"/>
                <w:sz w:val="22"/>
                <w:szCs w:val="22"/>
              </w:rPr>
              <w:t>,</w:t>
            </w:r>
            <w:r w:rsidRPr="00487EC0">
              <w:rPr>
                <w:rFonts w:ascii="Jost" w:hAnsi="Jost"/>
                <w:sz w:val="22"/>
                <w:szCs w:val="22"/>
              </w:rPr>
              <w:t xml:space="preserve"> Techninės specifikacijos</w:t>
            </w:r>
            <w:r w:rsidR="001C7CB5" w:rsidRPr="00487EC0">
              <w:rPr>
                <w:rFonts w:ascii="Jost" w:hAnsi="Jost"/>
                <w:sz w:val="22"/>
                <w:szCs w:val="22"/>
              </w:rPr>
              <w:t>,</w:t>
            </w:r>
            <w:r w:rsidRPr="00487EC0">
              <w:rPr>
                <w:rFonts w:ascii="Jost" w:hAnsi="Jost"/>
                <w:sz w:val="22"/>
                <w:szCs w:val="22"/>
              </w:rPr>
              <w:t xml:space="preserve"> </w:t>
            </w:r>
            <w:r w:rsidR="001C7CB5" w:rsidRPr="00487EC0">
              <w:rPr>
                <w:rFonts w:ascii="Jost" w:hAnsi="Jost"/>
                <w:sz w:val="22"/>
                <w:szCs w:val="22"/>
              </w:rPr>
              <w:t xml:space="preserve">kvalifikacijos reikalavimų tiekėjams bei kokybės kriterijų ir vertinimo tvarkos </w:t>
            </w:r>
            <w:r w:rsidRPr="00487EC0">
              <w:rPr>
                <w:rFonts w:ascii="Jost" w:hAnsi="Jost"/>
                <w:sz w:val="22"/>
                <w:szCs w:val="22"/>
              </w:rPr>
              <w:t>projekta</w:t>
            </w:r>
            <w:r w:rsidR="001C7CB5" w:rsidRPr="00487EC0">
              <w:rPr>
                <w:rFonts w:ascii="Jost" w:hAnsi="Jost"/>
                <w:sz w:val="22"/>
                <w:szCs w:val="22"/>
              </w:rPr>
              <w:t>i</w:t>
            </w:r>
            <w:r w:rsidRPr="00487EC0">
              <w:rPr>
                <w:rFonts w:ascii="Jost" w:hAnsi="Jost"/>
                <w:sz w:val="22"/>
                <w:szCs w:val="22"/>
              </w:rPr>
              <w:t>, kuri</w:t>
            </w:r>
            <w:r w:rsidR="00193607" w:rsidRPr="00487EC0">
              <w:rPr>
                <w:rFonts w:ascii="Jost" w:hAnsi="Jost"/>
                <w:sz w:val="22"/>
                <w:szCs w:val="22"/>
              </w:rPr>
              <w:t>ems</w:t>
            </w:r>
            <w:r w:rsidRPr="00487EC0">
              <w:rPr>
                <w:rFonts w:ascii="Jost" w:hAnsi="Jost"/>
                <w:sz w:val="22"/>
                <w:szCs w:val="22"/>
              </w:rPr>
              <w:t xml:space="preserve"> sudaromos galimybės pateikti pastabas ir pasiūlymus, atsakant į Perkančiosios organizacijos suformuluotus klausimus (visi skelbiami dokumentai saugomi CVP IS).</w:t>
            </w:r>
          </w:p>
        </w:tc>
      </w:tr>
      <w:tr w:rsidR="00FC1346" w:rsidRPr="00487EC0" w14:paraId="4FAECD6F" w14:textId="77777777" w:rsidTr="00436F6A">
        <w:tc>
          <w:tcPr>
            <w:tcW w:w="15163" w:type="dxa"/>
            <w:gridSpan w:val="4"/>
            <w:shd w:val="clear" w:color="auto" w:fill="E2EFD9" w:themeFill="accent6" w:themeFillTint="33"/>
          </w:tcPr>
          <w:p w14:paraId="5BFB3861" w14:textId="0927BF5F" w:rsidR="00E05A22" w:rsidRPr="00487EC0" w:rsidRDefault="00E05A22" w:rsidP="00FE4CB6">
            <w:pPr>
              <w:tabs>
                <w:tab w:val="left" w:pos="595"/>
              </w:tabs>
              <w:spacing w:before="120" w:after="120"/>
              <w:jc w:val="center"/>
              <w:rPr>
                <w:rFonts w:ascii="Jost" w:hAnsi="Jost"/>
                <w:b/>
                <w:bCs/>
                <w:sz w:val="22"/>
                <w:szCs w:val="22"/>
              </w:rPr>
            </w:pPr>
            <w:r w:rsidRPr="00487EC0">
              <w:rPr>
                <w:rFonts w:ascii="Jost" w:hAnsi="Jost"/>
                <w:b/>
                <w:bCs/>
                <w:caps/>
                <w:sz w:val="22"/>
                <w:szCs w:val="22"/>
              </w:rPr>
              <w:t>III. Rinkos dalyvių pateiktų atsakymų nagrinėjimas</w:t>
            </w:r>
          </w:p>
        </w:tc>
      </w:tr>
      <w:tr w:rsidR="001C7CB5" w:rsidRPr="00487EC0" w14:paraId="3DDF902F" w14:textId="37ECEF0F" w:rsidTr="001C7CB5">
        <w:trPr>
          <w:trHeight w:val="1040"/>
        </w:trPr>
        <w:tc>
          <w:tcPr>
            <w:tcW w:w="560" w:type="dxa"/>
            <w:shd w:val="clear" w:color="auto" w:fill="DEEAF6" w:themeFill="accent5" w:themeFillTint="33"/>
            <w:vAlign w:val="center"/>
          </w:tcPr>
          <w:p w14:paraId="40375172" w14:textId="1D530881" w:rsidR="001C7CB5" w:rsidRPr="00487EC0" w:rsidRDefault="001C7CB5" w:rsidP="001C7CB5">
            <w:pPr>
              <w:jc w:val="center"/>
              <w:rPr>
                <w:rFonts w:ascii="Jost" w:hAnsi="Jost"/>
                <w:b/>
                <w:bCs/>
                <w:sz w:val="22"/>
                <w:szCs w:val="22"/>
              </w:rPr>
            </w:pPr>
            <w:r w:rsidRPr="00487EC0">
              <w:rPr>
                <w:rFonts w:ascii="Jost" w:hAnsi="Jost"/>
                <w:b/>
                <w:bCs/>
                <w:sz w:val="22"/>
                <w:szCs w:val="22"/>
              </w:rPr>
              <w:t>Eil. Nr.</w:t>
            </w:r>
          </w:p>
        </w:tc>
        <w:tc>
          <w:tcPr>
            <w:tcW w:w="7301" w:type="dxa"/>
            <w:gridSpan w:val="2"/>
            <w:shd w:val="clear" w:color="auto" w:fill="DEEAF6" w:themeFill="accent5" w:themeFillTint="33"/>
            <w:vAlign w:val="center"/>
          </w:tcPr>
          <w:p w14:paraId="72DAB15B" w14:textId="026B3209" w:rsidR="001C7CB5" w:rsidRPr="00487EC0" w:rsidRDefault="001C7CB5" w:rsidP="009D15C2">
            <w:pPr>
              <w:autoSpaceDE w:val="0"/>
              <w:autoSpaceDN w:val="0"/>
              <w:adjustRightInd w:val="0"/>
              <w:jc w:val="center"/>
              <w:rPr>
                <w:rFonts w:ascii="Jost" w:hAnsi="Jost"/>
                <w:sz w:val="22"/>
                <w:szCs w:val="22"/>
              </w:rPr>
            </w:pPr>
            <w:r w:rsidRPr="00487EC0">
              <w:rPr>
                <w:rFonts w:ascii="Jost" w:hAnsi="Jost"/>
                <w:b/>
                <w:bCs/>
                <w:sz w:val="22"/>
                <w:szCs w:val="22"/>
              </w:rPr>
              <w:t>Rinkos konsultacijos dalyvių pateiktos pastabos, pasiūlymai</w:t>
            </w:r>
          </w:p>
        </w:tc>
        <w:tc>
          <w:tcPr>
            <w:tcW w:w="7302" w:type="dxa"/>
            <w:shd w:val="clear" w:color="auto" w:fill="DEEAF6" w:themeFill="accent5" w:themeFillTint="33"/>
            <w:vAlign w:val="center"/>
          </w:tcPr>
          <w:p w14:paraId="179BEEFD" w14:textId="1F231C4A" w:rsidR="001C7CB5" w:rsidRPr="00487EC0" w:rsidRDefault="001C7CB5" w:rsidP="001C7CB5">
            <w:pPr>
              <w:autoSpaceDE w:val="0"/>
              <w:autoSpaceDN w:val="0"/>
              <w:adjustRightInd w:val="0"/>
              <w:jc w:val="center"/>
              <w:rPr>
                <w:rFonts w:ascii="Jost" w:hAnsi="Jost"/>
                <w:sz w:val="22"/>
                <w:szCs w:val="22"/>
              </w:rPr>
            </w:pPr>
            <w:r w:rsidRPr="00487EC0">
              <w:rPr>
                <w:rFonts w:ascii="Jost" w:hAnsi="Jost"/>
                <w:b/>
                <w:bCs/>
                <w:sz w:val="22"/>
                <w:szCs w:val="22"/>
              </w:rPr>
              <w:t xml:space="preserve">Perkančiosios organizacijos (toliau – PO) atsakymai/komentarai </w:t>
            </w:r>
            <w:r w:rsidRPr="00487EC0">
              <w:rPr>
                <w:rFonts w:ascii="Jost" w:hAnsi="Jost"/>
                <w:sz w:val="22"/>
                <w:szCs w:val="22"/>
              </w:rPr>
              <w:t>(nurodomi atsakymai ir/ar priimti sprendimai)</w:t>
            </w:r>
          </w:p>
        </w:tc>
      </w:tr>
      <w:tr w:rsidR="00BD6E9D" w:rsidRPr="00487EC0" w14:paraId="613DA265" w14:textId="77777777" w:rsidTr="001C7CB5">
        <w:tc>
          <w:tcPr>
            <w:tcW w:w="560" w:type="dxa"/>
          </w:tcPr>
          <w:p w14:paraId="6D904A6A" w14:textId="06DA13AC" w:rsidR="00BD6E9D" w:rsidRPr="00487EC0" w:rsidRDefault="00BD6E9D" w:rsidP="00BD6E9D">
            <w:pPr>
              <w:rPr>
                <w:rFonts w:ascii="Jost" w:hAnsi="Jost"/>
                <w:sz w:val="22"/>
                <w:szCs w:val="22"/>
              </w:rPr>
            </w:pPr>
            <w:r w:rsidRPr="00487EC0">
              <w:rPr>
                <w:rFonts w:ascii="Jost" w:hAnsi="Jost"/>
                <w:sz w:val="22"/>
                <w:szCs w:val="22"/>
              </w:rPr>
              <w:t>1.</w:t>
            </w:r>
          </w:p>
        </w:tc>
        <w:tc>
          <w:tcPr>
            <w:tcW w:w="7301" w:type="dxa"/>
            <w:gridSpan w:val="2"/>
          </w:tcPr>
          <w:p w14:paraId="350BB311" w14:textId="5857BEB1" w:rsidR="00BD6E9D" w:rsidRPr="00487EC0" w:rsidRDefault="00BD6E9D" w:rsidP="00BD6E9D">
            <w:pPr>
              <w:rPr>
                <w:rFonts w:ascii="Jost" w:hAnsi="Jost"/>
                <w:bCs/>
                <w:sz w:val="22"/>
                <w:szCs w:val="22"/>
              </w:rPr>
            </w:pPr>
            <w:r w:rsidRPr="00487EC0">
              <w:rPr>
                <w:rFonts w:ascii="Jost" w:hAnsi="Jost"/>
                <w:bCs/>
                <w:sz w:val="22"/>
                <w:szCs w:val="22"/>
              </w:rPr>
              <w:t>Nėra iki galo aišku dėl vertinimo užduoties klausimų 9.2 dalyje. Šioje dalyje numatyta atlikti Koncepcijos ir MTEPI prioritetų bei tematikų palyginamąją analizę su bent trimis ES šalimis/regionais, artimais Lietuvos ekonomikos išsivystymo lygiu. Tačiau nagrinėjant klausimus 9.2.3–9.2.7 kyla neaiškumų dėl kriterijų, pagal kuriuos turėtų būti pasirenkamos trys užsienio šalys. Remiantis minėtais punktais, galima suprasti, kad šalys turėtų būti atrenkamos ne tik pagal jų ekonominį išsivystymo lygį, bet ir atsižvelgiant į galimas bendradarbiavimo galimybes su Lietuva. Tai kelia klausimą – kuris atrankos kriterijus turėtų būti prioritetinis? Kaip šį aspektą tinkamai įtraukti į lyginamąją analizę, kad ji būtų kuo išsamesnė ir aktuali?</w:t>
            </w:r>
          </w:p>
        </w:tc>
        <w:tc>
          <w:tcPr>
            <w:tcW w:w="7302" w:type="dxa"/>
          </w:tcPr>
          <w:p w14:paraId="393B8204" w14:textId="77777777" w:rsidR="00BD6E9D" w:rsidRPr="00487EC0" w:rsidRDefault="00BD6E9D" w:rsidP="00BD6E9D">
            <w:pPr>
              <w:rPr>
                <w:rFonts w:ascii="Jost" w:hAnsi="Jost"/>
                <w:b/>
                <w:bCs/>
                <w:sz w:val="22"/>
                <w:szCs w:val="22"/>
              </w:rPr>
            </w:pPr>
            <w:r w:rsidRPr="00487EC0">
              <w:rPr>
                <w:rFonts w:ascii="Jost" w:hAnsi="Jost"/>
                <w:b/>
                <w:bCs/>
                <w:sz w:val="22"/>
                <w:szCs w:val="22"/>
              </w:rPr>
              <w:t>Atsižvelgta</w:t>
            </w:r>
          </w:p>
          <w:p w14:paraId="3AF794A4" w14:textId="77777777" w:rsidR="00BD6E9D" w:rsidRPr="00487EC0" w:rsidRDefault="00BD6E9D" w:rsidP="00BD6E9D">
            <w:pPr>
              <w:rPr>
                <w:rFonts w:ascii="Jost" w:hAnsi="Jost"/>
                <w:sz w:val="22"/>
                <w:szCs w:val="22"/>
              </w:rPr>
            </w:pPr>
            <w:r w:rsidRPr="00487EC0">
              <w:rPr>
                <w:rFonts w:ascii="Jost" w:hAnsi="Jost"/>
                <w:sz w:val="22"/>
                <w:szCs w:val="22"/>
              </w:rPr>
              <w:t>Patikslintas 4.2 uždavinys ir su šiuo uždaviniu susijęs klausimynas 9.2 dalyje.</w:t>
            </w:r>
          </w:p>
          <w:p w14:paraId="470E3277" w14:textId="77777777" w:rsidR="00BD6E9D" w:rsidRPr="00487EC0" w:rsidRDefault="00BD6E9D" w:rsidP="00BD6E9D">
            <w:pPr>
              <w:rPr>
                <w:rFonts w:ascii="Jost" w:hAnsi="Jost"/>
                <w:b/>
                <w:bCs/>
                <w:i/>
                <w:iCs/>
                <w:sz w:val="22"/>
                <w:szCs w:val="22"/>
              </w:rPr>
            </w:pPr>
            <w:r w:rsidRPr="00487EC0">
              <w:rPr>
                <w:rFonts w:ascii="Jost" w:hAnsi="Jost"/>
                <w:sz w:val="22"/>
                <w:szCs w:val="22"/>
              </w:rPr>
              <w:t xml:space="preserve">4.2. Atlikti Koncepcijos ir MTEPI prioritetų bei tematikų palyginamąją analizę su bent trimis ES šalimis/regionais, artimais Lietuvos ekonomikos išsivystymo lygiu bei </w:t>
            </w:r>
            <w:r w:rsidRPr="00487EC0">
              <w:rPr>
                <w:rFonts w:ascii="Jost" w:hAnsi="Jost"/>
                <w:b/>
                <w:bCs/>
                <w:i/>
                <w:iCs/>
                <w:sz w:val="22"/>
                <w:szCs w:val="22"/>
              </w:rPr>
              <w:t>galimas bendradarbiavimo galimybes,</w:t>
            </w:r>
            <w:r w:rsidRPr="00487EC0">
              <w:rPr>
                <w:rFonts w:ascii="Jost" w:hAnsi="Jost"/>
                <w:sz w:val="22"/>
                <w:szCs w:val="22"/>
              </w:rPr>
              <w:t xml:space="preserve"> išskiriant analizuojamų šalių/regionų S3 stiprybes, </w:t>
            </w:r>
            <w:r w:rsidRPr="00487EC0">
              <w:rPr>
                <w:rFonts w:ascii="Jost" w:hAnsi="Jost"/>
                <w:b/>
                <w:bCs/>
                <w:i/>
                <w:iCs/>
                <w:sz w:val="22"/>
                <w:szCs w:val="22"/>
              </w:rPr>
              <w:t>taikomus S3 politikos formavimo metodus</w:t>
            </w:r>
            <w:r w:rsidRPr="00487EC0">
              <w:rPr>
                <w:rFonts w:ascii="Jost" w:hAnsi="Jost"/>
                <w:sz w:val="22"/>
                <w:szCs w:val="22"/>
              </w:rPr>
              <w:t xml:space="preserve">, kuriuos galima būtų pritaikyti tobulinant Koncepciją. </w:t>
            </w:r>
          </w:p>
          <w:p w14:paraId="06B2E5BC" w14:textId="77777777" w:rsidR="00BD6E9D" w:rsidRPr="00487EC0" w:rsidRDefault="00BD6E9D" w:rsidP="00BD6E9D">
            <w:pPr>
              <w:rPr>
                <w:rFonts w:ascii="Jost" w:hAnsi="Jost"/>
                <w:sz w:val="22"/>
                <w:szCs w:val="22"/>
              </w:rPr>
            </w:pPr>
            <w:r w:rsidRPr="00487EC0">
              <w:rPr>
                <w:rFonts w:ascii="Jost" w:hAnsi="Jost"/>
                <w:sz w:val="22"/>
                <w:szCs w:val="22"/>
              </w:rPr>
              <w:t>Praplėstas ir papildytas 9.2.7 punktas:</w:t>
            </w:r>
          </w:p>
          <w:p w14:paraId="441B2A96" w14:textId="1824235C" w:rsidR="00BD6E9D" w:rsidRPr="00487EC0" w:rsidRDefault="00BD6E9D" w:rsidP="00BD6E9D">
            <w:pPr>
              <w:rPr>
                <w:rFonts w:ascii="Jost" w:hAnsi="Jost"/>
                <w:bCs/>
                <w:sz w:val="22"/>
                <w:szCs w:val="22"/>
              </w:rPr>
            </w:pPr>
            <w:r w:rsidRPr="00487EC0">
              <w:rPr>
                <w:rFonts w:ascii="Jost" w:hAnsi="Jost"/>
                <w:sz w:val="22"/>
                <w:szCs w:val="22"/>
              </w:rPr>
              <w:lastRenderedPageBreak/>
              <w:t xml:space="preserve">9.2.7. Kaip galėtų būti tobulinamas VGPP?  </w:t>
            </w:r>
            <w:r w:rsidRPr="00487EC0">
              <w:rPr>
                <w:rFonts w:ascii="Jost" w:hAnsi="Jost"/>
                <w:b/>
                <w:bCs/>
                <w:i/>
                <w:iCs/>
                <w:sz w:val="22"/>
                <w:szCs w:val="22"/>
              </w:rPr>
              <w:t>Pavyzdžiui, taikant tam tikrus technologijų įžvalgų metodus? Jeigu identifikuojamas poreikis, nurodyti kokius veiksmus reikia atlikti siekiat institucionalizuoti tokius tobulinimus.</w:t>
            </w:r>
          </w:p>
        </w:tc>
      </w:tr>
      <w:tr w:rsidR="00BD6E9D" w:rsidRPr="00487EC0" w14:paraId="79C26B9C" w14:textId="77777777" w:rsidTr="001C7CB5">
        <w:tc>
          <w:tcPr>
            <w:tcW w:w="560" w:type="dxa"/>
          </w:tcPr>
          <w:p w14:paraId="4203E67C" w14:textId="3B369C7D" w:rsidR="00BD6E9D" w:rsidRPr="00487EC0" w:rsidRDefault="00BD6E9D" w:rsidP="00BD6E9D">
            <w:pPr>
              <w:rPr>
                <w:rFonts w:ascii="Jost" w:hAnsi="Jost"/>
                <w:sz w:val="22"/>
                <w:szCs w:val="22"/>
                <w:lang w:eastAsia="lt-LT"/>
              </w:rPr>
            </w:pPr>
            <w:r w:rsidRPr="00487EC0">
              <w:rPr>
                <w:rFonts w:ascii="Jost" w:hAnsi="Jost"/>
                <w:sz w:val="22"/>
                <w:szCs w:val="22"/>
                <w:lang w:eastAsia="lt-LT"/>
              </w:rPr>
              <w:lastRenderedPageBreak/>
              <w:t>2.</w:t>
            </w:r>
          </w:p>
        </w:tc>
        <w:tc>
          <w:tcPr>
            <w:tcW w:w="7301" w:type="dxa"/>
            <w:gridSpan w:val="2"/>
          </w:tcPr>
          <w:p w14:paraId="6D94287F" w14:textId="3D6D2D87" w:rsidR="00BD6E9D" w:rsidRPr="00487EC0" w:rsidRDefault="00BD6E9D" w:rsidP="00BD6E9D">
            <w:pPr>
              <w:rPr>
                <w:rFonts w:ascii="Jost" w:hAnsi="Jost"/>
                <w:bCs/>
                <w:sz w:val="22"/>
                <w:szCs w:val="22"/>
              </w:rPr>
            </w:pPr>
            <w:r w:rsidRPr="00487EC0">
              <w:rPr>
                <w:rFonts w:ascii="Jost" w:hAnsi="Jost"/>
                <w:bCs/>
                <w:sz w:val="22"/>
                <w:szCs w:val="22"/>
              </w:rPr>
              <w:t>Siūloma nustatyti minimalias vertinimo metodikos (apklausų, suinteresuotų šalių interviu bei grupinių diskusijų) apimtis, kad būtų aiškiau apibrėžtas darbų mastas ir užtikrinama,</w:t>
            </w:r>
            <w:r w:rsidRPr="00487EC0">
              <w:rPr>
                <w:rFonts w:ascii="Jost" w:hAnsi="Jost"/>
                <w:sz w:val="22"/>
                <w:szCs w:val="22"/>
              </w:rPr>
              <w:t xml:space="preserve"> </w:t>
            </w:r>
            <w:r w:rsidRPr="00487EC0">
              <w:rPr>
                <w:rFonts w:ascii="Jost" w:hAnsi="Jost"/>
                <w:bCs/>
                <w:sz w:val="22"/>
                <w:szCs w:val="22"/>
              </w:rPr>
              <w:t>jog teikiama analizė būtų pakankamai išsami.</w:t>
            </w:r>
          </w:p>
        </w:tc>
        <w:tc>
          <w:tcPr>
            <w:tcW w:w="7302" w:type="dxa"/>
          </w:tcPr>
          <w:p w14:paraId="20787B39" w14:textId="77777777" w:rsidR="00BD6E9D" w:rsidRPr="00487EC0" w:rsidRDefault="00BD6E9D" w:rsidP="00BD6E9D">
            <w:pPr>
              <w:rPr>
                <w:rFonts w:ascii="Jost" w:hAnsi="Jost"/>
                <w:b/>
                <w:bCs/>
                <w:sz w:val="22"/>
                <w:szCs w:val="22"/>
              </w:rPr>
            </w:pPr>
            <w:r w:rsidRPr="00487EC0">
              <w:rPr>
                <w:rFonts w:ascii="Jost" w:hAnsi="Jost"/>
                <w:b/>
                <w:bCs/>
                <w:sz w:val="22"/>
                <w:szCs w:val="22"/>
              </w:rPr>
              <w:t>Atsižvelgta</w:t>
            </w:r>
          </w:p>
          <w:p w14:paraId="491BF1C1" w14:textId="77777777" w:rsidR="00BD6E9D" w:rsidRPr="00487EC0" w:rsidRDefault="00BD6E9D" w:rsidP="00BD6E9D">
            <w:pPr>
              <w:rPr>
                <w:rFonts w:ascii="Jost" w:hAnsi="Jost"/>
                <w:b/>
                <w:bCs/>
                <w:sz w:val="22"/>
                <w:szCs w:val="22"/>
              </w:rPr>
            </w:pPr>
          </w:p>
          <w:p w14:paraId="67E29030" w14:textId="50164DDB" w:rsidR="00BD6E9D" w:rsidRPr="00487EC0" w:rsidRDefault="00BD6E9D" w:rsidP="00BD6E9D">
            <w:pPr>
              <w:rPr>
                <w:rFonts w:ascii="Jost" w:hAnsi="Jost"/>
                <w:sz w:val="22"/>
                <w:szCs w:val="22"/>
              </w:rPr>
            </w:pPr>
            <w:r w:rsidRPr="00487EC0">
              <w:rPr>
                <w:rFonts w:ascii="Jost" w:hAnsi="Jost"/>
                <w:sz w:val="22"/>
                <w:szCs w:val="22"/>
              </w:rPr>
              <w:t xml:space="preserve">Pakoreguotas 8.1. punktas </w:t>
            </w:r>
          </w:p>
        </w:tc>
      </w:tr>
      <w:tr w:rsidR="00BD6E9D" w:rsidRPr="00487EC0" w14:paraId="4483A10C" w14:textId="77777777" w:rsidTr="001C7CB5">
        <w:tc>
          <w:tcPr>
            <w:tcW w:w="560" w:type="dxa"/>
          </w:tcPr>
          <w:p w14:paraId="0FC2E823" w14:textId="44588ED3" w:rsidR="00BD6E9D" w:rsidRPr="00487EC0" w:rsidRDefault="00BD6E9D" w:rsidP="00BD6E9D">
            <w:pPr>
              <w:rPr>
                <w:rFonts w:ascii="Jost" w:hAnsi="Jost"/>
                <w:sz w:val="22"/>
                <w:szCs w:val="22"/>
                <w:lang w:eastAsia="lt-LT"/>
              </w:rPr>
            </w:pPr>
            <w:r w:rsidRPr="00487EC0">
              <w:rPr>
                <w:rFonts w:ascii="Jost" w:hAnsi="Jost"/>
                <w:sz w:val="22"/>
                <w:szCs w:val="22"/>
                <w:lang w:eastAsia="lt-LT"/>
              </w:rPr>
              <w:t>3.</w:t>
            </w:r>
          </w:p>
        </w:tc>
        <w:tc>
          <w:tcPr>
            <w:tcW w:w="7301" w:type="dxa"/>
            <w:gridSpan w:val="2"/>
          </w:tcPr>
          <w:p w14:paraId="435036F8" w14:textId="02B5B51C" w:rsidR="00BD6E9D" w:rsidRPr="00487EC0" w:rsidRDefault="00BD6E9D" w:rsidP="00BD6E9D">
            <w:pPr>
              <w:rPr>
                <w:rFonts w:ascii="Jost" w:hAnsi="Jost"/>
                <w:bCs/>
                <w:sz w:val="22"/>
                <w:szCs w:val="22"/>
              </w:rPr>
            </w:pPr>
            <w:r w:rsidRPr="00487EC0">
              <w:rPr>
                <w:rFonts w:ascii="Jost" w:hAnsi="Jost"/>
                <w:bCs/>
                <w:sz w:val="22"/>
                <w:szCs w:val="22"/>
              </w:rPr>
              <w:t>Kadangi techninėje specifikacijoje kaip vienas iš vertinimo uždavinių numatytas užsienio ES šalių MTEPI prioritetų bei tematikų lyginamoji analizė, būtų tikslinga reikalauti ekspertų, turinčių tarptautinės patirties - t. y., patirties vykdant MTEPI vertinimo ar inovacijų ekosistemos/inovacijų politikos programas kitose šalyse/regionuose. Tai leistų giliau suprasti kitų šalių praktiką bei jos specifikas, ir atlikti išsamesnį bei kokybiškesnį ne tik užsienio šalių palyginimą, bet ir Lietuvos MTEPI prioritetų vertinimą.</w:t>
            </w:r>
          </w:p>
        </w:tc>
        <w:tc>
          <w:tcPr>
            <w:tcW w:w="7302" w:type="dxa"/>
          </w:tcPr>
          <w:p w14:paraId="0FF1B1E4" w14:textId="77777777" w:rsidR="00BD6E9D" w:rsidRPr="00487EC0" w:rsidRDefault="00BD6E9D" w:rsidP="00BD6E9D">
            <w:pPr>
              <w:rPr>
                <w:rFonts w:ascii="Jost" w:hAnsi="Jost"/>
                <w:b/>
                <w:bCs/>
                <w:sz w:val="22"/>
                <w:szCs w:val="22"/>
              </w:rPr>
            </w:pPr>
            <w:r w:rsidRPr="00487EC0">
              <w:rPr>
                <w:rFonts w:ascii="Jost" w:hAnsi="Jost"/>
                <w:b/>
                <w:bCs/>
                <w:sz w:val="22"/>
                <w:szCs w:val="22"/>
              </w:rPr>
              <w:t>Neatsižvelgta</w:t>
            </w:r>
          </w:p>
          <w:p w14:paraId="46422C94" w14:textId="77777777" w:rsidR="00BD6E9D" w:rsidRPr="00487EC0" w:rsidRDefault="00BD6E9D" w:rsidP="00BD6E9D">
            <w:pPr>
              <w:rPr>
                <w:rFonts w:ascii="Jost" w:hAnsi="Jost"/>
                <w:b/>
                <w:bCs/>
                <w:sz w:val="22"/>
                <w:szCs w:val="22"/>
              </w:rPr>
            </w:pPr>
          </w:p>
          <w:p w14:paraId="7759A108" w14:textId="73B515CF" w:rsidR="00BD6E9D" w:rsidRPr="00487EC0" w:rsidRDefault="00BD6E9D" w:rsidP="00BD6E9D">
            <w:pPr>
              <w:rPr>
                <w:rFonts w:ascii="Jost" w:hAnsi="Jost"/>
                <w:sz w:val="22"/>
                <w:szCs w:val="22"/>
              </w:rPr>
            </w:pPr>
            <w:r w:rsidRPr="00487EC0">
              <w:rPr>
                <w:rFonts w:ascii="Jost" w:hAnsi="Jost"/>
                <w:sz w:val="22"/>
                <w:szCs w:val="22"/>
              </w:rPr>
              <w:t>Techninėje specifikacijoje nėra numatyta reikalavimo dėl ekspertų su tarptautine patirtimi, todėl papildomi kriterijai nebus taikomi. Šiam viešajam pirkimui svarbiausia - eksperto kompetencija ir patirtis, nepriklausomai nuo to, kurioje ES šalyje ji buvo įgyta. Techninė specifikacija neapriboja galimybės samdyti ir tarptautinę patirtį turintį ekspertą, tačiau tai nėra privalomas reikalavimas.</w:t>
            </w:r>
          </w:p>
        </w:tc>
      </w:tr>
      <w:tr w:rsidR="004C3304" w:rsidRPr="00487EC0" w14:paraId="12007A2E" w14:textId="77777777" w:rsidTr="001C7CB5">
        <w:tc>
          <w:tcPr>
            <w:tcW w:w="560" w:type="dxa"/>
          </w:tcPr>
          <w:p w14:paraId="733F0198" w14:textId="106949F7" w:rsidR="004C3304" w:rsidRPr="00487EC0" w:rsidRDefault="004C3304" w:rsidP="004C3304">
            <w:pPr>
              <w:rPr>
                <w:rFonts w:ascii="Jost" w:hAnsi="Jost"/>
                <w:sz w:val="22"/>
                <w:szCs w:val="22"/>
                <w:lang w:eastAsia="lt-LT"/>
              </w:rPr>
            </w:pPr>
            <w:r w:rsidRPr="00487EC0">
              <w:rPr>
                <w:rFonts w:ascii="Jost" w:hAnsi="Jost"/>
                <w:sz w:val="22"/>
                <w:szCs w:val="22"/>
                <w:lang w:eastAsia="lt-LT"/>
              </w:rPr>
              <w:t>4.</w:t>
            </w:r>
          </w:p>
        </w:tc>
        <w:tc>
          <w:tcPr>
            <w:tcW w:w="7301" w:type="dxa"/>
            <w:gridSpan w:val="2"/>
          </w:tcPr>
          <w:p w14:paraId="532D0F84" w14:textId="509FB7D2" w:rsidR="004C3304" w:rsidRPr="00487EC0" w:rsidRDefault="004C3304" w:rsidP="004C3304">
            <w:pPr>
              <w:rPr>
                <w:rFonts w:ascii="Jost" w:hAnsi="Jost"/>
                <w:bCs/>
                <w:sz w:val="22"/>
                <w:szCs w:val="22"/>
              </w:rPr>
            </w:pPr>
            <w:r w:rsidRPr="00487EC0">
              <w:rPr>
                <w:rFonts w:ascii="Jost" w:hAnsi="Jost"/>
                <w:color w:val="000000"/>
                <w:sz w:val="22"/>
                <w:szCs w:val="22"/>
              </w:rPr>
              <w:t>Taip pat rekomenduotume apsvarstyti ar kvalifikacijos reikalavimas “Tiekėjas per pastaruosius 3 (trejus) metus arba per laiką nuo tiekėjo įregistravimo dienos (jeigu tiekėjas vykdė veiklą trumpiau nei 3 (trejus) metus) iki pasiūlymo pateikimo termino pabaigos pagal vieną ar daugiau sutarčių yra savo jėgomis įvykdęs Mokslinių tyrimų ar eksperimentinės plėtros ar inovacijų projektų pažangos vertinimo paslaugas, kurių bendra vertė ne mažesnė kaip 50 000,00 EUR be PVM” nebūtų ribojantis - įsivertinant tiek sumą (50 000,00 EUR be PVM), tiek galimybę priimti ir kitokią patirtį Mokslinių tyrimų ar eksperimentinės plėtros ar inovacijų projektų pažangos vertinimo paslaugų srityje, pavyzdžiui rekomendacijų rengimą, konsultacines paslaugas ir panašiai.</w:t>
            </w:r>
          </w:p>
        </w:tc>
        <w:tc>
          <w:tcPr>
            <w:tcW w:w="7302" w:type="dxa"/>
          </w:tcPr>
          <w:p w14:paraId="1A5BC351" w14:textId="69072A05" w:rsidR="004C3304" w:rsidRPr="00487EC0" w:rsidRDefault="005115B0" w:rsidP="004C3304">
            <w:pPr>
              <w:rPr>
                <w:rFonts w:ascii="Jost" w:hAnsi="Jost"/>
                <w:b/>
                <w:bCs/>
                <w:sz w:val="22"/>
                <w:szCs w:val="22"/>
              </w:rPr>
            </w:pPr>
            <w:r w:rsidRPr="00487EC0">
              <w:rPr>
                <w:rFonts w:ascii="Jost" w:hAnsi="Jost"/>
                <w:b/>
                <w:bCs/>
                <w:sz w:val="22"/>
                <w:szCs w:val="22"/>
              </w:rPr>
              <w:t>A</w:t>
            </w:r>
            <w:r w:rsidR="004C3304" w:rsidRPr="00487EC0">
              <w:rPr>
                <w:rFonts w:ascii="Jost" w:hAnsi="Jost"/>
                <w:b/>
                <w:bCs/>
                <w:sz w:val="22"/>
                <w:szCs w:val="22"/>
              </w:rPr>
              <w:t>tsižvelgta</w:t>
            </w:r>
            <w:r>
              <w:rPr>
                <w:rFonts w:ascii="Jost" w:hAnsi="Jost"/>
                <w:b/>
                <w:bCs/>
                <w:sz w:val="22"/>
                <w:szCs w:val="22"/>
              </w:rPr>
              <w:t xml:space="preserve"> iš dalies</w:t>
            </w:r>
          </w:p>
          <w:p w14:paraId="4D60AD9A" w14:textId="77777777" w:rsidR="004C3304" w:rsidRPr="00487EC0" w:rsidRDefault="004C3304" w:rsidP="004C3304">
            <w:pPr>
              <w:rPr>
                <w:rFonts w:ascii="Jost" w:hAnsi="Jost"/>
                <w:sz w:val="22"/>
                <w:szCs w:val="22"/>
              </w:rPr>
            </w:pPr>
          </w:p>
          <w:p w14:paraId="0EB2DC90" w14:textId="41870246" w:rsidR="005115B0" w:rsidRDefault="00E71398" w:rsidP="004C3304">
            <w:pPr>
              <w:rPr>
                <w:rFonts w:ascii="Jost" w:hAnsi="Jost"/>
                <w:sz w:val="22"/>
                <w:szCs w:val="22"/>
              </w:rPr>
            </w:pPr>
            <w:r w:rsidRPr="00487EC0">
              <w:rPr>
                <w:rFonts w:ascii="Jost" w:hAnsi="Jost"/>
                <w:color w:val="000000"/>
                <w:sz w:val="22"/>
                <w:szCs w:val="22"/>
              </w:rPr>
              <w:t>Mokslinių tyrimų ar eksperimentinės plėtros ar inovacijų projektų pažangos vertinimo paslaug</w:t>
            </w:r>
            <w:r>
              <w:rPr>
                <w:rFonts w:ascii="Jost" w:hAnsi="Jost"/>
                <w:color w:val="000000"/>
                <w:sz w:val="22"/>
                <w:szCs w:val="22"/>
              </w:rPr>
              <w:t>ų</w:t>
            </w:r>
            <w:r w:rsidRPr="00487EC0">
              <w:rPr>
                <w:rFonts w:ascii="Jost" w:hAnsi="Jost"/>
                <w:color w:val="000000"/>
                <w:sz w:val="22"/>
                <w:szCs w:val="22"/>
              </w:rPr>
              <w:t xml:space="preserve"> bendra vertė </w:t>
            </w:r>
            <w:r>
              <w:rPr>
                <w:rFonts w:ascii="Jost" w:hAnsi="Jost"/>
                <w:color w:val="000000"/>
                <w:sz w:val="22"/>
                <w:szCs w:val="22"/>
              </w:rPr>
              <w:t>sumažinta iki 4</w:t>
            </w:r>
            <w:r w:rsidRPr="00487EC0">
              <w:rPr>
                <w:rFonts w:ascii="Jost" w:hAnsi="Jost"/>
                <w:color w:val="000000"/>
                <w:sz w:val="22"/>
                <w:szCs w:val="22"/>
              </w:rPr>
              <w:t>0 000,00 EUR be PVM</w:t>
            </w:r>
            <w:r>
              <w:rPr>
                <w:rFonts w:ascii="Jost" w:hAnsi="Jost"/>
                <w:color w:val="000000"/>
                <w:sz w:val="22"/>
                <w:szCs w:val="22"/>
              </w:rPr>
              <w:t>.</w:t>
            </w:r>
          </w:p>
          <w:p w14:paraId="02B918FE" w14:textId="52E3F821" w:rsidR="004C3304" w:rsidRPr="00487EC0" w:rsidRDefault="004C3304" w:rsidP="004C3304">
            <w:pPr>
              <w:rPr>
                <w:rFonts w:ascii="Jost" w:hAnsi="Jost"/>
                <w:sz w:val="22"/>
                <w:szCs w:val="22"/>
              </w:rPr>
            </w:pPr>
            <w:r w:rsidRPr="00487EC0">
              <w:rPr>
                <w:rFonts w:ascii="Jost" w:hAnsi="Jost"/>
                <w:sz w:val="22"/>
                <w:szCs w:val="22"/>
              </w:rPr>
              <w:t xml:space="preserve">Kvalifikacinis reikalavimas siejamas tiesiogiai su pirkimo objektu. Perkančioji organizacija siekia įsigyti vertinimo paslaugą, todėl svarbu, kad Paslaugos tiekėjas turėtų panašaus pobūdžio patirties. </w:t>
            </w:r>
          </w:p>
        </w:tc>
      </w:tr>
      <w:tr w:rsidR="004C3304" w:rsidRPr="00487EC0" w14:paraId="4909681E" w14:textId="77777777" w:rsidTr="001C7CB5">
        <w:tc>
          <w:tcPr>
            <w:tcW w:w="560" w:type="dxa"/>
          </w:tcPr>
          <w:p w14:paraId="22411D57" w14:textId="7444B33F" w:rsidR="004C3304" w:rsidRPr="00487EC0" w:rsidRDefault="004C3304" w:rsidP="004C3304">
            <w:pPr>
              <w:rPr>
                <w:rFonts w:ascii="Jost" w:hAnsi="Jost"/>
                <w:sz w:val="22"/>
                <w:szCs w:val="22"/>
                <w:lang w:eastAsia="lt-LT"/>
              </w:rPr>
            </w:pPr>
            <w:r w:rsidRPr="00487EC0">
              <w:rPr>
                <w:rFonts w:ascii="Jost" w:hAnsi="Jost"/>
                <w:sz w:val="22"/>
                <w:szCs w:val="22"/>
                <w:lang w:eastAsia="lt-LT"/>
              </w:rPr>
              <w:t>5.</w:t>
            </w:r>
          </w:p>
        </w:tc>
        <w:tc>
          <w:tcPr>
            <w:tcW w:w="7301" w:type="dxa"/>
            <w:gridSpan w:val="2"/>
          </w:tcPr>
          <w:p w14:paraId="005FFAB0" w14:textId="77777777" w:rsidR="004C3304" w:rsidRPr="00487EC0" w:rsidRDefault="004C3304" w:rsidP="004C3304">
            <w:pPr>
              <w:pStyle w:val="prastasiniatinklio"/>
              <w:tabs>
                <w:tab w:val="left" w:pos="1276"/>
                <w:tab w:val="left" w:pos="2268"/>
              </w:tabs>
              <w:spacing w:before="0" w:beforeAutospacing="0" w:after="0" w:afterAutospacing="0"/>
              <w:jc w:val="both"/>
              <w:rPr>
                <w:rFonts w:ascii="Jost" w:hAnsi="Jost"/>
                <w:color w:val="000000"/>
                <w:sz w:val="22"/>
                <w:szCs w:val="22"/>
                <w:lang w:val="lt-LT"/>
              </w:rPr>
            </w:pPr>
            <w:r w:rsidRPr="00487EC0">
              <w:rPr>
                <w:rFonts w:ascii="Jost" w:hAnsi="Jost"/>
                <w:color w:val="000000"/>
                <w:sz w:val="22"/>
                <w:szCs w:val="22"/>
                <w:lang w:val="lt-LT"/>
              </w:rPr>
              <w:t>Nusprendus projekto kontekste neįtraukti sąlygos, susijusios su tarptautinio eksperto dalyvavimu, dėl ilgo projekto vykdymo termino (10 mėnesių) ir numatomų pristatymų, preliminari paslaugų kaina turėtų būti 70 000,00 eurų be PVM.</w:t>
            </w:r>
          </w:p>
          <w:p w14:paraId="370F4E79" w14:textId="7D20D84C" w:rsidR="004C3304" w:rsidRPr="00487EC0" w:rsidRDefault="004C3304" w:rsidP="004C3304">
            <w:pPr>
              <w:rPr>
                <w:rFonts w:ascii="Jost" w:hAnsi="Jost"/>
                <w:bCs/>
                <w:sz w:val="22"/>
                <w:szCs w:val="22"/>
              </w:rPr>
            </w:pPr>
            <w:r w:rsidRPr="00487EC0">
              <w:rPr>
                <w:rFonts w:ascii="Jost" w:hAnsi="Jost"/>
                <w:color w:val="000000"/>
                <w:sz w:val="22"/>
                <w:szCs w:val="22"/>
              </w:rPr>
              <w:t>Nusprendus įtraukti reikalavimą, susijusį su tarptautinio eksperto dalyvavimu projekte, preliminari paslaugų kaina turėtų būti 100 000,00 eurų be PVM.</w:t>
            </w:r>
          </w:p>
        </w:tc>
        <w:tc>
          <w:tcPr>
            <w:tcW w:w="7302" w:type="dxa"/>
          </w:tcPr>
          <w:p w14:paraId="7016DBCF" w14:textId="77777777" w:rsidR="004C3304" w:rsidRPr="00487EC0" w:rsidRDefault="004C3304" w:rsidP="004C3304">
            <w:pPr>
              <w:rPr>
                <w:rFonts w:ascii="Jost" w:hAnsi="Jost"/>
                <w:b/>
                <w:bCs/>
                <w:sz w:val="22"/>
                <w:szCs w:val="22"/>
              </w:rPr>
            </w:pPr>
            <w:r w:rsidRPr="00487EC0">
              <w:rPr>
                <w:rFonts w:ascii="Jost" w:hAnsi="Jost"/>
                <w:b/>
                <w:bCs/>
                <w:sz w:val="22"/>
                <w:szCs w:val="22"/>
              </w:rPr>
              <w:t>Neatsižvelgta</w:t>
            </w:r>
          </w:p>
          <w:p w14:paraId="37FB9AB2" w14:textId="77777777" w:rsidR="004C3304" w:rsidRPr="00487EC0" w:rsidRDefault="004C3304" w:rsidP="004C3304">
            <w:pPr>
              <w:rPr>
                <w:rFonts w:ascii="Jost" w:hAnsi="Jost"/>
                <w:b/>
                <w:bCs/>
                <w:sz w:val="22"/>
                <w:szCs w:val="22"/>
              </w:rPr>
            </w:pPr>
          </w:p>
          <w:p w14:paraId="4A6A7A4D" w14:textId="77777777" w:rsidR="004C3304" w:rsidRPr="00487EC0" w:rsidRDefault="004C3304" w:rsidP="004C3304">
            <w:pPr>
              <w:rPr>
                <w:rFonts w:ascii="Jost" w:hAnsi="Jost"/>
                <w:sz w:val="22"/>
                <w:szCs w:val="22"/>
              </w:rPr>
            </w:pPr>
            <w:r w:rsidRPr="00487EC0">
              <w:rPr>
                <w:rFonts w:ascii="Jost" w:hAnsi="Jost"/>
                <w:sz w:val="22"/>
                <w:szCs w:val="22"/>
              </w:rPr>
              <w:t xml:space="preserve">Pirkimo vertė nebus keičiama </w:t>
            </w:r>
          </w:p>
          <w:p w14:paraId="71E2BB6E" w14:textId="77777777" w:rsidR="004C3304" w:rsidRPr="00487EC0" w:rsidRDefault="004C3304" w:rsidP="004C3304">
            <w:pPr>
              <w:rPr>
                <w:rFonts w:ascii="Jost" w:hAnsi="Jost"/>
                <w:sz w:val="22"/>
                <w:szCs w:val="22"/>
              </w:rPr>
            </w:pPr>
          </w:p>
          <w:p w14:paraId="614256D1" w14:textId="77777777" w:rsidR="004C3304" w:rsidRPr="00487EC0" w:rsidRDefault="004C3304" w:rsidP="004C3304">
            <w:pPr>
              <w:rPr>
                <w:rFonts w:ascii="Jost" w:hAnsi="Jost"/>
                <w:sz w:val="22"/>
                <w:szCs w:val="22"/>
              </w:rPr>
            </w:pPr>
          </w:p>
        </w:tc>
      </w:tr>
      <w:tr w:rsidR="004C3304" w:rsidRPr="00487EC0" w14:paraId="2350FF56" w14:textId="77777777" w:rsidTr="001C7CB5">
        <w:tc>
          <w:tcPr>
            <w:tcW w:w="560" w:type="dxa"/>
          </w:tcPr>
          <w:p w14:paraId="11E345EA" w14:textId="5614DC1A" w:rsidR="004C3304" w:rsidRPr="00487EC0" w:rsidRDefault="004C3304" w:rsidP="004C3304">
            <w:pPr>
              <w:rPr>
                <w:rFonts w:ascii="Jost" w:hAnsi="Jost"/>
                <w:sz w:val="22"/>
                <w:szCs w:val="22"/>
                <w:lang w:eastAsia="lt-LT"/>
              </w:rPr>
            </w:pPr>
            <w:r w:rsidRPr="00487EC0">
              <w:rPr>
                <w:rFonts w:ascii="Jost" w:hAnsi="Jost"/>
                <w:sz w:val="22"/>
                <w:szCs w:val="22"/>
                <w:lang w:eastAsia="lt-LT"/>
              </w:rPr>
              <w:t>6.</w:t>
            </w:r>
          </w:p>
        </w:tc>
        <w:tc>
          <w:tcPr>
            <w:tcW w:w="7301" w:type="dxa"/>
            <w:gridSpan w:val="2"/>
          </w:tcPr>
          <w:p w14:paraId="56FDE31F" w14:textId="223D5489" w:rsidR="004C3304" w:rsidRPr="00487EC0" w:rsidRDefault="004C3304" w:rsidP="004C3304">
            <w:pPr>
              <w:rPr>
                <w:rFonts w:ascii="Jost" w:hAnsi="Jost"/>
                <w:bCs/>
                <w:sz w:val="22"/>
                <w:szCs w:val="22"/>
              </w:rPr>
            </w:pPr>
            <w:r w:rsidRPr="00487EC0">
              <w:rPr>
                <w:rFonts w:ascii="Jost" w:hAnsi="Jost"/>
                <w:color w:val="000000"/>
                <w:sz w:val="22"/>
                <w:szCs w:val="22"/>
              </w:rPr>
              <w:t xml:space="preserve">Siūloma į vertinimą įtraukti reikalavimą parengti </w:t>
            </w:r>
            <w:r w:rsidRPr="00487EC0">
              <w:rPr>
                <w:rFonts w:ascii="Jost" w:hAnsi="Jost"/>
                <w:b/>
                <w:bCs/>
                <w:color w:val="000000"/>
                <w:sz w:val="22"/>
                <w:szCs w:val="22"/>
              </w:rPr>
              <w:t xml:space="preserve">techninį pasiūlymą-koncepciją. </w:t>
            </w:r>
            <w:r w:rsidRPr="00487EC0">
              <w:rPr>
                <w:rFonts w:ascii="Jost" w:hAnsi="Jost"/>
                <w:color w:val="000000"/>
                <w:sz w:val="22"/>
                <w:szCs w:val="22"/>
              </w:rPr>
              <w:t xml:space="preserve">Šiame dokumente turėtų būti atskleidžiamas teikėjo supratimas apie S3 strategijas, įgyvendinimą kitose šalyse, užsienio praktikų </w:t>
            </w:r>
            <w:r w:rsidRPr="00487EC0">
              <w:rPr>
                <w:rFonts w:ascii="Jost" w:hAnsi="Jost"/>
                <w:color w:val="000000"/>
                <w:sz w:val="22"/>
                <w:szCs w:val="22"/>
              </w:rPr>
              <w:lastRenderedPageBreak/>
              <w:t>apžvalga, preliminari naudotina projekto metodologija, preliminarūs įgyvendinimo etapai, potencialios projekto rizikos bei jų valdymo priemonės ir kt. Taip pat svarbu numatyti, kaip būtų užtikrinama kitų šalių patirties integracija į analizę, kad būtų galima ne tik papildyti, bet ir patobulinti S3 koncepciją.</w:t>
            </w:r>
          </w:p>
        </w:tc>
        <w:tc>
          <w:tcPr>
            <w:tcW w:w="7302" w:type="dxa"/>
          </w:tcPr>
          <w:p w14:paraId="25E0E310" w14:textId="77777777" w:rsidR="004C3304" w:rsidRPr="00487EC0" w:rsidRDefault="004C3304" w:rsidP="004C3304">
            <w:pPr>
              <w:rPr>
                <w:rFonts w:ascii="Jost" w:hAnsi="Jost"/>
                <w:b/>
                <w:bCs/>
                <w:sz w:val="22"/>
                <w:szCs w:val="22"/>
              </w:rPr>
            </w:pPr>
            <w:r w:rsidRPr="00487EC0">
              <w:rPr>
                <w:rFonts w:ascii="Jost" w:hAnsi="Jost"/>
                <w:b/>
                <w:bCs/>
                <w:sz w:val="22"/>
                <w:szCs w:val="22"/>
              </w:rPr>
              <w:lastRenderedPageBreak/>
              <w:t>Atsižvelgta</w:t>
            </w:r>
          </w:p>
          <w:p w14:paraId="3F73A7BE" w14:textId="77777777" w:rsidR="004C3304" w:rsidRPr="00487EC0" w:rsidRDefault="004C3304" w:rsidP="004C3304">
            <w:pPr>
              <w:rPr>
                <w:rFonts w:ascii="Jost" w:hAnsi="Jost"/>
                <w:b/>
                <w:bCs/>
                <w:sz w:val="22"/>
                <w:szCs w:val="22"/>
              </w:rPr>
            </w:pPr>
          </w:p>
          <w:p w14:paraId="64FEF02E" w14:textId="52F6F013" w:rsidR="004C3304" w:rsidRPr="00487EC0" w:rsidRDefault="004C3304" w:rsidP="004C3304">
            <w:pPr>
              <w:rPr>
                <w:rFonts w:ascii="Jost" w:hAnsi="Jost"/>
                <w:sz w:val="22"/>
                <w:szCs w:val="22"/>
              </w:rPr>
            </w:pPr>
            <w:r w:rsidRPr="00487EC0">
              <w:rPr>
                <w:rFonts w:ascii="Jost" w:hAnsi="Jost"/>
                <w:sz w:val="22"/>
                <w:szCs w:val="22"/>
              </w:rPr>
              <w:lastRenderedPageBreak/>
              <w:t xml:space="preserve">Įtrauktas kokybinis kriterijus. Paslaugos tiekėjas kartu su pasiūlymu turės pateikti techninį pasiūlymą – koncepciją. </w:t>
            </w:r>
          </w:p>
        </w:tc>
      </w:tr>
      <w:tr w:rsidR="004C3304" w:rsidRPr="00487EC0" w14:paraId="20714809" w14:textId="77777777" w:rsidTr="001C7CB5">
        <w:tc>
          <w:tcPr>
            <w:tcW w:w="560" w:type="dxa"/>
          </w:tcPr>
          <w:p w14:paraId="0A274C12" w14:textId="0E4DF5F2" w:rsidR="004C3304" w:rsidRPr="00487EC0" w:rsidRDefault="004C3304" w:rsidP="004C3304">
            <w:pPr>
              <w:rPr>
                <w:rFonts w:ascii="Jost" w:hAnsi="Jost"/>
                <w:sz w:val="22"/>
                <w:szCs w:val="22"/>
                <w:lang w:eastAsia="lt-LT"/>
              </w:rPr>
            </w:pPr>
            <w:r w:rsidRPr="00487EC0">
              <w:rPr>
                <w:rFonts w:ascii="Jost" w:hAnsi="Jost"/>
                <w:sz w:val="22"/>
                <w:szCs w:val="22"/>
                <w:lang w:eastAsia="lt-LT"/>
              </w:rPr>
              <w:lastRenderedPageBreak/>
              <w:t>7.</w:t>
            </w:r>
          </w:p>
        </w:tc>
        <w:tc>
          <w:tcPr>
            <w:tcW w:w="7301" w:type="dxa"/>
            <w:gridSpan w:val="2"/>
          </w:tcPr>
          <w:p w14:paraId="6664F0C0" w14:textId="77777777" w:rsidR="004C3304" w:rsidRPr="00487EC0" w:rsidRDefault="004C3304" w:rsidP="004C3304">
            <w:pPr>
              <w:pStyle w:val="prastasiniatinklio"/>
              <w:tabs>
                <w:tab w:val="left" w:pos="1276"/>
                <w:tab w:val="left" w:pos="2268"/>
              </w:tabs>
              <w:spacing w:before="0" w:beforeAutospacing="0" w:after="0" w:afterAutospacing="0"/>
              <w:jc w:val="both"/>
              <w:rPr>
                <w:rFonts w:ascii="Jost" w:hAnsi="Jost"/>
                <w:iCs/>
                <w:sz w:val="22"/>
                <w:szCs w:val="22"/>
                <w:lang w:val="lt-LT"/>
              </w:rPr>
            </w:pPr>
            <w:r w:rsidRPr="00487EC0">
              <w:rPr>
                <w:rFonts w:ascii="Jost" w:hAnsi="Jost"/>
                <w:iCs/>
                <w:sz w:val="22"/>
                <w:szCs w:val="22"/>
                <w:lang w:val="lt-LT"/>
              </w:rPr>
              <w:t>Atsižvelgiant į siekį atlikti išsamią užsienio šalių analizę, sutarties vykdyme turėtų dalyvauti tarptautinis ekspertas, turintis patirties S3 strategijų vertinime ir įgyvendinime. Jis užtikrintų, kad analizė būtų atlikta remiantis tarptautine praktika, atsižvelgiant į skirtingų šalių patirtį bei jų taikomus metodus ir kt.</w:t>
            </w:r>
          </w:p>
          <w:p w14:paraId="209E077D" w14:textId="4974EC83" w:rsidR="004C3304" w:rsidRPr="00487EC0" w:rsidRDefault="004C3304" w:rsidP="004C3304">
            <w:pPr>
              <w:rPr>
                <w:rFonts w:ascii="Jost" w:hAnsi="Jost"/>
                <w:bCs/>
                <w:sz w:val="22"/>
                <w:szCs w:val="22"/>
              </w:rPr>
            </w:pPr>
            <w:r w:rsidRPr="00487EC0">
              <w:rPr>
                <w:rFonts w:ascii="Jost" w:hAnsi="Jost"/>
                <w:iCs/>
                <w:sz w:val="22"/>
                <w:szCs w:val="22"/>
              </w:rPr>
              <w:t>2) Siūloma į kvalifikacinius reikalavimus įtraukti bent du ekspertus, turinčius reikšmingos patirties inovacijų projektuose. Šie specialistai turėtų būti aktyviai dalyvavę inovacijų kūrimo, vystymo ar diegimo veiklose, turėti praktinių žinių apie inovacijų politikos įgyvendinimą ir gebėti vertinti inovacijų ekosistemų veikimo mechanizmus. Tai užtikrintų, kad projektas būtų vykdomas praktiškai orientuojantis į inovacijų skatinimą ir jų poveikį rinkai.</w:t>
            </w:r>
          </w:p>
        </w:tc>
        <w:tc>
          <w:tcPr>
            <w:tcW w:w="7302" w:type="dxa"/>
          </w:tcPr>
          <w:p w14:paraId="25A2339C" w14:textId="77777777" w:rsidR="004C3304" w:rsidRPr="00487EC0" w:rsidRDefault="004C3304" w:rsidP="004C3304">
            <w:pPr>
              <w:rPr>
                <w:rFonts w:ascii="Jost" w:hAnsi="Jost"/>
                <w:b/>
                <w:bCs/>
                <w:sz w:val="22"/>
                <w:szCs w:val="22"/>
              </w:rPr>
            </w:pPr>
            <w:r w:rsidRPr="00487EC0">
              <w:rPr>
                <w:rFonts w:ascii="Jost" w:hAnsi="Jost"/>
                <w:b/>
                <w:bCs/>
                <w:sz w:val="22"/>
                <w:szCs w:val="22"/>
              </w:rPr>
              <w:t>Neatsižvelgta</w:t>
            </w:r>
          </w:p>
          <w:p w14:paraId="5AA2AF3A" w14:textId="77777777" w:rsidR="004C3304" w:rsidRPr="00487EC0" w:rsidRDefault="004C3304" w:rsidP="004C3304">
            <w:pPr>
              <w:rPr>
                <w:rFonts w:ascii="Jost" w:hAnsi="Jost"/>
                <w:b/>
                <w:bCs/>
                <w:sz w:val="22"/>
                <w:szCs w:val="22"/>
              </w:rPr>
            </w:pPr>
          </w:p>
          <w:p w14:paraId="2E292FD2" w14:textId="77777777" w:rsidR="004C3304" w:rsidRPr="00487EC0" w:rsidRDefault="004C3304" w:rsidP="004C3304">
            <w:pPr>
              <w:rPr>
                <w:rFonts w:ascii="Jost" w:hAnsi="Jost"/>
                <w:sz w:val="22"/>
                <w:szCs w:val="22"/>
              </w:rPr>
            </w:pPr>
            <w:r w:rsidRPr="00487EC0">
              <w:rPr>
                <w:rFonts w:ascii="Jost" w:hAnsi="Jost"/>
                <w:sz w:val="22"/>
                <w:szCs w:val="22"/>
              </w:rPr>
              <w:t xml:space="preserve">Konkurso sąlygos nedraudžia Paslaugos tiekėjui samdyti tarptautinį ekspertą. Jeigu tiekėjas mato būtinybę teikiant paslaugas tokį ekspertą turėti, tai jis gali naudotis jo paslaugomis.  </w:t>
            </w:r>
          </w:p>
          <w:p w14:paraId="7D1C4667" w14:textId="77777777" w:rsidR="004C3304" w:rsidRPr="00487EC0" w:rsidRDefault="004C3304" w:rsidP="004C3304">
            <w:pPr>
              <w:rPr>
                <w:rFonts w:ascii="Jost" w:hAnsi="Jost"/>
                <w:sz w:val="22"/>
                <w:szCs w:val="22"/>
              </w:rPr>
            </w:pPr>
          </w:p>
          <w:p w14:paraId="40C5E9AF" w14:textId="77777777" w:rsidR="004C3304" w:rsidRPr="00487EC0" w:rsidRDefault="004C3304" w:rsidP="004C3304">
            <w:pPr>
              <w:rPr>
                <w:rFonts w:ascii="Jost" w:hAnsi="Jost"/>
                <w:sz w:val="22"/>
                <w:szCs w:val="22"/>
              </w:rPr>
            </w:pPr>
            <w:r w:rsidRPr="00487EC0">
              <w:rPr>
                <w:rFonts w:ascii="Jost" w:hAnsi="Jost"/>
                <w:sz w:val="22"/>
                <w:szCs w:val="22"/>
              </w:rPr>
              <w:t>Tarptautinio eksperto dalyvavimas paslaugos tiekime nėra ribojamas.</w:t>
            </w:r>
          </w:p>
          <w:p w14:paraId="6991FBAF" w14:textId="77777777" w:rsidR="004C3304" w:rsidRPr="00487EC0" w:rsidRDefault="004C3304" w:rsidP="004C3304">
            <w:pPr>
              <w:rPr>
                <w:rFonts w:ascii="Jost" w:hAnsi="Jost"/>
                <w:sz w:val="22"/>
                <w:szCs w:val="22"/>
              </w:rPr>
            </w:pPr>
          </w:p>
        </w:tc>
      </w:tr>
      <w:tr w:rsidR="000341E1" w:rsidRPr="00487EC0" w14:paraId="6CD60709" w14:textId="77777777" w:rsidTr="001C7CB5">
        <w:tc>
          <w:tcPr>
            <w:tcW w:w="560" w:type="dxa"/>
          </w:tcPr>
          <w:p w14:paraId="3E575647" w14:textId="529ABD89" w:rsidR="000341E1" w:rsidRPr="00487EC0" w:rsidRDefault="000341E1" w:rsidP="000341E1">
            <w:pPr>
              <w:rPr>
                <w:rFonts w:ascii="Jost" w:hAnsi="Jost"/>
                <w:sz w:val="22"/>
                <w:szCs w:val="22"/>
                <w:lang w:eastAsia="lt-LT"/>
              </w:rPr>
            </w:pPr>
            <w:r w:rsidRPr="00487EC0">
              <w:rPr>
                <w:rFonts w:ascii="Jost" w:hAnsi="Jost"/>
                <w:sz w:val="22"/>
                <w:szCs w:val="22"/>
                <w:lang w:eastAsia="lt-LT"/>
              </w:rPr>
              <w:t>8.</w:t>
            </w:r>
          </w:p>
        </w:tc>
        <w:tc>
          <w:tcPr>
            <w:tcW w:w="7301" w:type="dxa"/>
            <w:gridSpan w:val="2"/>
          </w:tcPr>
          <w:p w14:paraId="3795BA49" w14:textId="187FE1E9" w:rsidR="000341E1" w:rsidRPr="00487EC0" w:rsidRDefault="000341E1" w:rsidP="000341E1">
            <w:pPr>
              <w:rPr>
                <w:rFonts w:ascii="Jost" w:hAnsi="Jost"/>
                <w:bCs/>
                <w:sz w:val="22"/>
                <w:szCs w:val="22"/>
              </w:rPr>
            </w:pPr>
            <w:r w:rsidRPr="00487EC0">
              <w:rPr>
                <w:rFonts w:ascii="Jost" w:hAnsi="Jost"/>
                <w:color w:val="000000"/>
                <w:sz w:val="22"/>
                <w:szCs w:val="22"/>
              </w:rPr>
              <w:t xml:space="preserve">50-60 proc. visos paslaugų kainos turi būti sumokėta projekto užsakovui patvirtinus </w:t>
            </w:r>
            <w:r w:rsidRPr="00487EC0">
              <w:rPr>
                <w:rFonts w:ascii="Jost" w:hAnsi="Jost"/>
                <w:b/>
                <w:bCs/>
                <w:color w:val="000000"/>
                <w:sz w:val="22"/>
                <w:szCs w:val="22"/>
              </w:rPr>
              <w:t>galutinę Tarpinio pažangos vertinimo ataskaitą.</w:t>
            </w:r>
          </w:p>
        </w:tc>
        <w:tc>
          <w:tcPr>
            <w:tcW w:w="7302" w:type="dxa"/>
          </w:tcPr>
          <w:p w14:paraId="7D0A7258" w14:textId="77777777" w:rsidR="000341E1" w:rsidRPr="00487EC0" w:rsidRDefault="000341E1" w:rsidP="000341E1">
            <w:pPr>
              <w:rPr>
                <w:rFonts w:ascii="Jost" w:hAnsi="Jost"/>
                <w:b/>
                <w:bCs/>
                <w:sz w:val="22"/>
                <w:szCs w:val="22"/>
              </w:rPr>
            </w:pPr>
            <w:r w:rsidRPr="00487EC0">
              <w:rPr>
                <w:rFonts w:ascii="Jost" w:hAnsi="Jost"/>
                <w:b/>
                <w:bCs/>
                <w:sz w:val="22"/>
                <w:szCs w:val="22"/>
              </w:rPr>
              <w:t xml:space="preserve">Neatsižvelgta </w:t>
            </w:r>
          </w:p>
          <w:p w14:paraId="14D19DD8" w14:textId="77777777" w:rsidR="000341E1" w:rsidRPr="00487EC0" w:rsidRDefault="000341E1" w:rsidP="000341E1">
            <w:pPr>
              <w:rPr>
                <w:rFonts w:ascii="Jost" w:hAnsi="Jost"/>
                <w:sz w:val="22"/>
                <w:szCs w:val="22"/>
              </w:rPr>
            </w:pPr>
          </w:p>
          <w:p w14:paraId="061849DB" w14:textId="095852B6" w:rsidR="000341E1" w:rsidRPr="00487EC0" w:rsidRDefault="000341E1" w:rsidP="00EA3435">
            <w:pPr>
              <w:rPr>
                <w:rFonts w:ascii="Jost" w:hAnsi="Jost"/>
                <w:sz w:val="22"/>
                <w:szCs w:val="22"/>
              </w:rPr>
            </w:pPr>
            <w:r w:rsidRPr="00487EC0">
              <w:rPr>
                <w:rFonts w:ascii="Jost" w:hAnsi="Jost"/>
                <w:sz w:val="22"/>
                <w:szCs w:val="22"/>
              </w:rPr>
              <w:t>Atsiskaitymas už paslaugas numatytas po paslaugų suteikimo.</w:t>
            </w:r>
          </w:p>
        </w:tc>
      </w:tr>
      <w:tr w:rsidR="000341E1" w:rsidRPr="00487EC0" w14:paraId="0243DC3C" w14:textId="77777777" w:rsidTr="001C7CB5">
        <w:tc>
          <w:tcPr>
            <w:tcW w:w="560" w:type="dxa"/>
          </w:tcPr>
          <w:p w14:paraId="6B3C9501" w14:textId="09CB30A7" w:rsidR="000341E1" w:rsidRPr="00487EC0" w:rsidRDefault="000341E1" w:rsidP="000341E1">
            <w:pPr>
              <w:rPr>
                <w:rFonts w:ascii="Jost" w:hAnsi="Jost"/>
                <w:sz w:val="22"/>
                <w:szCs w:val="22"/>
                <w:lang w:eastAsia="lt-LT"/>
              </w:rPr>
            </w:pPr>
            <w:r w:rsidRPr="00487EC0">
              <w:rPr>
                <w:rFonts w:ascii="Jost" w:hAnsi="Jost"/>
                <w:sz w:val="22"/>
                <w:szCs w:val="22"/>
                <w:lang w:eastAsia="lt-LT"/>
              </w:rPr>
              <w:t>9.</w:t>
            </w:r>
          </w:p>
        </w:tc>
        <w:tc>
          <w:tcPr>
            <w:tcW w:w="7301" w:type="dxa"/>
            <w:gridSpan w:val="2"/>
          </w:tcPr>
          <w:p w14:paraId="4296F865" w14:textId="77777777" w:rsidR="000341E1" w:rsidRPr="00487EC0" w:rsidRDefault="000341E1" w:rsidP="000341E1">
            <w:pPr>
              <w:pStyle w:val="prastasiniatinklio"/>
              <w:tabs>
                <w:tab w:val="left" w:pos="1276"/>
                <w:tab w:val="left" w:pos="2268"/>
              </w:tabs>
              <w:spacing w:before="0" w:beforeAutospacing="0" w:after="0" w:afterAutospacing="0"/>
              <w:jc w:val="both"/>
              <w:rPr>
                <w:rFonts w:ascii="Jost" w:eastAsia="Calibri" w:hAnsi="Jost"/>
                <w:bCs/>
                <w:sz w:val="22"/>
                <w:szCs w:val="22"/>
                <w:lang w:val="lt-LT" w:eastAsia="lt-LT"/>
              </w:rPr>
            </w:pPr>
            <w:r w:rsidRPr="00487EC0">
              <w:rPr>
                <w:rFonts w:ascii="Jost" w:eastAsia="Calibri" w:hAnsi="Jost"/>
                <w:bCs/>
                <w:sz w:val="22"/>
                <w:szCs w:val="22"/>
                <w:lang w:val="lt-LT" w:eastAsia="lt-LT"/>
              </w:rPr>
              <w:t>Siūlomas Pirkimo objekto aprašymas:</w:t>
            </w:r>
          </w:p>
          <w:p w14:paraId="34C419C7" w14:textId="77777777" w:rsidR="000341E1" w:rsidRPr="00487EC0" w:rsidRDefault="000341E1" w:rsidP="000341E1">
            <w:pPr>
              <w:pStyle w:val="prastasiniatinklio"/>
              <w:tabs>
                <w:tab w:val="left" w:pos="1276"/>
                <w:tab w:val="left" w:pos="2268"/>
              </w:tabs>
              <w:spacing w:before="0" w:beforeAutospacing="0" w:after="0" w:afterAutospacing="0"/>
              <w:jc w:val="both"/>
              <w:rPr>
                <w:rFonts w:ascii="Jost" w:eastAsia="Calibri" w:hAnsi="Jost"/>
                <w:bCs/>
                <w:sz w:val="22"/>
                <w:szCs w:val="22"/>
                <w:lang w:val="lt-LT" w:eastAsia="lt-LT"/>
              </w:rPr>
            </w:pPr>
          </w:p>
          <w:p w14:paraId="621DAE06" w14:textId="77777777" w:rsidR="000341E1" w:rsidRPr="00487EC0" w:rsidRDefault="000341E1" w:rsidP="000341E1">
            <w:pPr>
              <w:pStyle w:val="prastasiniatinklio"/>
              <w:tabs>
                <w:tab w:val="left" w:pos="1276"/>
                <w:tab w:val="left" w:pos="2268"/>
              </w:tabs>
              <w:spacing w:before="0" w:beforeAutospacing="0" w:after="0" w:afterAutospacing="0"/>
              <w:jc w:val="both"/>
              <w:rPr>
                <w:rFonts w:ascii="Jost" w:eastAsia="Calibri" w:hAnsi="Jost"/>
                <w:bCs/>
                <w:sz w:val="22"/>
                <w:szCs w:val="22"/>
                <w:lang w:val="lt-LT" w:eastAsia="lt-LT"/>
              </w:rPr>
            </w:pPr>
            <w:r w:rsidRPr="00487EC0">
              <w:rPr>
                <w:rFonts w:ascii="Jost" w:eastAsia="Calibri" w:hAnsi="Jost"/>
                <w:bCs/>
                <w:sz w:val="22"/>
                <w:szCs w:val="22"/>
                <w:lang w:val="lt-LT" w:eastAsia="lt-LT"/>
              </w:rPr>
              <w:t>Paslaugos pavadinimas: Inovacijų ir technologijų pritraukimo bei vystymo Lietuvoje veiksnių tyrimas: priežastinių ryšių analizė.</w:t>
            </w:r>
          </w:p>
          <w:p w14:paraId="27AA0801" w14:textId="77777777" w:rsidR="000341E1" w:rsidRPr="00487EC0" w:rsidRDefault="000341E1" w:rsidP="000341E1">
            <w:pPr>
              <w:pStyle w:val="prastasiniatinklio"/>
              <w:tabs>
                <w:tab w:val="left" w:pos="1276"/>
                <w:tab w:val="left" w:pos="2268"/>
              </w:tabs>
              <w:spacing w:before="0" w:beforeAutospacing="0" w:after="0" w:afterAutospacing="0"/>
              <w:jc w:val="both"/>
              <w:rPr>
                <w:rFonts w:ascii="Jost" w:eastAsia="Calibri" w:hAnsi="Jost"/>
                <w:bCs/>
                <w:sz w:val="22"/>
                <w:szCs w:val="22"/>
                <w:lang w:val="lt-LT" w:eastAsia="lt-LT"/>
              </w:rPr>
            </w:pPr>
          </w:p>
          <w:p w14:paraId="0E2D3776" w14:textId="4101D073" w:rsidR="000341E1" w:rsidRPr="00487EC0" w:rsidRDefault="000341E1" w:rsidP="000341E1">
            <w:pPr>
              <w:rPr>
                <w:rFonts w:ascii="Jost" w:hAnsi="Jost"/>
                <w:bCs/>
                <w:sz w:val="22"/>
                <w:szCs w:val="22"/>
              </w:rPr>
            </w:pPr>
            <w:r w:rsidRPr="00487EC0">
              <w:rPr>
                <w:rFonts w:ascii="Jost" w:eastAsia="Calibri" w:hAnsi="Jost"/>
                <w:bCs/>
                <w:sz w:val="22"/>
                <w:szCs w:val="22"/>
                <w:lang w:eastAsia="lt-LT"/>
              </w:rPr>
              <w:t>Tikslas: naudojant pažangius priežastingumo tyrimo metodus, ištirti pagrindinius inovacijų ir technologijų pritraukimo bei vystymo Lietuvoje veiksnius, įvertinti prioritetines paramos kryptis ir atkreipti dėmesį į sritis, kuriose finansavimas yra neefektyvus.</w:t>
            </w:r>
          </w:p>
        </w:tc>
        <w:tc>
          <w:tcPr>
            <w:tcW w:w="7302" w:type="dxa"/>
          </w:tcPr>
          <w:p w14:paraId="7DA6AD8E" w14:textId="77777777" w:rsidR="000341E1" w:rsidRPr="00487EC0" w:rsidRDefault="000341E1" w:rsidP="000341E1">
            <w:pPr>
              <w:rPr>
                <w:rFonts w:ascii="Jost" w:hAnsi="Jost"/>
                <w:b/>
                <w:bCs/>
                <w:sz w:val="22"/>
                <w:szCs w:val="22"/>
              </w:rPr>
            </w:pPr>
            <w:r w:rsidRPr="00487EC0">
              <w:rPr>
                <w:rFonts w:ascii="Jost" w:hAnsi="Jost"/>
                <w:b/>
                <w:bCs/>
                <w:sz w:val="22"/>
                <w:szCs w:val="22"/>
              </w:rPr>
              <w:t>Neatsižvelgta</w:t>
            </w:r>
          </w:p>
          <w:p w14:paraId="7E5D225C" w14:textId="77777777" w:rsidR="000341E1" w:rsidRPr="00487EC0" w:rsidRDefault="000341E1" w:rsidP="000341E1">
            <w:pPr>
              <w:rPr>
                <w:rFonts w:ascii="Jost" w:hAnsi="Jost"/>
                <w:b/>
                <w:bCs/>
                <w:sz w:val="22"/>
                <w:szCs w:val="22"/>
              </w:rPr>
            </w:pPr>
          </w:p>
          <w:p w14:paraId="77B55326" w14:textId="55FC1456" w:rsidR="000341E1" w:rsidRPr="00487EC0" w:rsidRDefault="000341E1" w:rsidP="000341E1">
            <w:pPr>
              <w:rPr>
                <w:rFonts w:ascii="Jost" w:hAnsi="Jost"/>
                <w:sz w:val="22"/>
                <w:szCs w:val="22"/>
              </w:rPr>
            </w:pPr>
            <w:r w:rsidRPr="00487EC0">
              <w:rPr>
                <w:rFonts w:ascii="Jost" w:hAnsi="Jost"/>
                <w:sz w:val="22"/>
                <w:szCs w:val="22"/>
              </w:rPr>
              <w:t xml:space="preserve">Paslaugos pavadinimas ir Tarpinio pažangos vertinimo tikslai apibrėžti remiantis </w:t>
            </w:r>
            <w:hyperlink r:id="rId11" w:history="1">
              <w:r w:rsidRPr="00487EC0">
                <w:rPr>
                  <w:rStyle w:val="Hipersaitas"/>
                  <w:rFonts w:ascii="Jost" w:hAnsi="Jost"/>
                  <w:sz w:val="22"/>
                  <w:szCs w:val="22"/>
                </w:rPr>
                <w:t>Mokslinių tyrimų ir eksperimentinės plėtros ir inovacijų (sumaniosios specializacijos) koncepcija</w:t>
              </w:r>
            </w:hyperlink>
            <w:r w:rsidRPr="00487EC0">
              <w:rPr>
                <w:rFonts w:ascii="Jost" w:hAnsi="Jost"/>
                <w:sz w:val="22"/>
                <w:szCs w:val="22"/>
              </w:rPr>
              <w:t xml:space="preserve">. </w:t>
            </w:r>
          </w:p>
        </w:tc>
      </w:tr>
      <w:tr w:rsidR="000341E1" w:rsidRPr="00487EC0" w14:paraId="41A4217B" w14:textId="77777777" w:rsidTr="001C7CB5">
        <w:tc>
          <w:tcPr>
            <w:tcW w:w="560" w:type="dxa"/>
          </w:tcPr>
          <w:p w14:paraId="4C87A41D" w14:textId="0DCFEDE7" w:rsidR="000341E1" w:rsidRPr="00487EC0" w:rsidRDefault="000341E1" w:rsidP="000341E1">
            <w:pPr>
              <w:rPr>
                <w:rFonts w:ascii="Jost" w:hAnsi="Jost"/>
                <w:sz w:val="22"/>
                <w:szCs w:val="22"/>
                <w:lang w:eastAsia="lt-LT"/>
              </w:rPr>
            </w:pPr>
            <w:r w:rsidRPr="00487EC0">
              <w:rPr>
                <w:rFonts w:ascii="Jost" w:hAnsi="Jost"/>
                <w:sz w:val="22"/>
                <w:szCs w:val="22"/>
                <w:lang w:eastAsia="lt-LT"/>
              </w:rPr>
              <w:t>10.</w:t>
            </w:r>
          </w:p>
        </w:tc>
        <w:tc>
          <w:tcPr>
            <w:tcW w:w="7301" w:type="dxa"/>
            <w:gridSpan w:val="2"/>
          </w:tcPr>
          <w:p w14:paraId="42A51D41" w14:textId="77777777" w:rsidR="000341E1" w:rsidRPr="00487EC0" w:rsidRDefault="000341E1" w:rsidP="000341E1">
            <w:pPr>
              <w:pStyle w:val="prastasiniatinklio"/>
              <w:tabs>
                <w:tab w:val="left" w:pos="1276"/>
                <w:tab w:val="left" w:pos="2268"/>
              </w:tabs>
              <w:spacing w:after="0"/>
              <w:jc w:val="both"/>
              <w:rPr>
                <w:rFonts w:ascii="Jost" w:hAnsi="Jost"/>
                <w:color w:val="000000"/>
                <w:sz w:val="22"/>
                <w:szCs w:val="22"/>
                <w:lang w:val="lt-LT"/>
              </w:rPr>
            </w:pPr>
            <w:r w:rsidRPr="00487EC0">
              <w:rPr>
                <w:rFonts w:ascii="Jost" w:hAnsi="Jost"/>
                <w:color w:val="000000"/>
                <w:sz w:val="22"/>
                <w:szCs w:val="22"/>
                <w:lang w:val="lt-LT"/>
              </w:rPr>
              <w:t>Siūlomi tyrimo uždaviniai:</w:t>
            </w:r>
          </w:p>
          <w:p w14:paraId="536023AC" w14:textId="77777777" w:rsidR="000341E1" w:rsidRPr="00487EC0" w:rsidRDefault="000341E1" w:rsidP="00EA3435">
            <w:pPr>
              <w:pStyle w:val="prastasiniatinklio"/>
              <w:numPr>
                <w:ilvl w:val="0"/>
                <w:numId w:val="17"/>
              </w:numPr>
              <w:tabs>
                <w:tab w:val="left" w:pos="312"/>
                <w:tab w:val="left" w:pos="1276"/>
                <w:tab w:val="left" w:pos="2268"/>
              </w:tabs>
              <w:spacing w:after="0"/>
              <w:ind w:left="37" w:firstLine="0"/>
              <w:jc w:val="both"/>
              <w:rPr>
                <w:rFonts w:ascii="Jost" w:hAnsi="Jost"/>
                <w:color w:val="000000"/>
                <w:sz w:val="22"/>
                <w:szCs w:val="22"/>
                <w:lang w:val="lt-LT"/>
              </w:rPr>
            </w:pPr>
            <w:r w:rsidRPr="00487EC0">
              <w:rPr>
                <w:rFonts w:ascii="Jost" w:hAnsi="Jost"/>
                <w:color w:val="000000"/>
                <w:sz w:val="22"/>
                <w:szCs w:val="22"/>
                <w:lang w:val="lt-LT"/>
              </w:rPr>
              <w:t>Inovacijų ekosistemos Lietuvoje analizė: identifikuoti ekonominius, reguliacinius ir struktūrinius veiksnius; įvertinti inovacijų skatinimo mechanizmų veiksmingumą.</w:t>
            </w:r>
          </w:p>
          <w:p w14:paraId="2A456E41" w14:textId="77777777" w:rsidR="000341E1" w:rsidRPr="00487EC0" w:rsidRDefault="000341E1" w:rsidP="00EA3435">
            <w:pPr>
              <w:pStyle w:val="prastasiniatinklio"/>
              <w:numPr>
                <w:ilvl w:val="0"/>
                <w:numId w:val="17"/>
              </w:numPr>
              <w:tabs>
                <w:tab w:val="left" w:pos="312"/>
                <w:tab w:val="left" w:pos="1276"/>
                <w:tab w:val="left" w:pos="2268"/>
              </w:tabs>
              <w:spacing w:after="0"/>
              <w:ind w:left="37" w:firstLine="0"/>
              <w:jc w:val="both"/>
              <w:rPr>
                <w:rFonts w:ascii="Jost" w:hAnsi="Jost"/>
                <w:color w:val="000000"/>
                <w:sz w:val="22"/>
                <w:szCs w:val="22"/>
                <w:lang w:val="lt-LT"/>
              </w:rPr>
            </w:pPr>
            <w:r w:rsidRPr="00487EC0">
              <w:rPr>
                <w:rFonts w:ascii="Jost" w:hAnsi="Jost"/>
                <w:color w:val="000000"/>
                <w:sz w:val="22"/>
                <w:szCs w:val="22"/>
                <w:lang w:val="lt-LT"/>
              </w:rPr>
              <w:t xml:space="preserve">Tarptautinės praktikos ir Lietuvos pozicionavimas: palyginti Lietuvos inovacijų ekosistemą su kitų ES šalių bei pasaulinių inovacijų lyderių </w:t>
            </w:r>
            <w:r w:rsidRPr="00487EC0">
              <w:rPr>
                <w:rFonts w:ascii="Jost" w:hAnsi="Jost"/>
                <w:color w:val="000000"/>
                <w:sz w:val="22"/>
                <w:szCs w:val="22"/>
                <w:lang w:val="lt-LT"/>
              </w:rPr>
              <w:lastRenderedPageBreak/>
              <w:t>patirtimi ir nustatyti galimus reguliacinius ar finansinius modelius, tinkamus Lietuvai.</w:t>
            </w:r>
          </w:p>
          <w:p w14:paraId="44A37540" w14:textId="77777777" w:rsidR="000341E1" w:rsidRPr="00487EC0" w:rsidRDefault="000341E1" w:rsidP="00EA3435">
            <w:pPr>
              <w:pStyle w:val="prastasiniatinklio"/>
              <w:numPr>
                <w:ilvl w:val="0"/>
                <w:numId w:val="17"/>
              </w:numPr>
              <w:tabs>
                <w:tab w:val="left" w:pos="312"/>
                <w:tab w:val="left" w:pos="1276"/>
                <w:tab w:val="left" w:pos="2268"/>
              </w:tabs>
              <w:spacing w:after="0"/>
              <w:ind w:left="37" w:firstLine="0"/>
              <w:jc w:val="both"/>
              <w:rPr>
                <w:rFonts w:ascii="Jost" w:hAnsi="Jost"/>
                <w:color w:val="000000"/>
                <w:sz w:val="22"/>
                <w:szCs w:val="22"/>
                <w:lang w:val="lt-LT"/>
              </w:rPr>
            </w:pPr>
            <w:r w:rsidRPr="00487EC0">
              <w:rPr>
                <w:rFonts w:ascii="Jost" w:hAnsi="Jost"/>
                <w:color w:val="000000"/>
                <w:sz w:val="22"/>
                <w:szCs w:val="22"/>
                <w:lang w:val="lt-LT"/>
              </w:rPr>
              <w:t>Finansavimo ir paramos prioritetų analizė: įvertinti esamų finansavimo priemonių veiksmingumą, išskirti veiksmingas paramos sritis ir tas, kuriose ji neatsiperka.</w:t>
            </w:r>
          </w:p>
          <w:p w14:paraId="0AAFBD50" w14:textId="4DD5F696" w:rsidR="000341E1" w:rsidRPr="00487EC0" w:rsidRDefault="000341E1" w:rsidP="000341E1">
            <w:pPr>
              <w:rPr>
                <w:rFonts w:ascii="Jost" w:hAnsi="Jost"/>
                <w:bCs/>
                <w:sz w:val="22"/>
                <w:szCs w:val="22"/>
              </w:rPr>
            </w:pPr>
            <w:r w:rsidRPr="00487EC0">
              <w:rPr>
                <w:rFonts w:ascii="Jost" w:hAnsi="Jost"/>
                <w:color w:val="000000"/>
                <w:sz w:val="22"/>
                <w:szCs w:val="22"/>
              </w:rPr>
              <w:t>Rekomendacijų parengimas: pateikti konkrečias inovacijų politikos formavimo gaires, diferencijuojant paramą pagal veiksmingumo kriterijus, bei nustatyti sritis, kur finansavimas nėra būtinas.</w:t>
            </w:r>
          </w:p>
        </w:tc>
        <w:tc>
          <w:tcPr>
            <w:tcW w:w="7302" w:type="dxa"/>
          </w:tcPr>
          <w:p w14:paraId="2461A645" w14:textId="77777777" w:rsidR="000341E1" w:rsidRPr="00487EC0" w:rsidRDefault="000341E1" w:rsidP="000341E1">
            <w:pPr>
              <w:rPr>
                <w:rFonts w:ascii="Jost" w:hAnsi="Jost"/>
                <w:b/>
                <w:bCs/>
                <w:sz w:val="22"/>
                <w:szCs w:val="22"/>
              </w:rPr>
            </w:pPr>
            <w:r w:rsidRPr="00487EC0">
              <w:rPr>
                <w:rFonts w:ascii="Jost" w:hAnsi="Jost"/>
                <w:b/>
                <w:bCs/>
                <w:sz w:val="22"/>
                <w:szCs w:val="22"/>
              </w:rPr>
              <w:lastRenderedPageBreak/>
              <w:t>Neatsižvelgta</w:t>
            </w:r>
          </w:p>
          <w:p w14:paraId="51346D5F" w14:textId="77777777" w:rsidR="000341E1" w:rsidRPr="00487EC0" w:rsidRDefault="000341E1" w:rsidP="000341E1">
            <w:pPr>
              <w:rPr>
                <w:rFonts w:ascii="Jost" w:hAnsi="Jost"/>
                <w:sz w:val="22"/>
                <w:szCs w:val="22"/>
              </w:rPr>
            </w:pPr>
          </w:p>
          <w:p w14:paraId="12FE5233" w14:textId="6354BA37" w:rsidR="000341E1" w:rsidRPr="00487EC0" w:rsidRDefault="000341E1" w:rsidP="000341E1">
            <w:pPr>
              <w:rPr>
                <w:rFonts w:ascii="Jost" w:hAnsi="Jost"/>
                <w:sz w:val="22"/>
                <w:szCs w:val="22"/>
              </w:rPr>
            </w:pPr>
            <w:r w:rsidRPr="00487EC0">
              <w:rPr>
                <w:rFonts w:ascii="Jost" w:hAnsi="Jost"/>
                <w:sz w:val="22"/>
                <w:szCs w:val="22"/>
              </w:rPr>
              <w:t xml:space="preserve">Tyrimo uždaviniai suformuluoti remiantis </w:t>
            </w:r>
            <w:hyperlink r:id="rId12" w:history="1">
              <w:r w:rsidRPr="00487EC0">
                <w:rPr>
                  <w:rStyle w:val="Hipersaitas"/>
                  <w:rFonts w:ascii="Jost" w:hAnsi="Jost"/>
                  <w:sz w:val="22"/>
                  <w:szCs w:val="22"/>
                </w:rPr>
                <w:t>Mokslinių tyrimų ir eksperimentinės plėtros ir inovacijų (sumaniosios specializacijos) koncepcija</w:t>
              </w:r>
            </w:hyperlink>
            <w:r w:rsidRPr="00487EC0">
              <w:rPr>
                <w:rFonts w:ascii="Jost" w:hAnsi="Jost"/>
                <w:sz w:val="22"/>
                <w:szCs w:val="22"/>
              </w:rPr>
              <w:t>.</w:t>
            </w:r>
          </w:p>
        </w:tc>
      </w:tr>
      <w:tr w:rsidR="00B2463E" w:rsidRPr="00487EC0" w14:paraId="7C0829CC" w14:textId="77777777" w:rsidTr="001C7CB5">
        <w:tc>
          <w:tcPr>
            <w:tcW w:w="560" w:type="dxa"/>
          </w:tcPr>
          <w:p w14:paraId="7C9B8981" w14:textId="4F7B9F0E" w:rsidR="00B2463E" w:rsidRPr="00487EC0" w:rsidRDefault="00B2463E" w:rsidP="00B2463E">
            <w:pPr>
              <w:rPr>
                <w:rFonts w:ascii="Jost" w:hAnsi="Jost"/>
                <w:sz w:val="22"/>
                <w:szCs w:val="22"/>
                <w:lang w:eastAsia="lt-LT"/>
              </w:rPr>
            </w:pPr>
            <w:r w:rsidRPr="00487EC0">
              <w:rPr>
                <w:rFonts w:ascii="Jost" w:hAnsi="Jost"/>
                <w:sz w:val="22"/>
                <w:szCs w:val="22"/>
                <w:lang w:eastAsia="lt-LT"/>
              </w:rPr>
              <w:t>11.</w:t>
            </w:r>
          </w:p>
        </w:tc>
        <w:tc>
          <w:tcPr>
            <w:tcW w:w="7301" w:type="dxa"/>
            <w:gridSpan w:val="2"/>
          </w:tcPr>
          <w:p w14:paraId="67A635CE" w14:textId="77777777" w:rsidR="00B2463E" w:rsidRPr="00487EC0" w:rsidRDefault="00B2463E" w:rsidP="00B2463E">
            <w:pPr>
              <w:pStyle w:val="prastasiniatinklio"/>
              <w:tabs>
                <w:tab w:val="left" w:pos="1276"/>
                <w:tab w:val="left" w:pos="2268"/>
              </w:tabs>
              <w:spacing w:after="0"/>
              <w:jc w:val="both"/>
              <w:rPr>
                <w:rFonts w:ascii="Jost" w:hAnsi="Jost"/>
                <w:b/>
                <w:bCs/>
                <w:sz w:val="22"/>
                <w:szCs w:val="22"/>
                <w:lang w:val="en-US"/>
              </w:rPr>
            </w:pPr>
            <w:r w:rsidRPr="00487EC0">
              <w:rPr>
                <w:rFonts w:ascii="Jost" w:hAnsi="Jost"/>
                <w:b/>
                <w:bCs/>
                <w:sz w:val="22"/>
                <w:szCs w:val="22"/>
                <w:lang w:val="en-US"/>
              </w:rPr>
              <w:t>Siūloma tyrimo metodologija</w:t>
            </w:r>
          </w:p>
          <w:p w14:paraId="6E6B1C37" w14:textId="77777777" w:rsidR="00B2463E" w:rsidRPr="00487EC0" w:rsidRDefault="00B2463E" w:rsidP="007F1EE0">
            <w:pPr>
              <w:pStyle w:val="prastasiniatinklio"/>
              <w:numPr>
                <w:ilvl w:val="0"/>
                <w:numId w:val="18"/>
              </w:numPr>
              <w:tabs>
                <w:tab w:val="left" w:pos="321"/>
                <w:tab w:val="left" w:pos="1276"/>
                <w:tab w:val="left" w:pos="2268"/>
              </w:tabs>
              <w:spacing w:after="0"/>
              <w:ind w:left="37" w:firstLine="0"/>
              <w:jc w:val="both"/>
              <w:rPr>
                <w:rFonts w:ascii="Jost" w:hAnsi="Jost"/>
                <w:color w:val="000000"/>
                <w:sz w:val="22"/>
                <w:szCs w:val="22"/>
                <w:lang w:val="lt-LT"/>
              </w:rPr>
            </w:pPr>
            <w:r w:rsidRPr="00487EC0">
              <w:rPr>
                <w:rFonts w:ascii="Jost" w:hAnsi="Jost"/>
                <w:color w:val="000000"/>
                <w:sz w:val="22"/>
                <w:szCs w:val="22"/>
                <w:lang w:val="lt-LT"/>
              </w:rPr>
              <w:t>Pirminių duomenų surinkimas: tikslinių grupių ir inovacijų ekosistemos dalyvių apklausos, ekspertiniai interviu su politikos formuotojais bei tarptautiniais ekspertais.</w:t>
            </w:r>
          </w:p>
          <w:p w14:paraId="1E2657E7" w14:textId="77777777" w:rsidR="00B2463E" w:rsidRPr="00487EC0" w:rsidRDefault="00B2463E" w:rsidP="007F1EE0">
            <w:pPr>
              <w:pStyle w:val="prastasiniatinklio"/>
              <w:numPr>
                <w:ilvl w:val="0"/>
                <w:numId w:val="18"/>
              </w:numPr>
              <w:tabs>
                <w:tab w:val="left" w:pos="321"/>
                <w:tab w:val="left" w:pos="1276"/>
                <w:tab w:val="left" w:pos="2268"/>
              </w:tabs>
              <w:spacing w:after="0"/>
              <w:ind w:left="37" w:firstLine="0"/>
              <w:jc w:val="both"/>
              <w:rPr>
                <w:rFonts w:ascii="Jost" w:hAnsi="Jost"/>
                <w:color w:val="000000"/>
                <w:sz w:val="22"/>
                <w:szCs w:val="22"/>
                <w:lang w:val="lt-LT"/>
              </w:rPr>
            </w:pPr>
            <w:r w:rsidRPr="00487EC0">
              <w:rPr>
                <w:rFonts w:ascii="Jost" w:hAnsi="Jost"/>
                <w:color w:val="000000"/>
                <w:sz w:val="22"/>
                <w:szCs w:val="22"/>
                <w:lang w:val="lt-LT"/>
              </w:rPr>
              <w:t>Antrinių duomenų analizė: nacionalinių ir tarptautinių (pvz., „Eurostat“, Pasaulio bankas, OECD) statistinių duomenų analizė, įskaitant ir rodiklius, kurie pateikiami vykdytojui pagal Mokslinių tyrimų ir eksperimentinės plėtros ir inovacijų (sumaniosios specializacijos) koncepcijos įgyvendinimo stebėsenos ir vertinimo tvarkos aprašą.</w:t>
            </w:r>
          </w:p>
          <w:p w14:paraId="75F70528" w14:textId="4006FE60" w:rsidR="00B2463E" w:rsidRPr="00487EC0" w:rsidRDefault="00B2463E" w:rsidP="00B2463E">
            <w:pPr>
              <w:rPr>
                <w:rFonts w:ascii="Jost" w:hAnsi="Jost"/>
                <w:bCs/>
                <w:sz w:val="22"/>
                <w:szCs w:val="22"/>
              </w:rPr>
            </w:pPr>
            <w:r w:rsidRPr="00487EC0">
              <w:rPr>
                <w:rFonts w:ascii="Jost" w:hAnsi="Jost"/>
                <w:color w:val="000000"/>
                <w:sz w:val="22"/>
                <w:szCs w:val="22"/>
              </w:rPr>
              <w:t>Priežastingumo analizės metodai.</w:t>
            </w:r>
          </w:p>
        </w:tc>
        <w:tc>
          <w:tcPr>
            <w:tcW w:w="7302" w:type="dxa"/>
          </w:tcPr>
          <w:p w14:paraId="67599153" w14:textId="77777777" w:rsidR="00B2463E" w:rsidRPr="00487EC0" w:rsidRDefault="00B2463E" w:rsidP="00B2463E">
            <w:pPr>
              <w:rPr>
                <w:rFonts w:ascii="Jost" w:hAnsi="Jost"/>
                <w:b/>
                <w:bCs/>
                <w:sz w:val="22"/>
                <w:szCs w:val="22"/>
              </w:rPr>
            </w:pPr>
            <w:r w:rsidRPr="00487EC0">
              <w:rPr>
                <w:rFonts w:ascii="Jost" w:hAnsi="Jost"/>
                <w:b/>
                <w:bCs/>
                <w:sz w:val="22"/>
                <w:szCs w:val="22"/>
              </w:rPr>
              <w:t>Neatsižvelgta</w:t>
            </w:r>
          </w:p>
          <w:p w14:paraId="7228FEEE" w14:textId="77777777" w:rsidR="00B2463E" w:rsidRPr="00487EC0" w:rsidRDefault="00B2463E" w:rsidP="00B2463E">
            <w:pPr>
              <w:rPr>
                <w:rFonts w:ascii="Jost" w:hAnsi="Jost"/>
                <w:sz w:val="22"/>
                <w:szCs w:val="22"/>
              </w:rPr>
            </w:pPr>
          </w:p>
          <w:p w14:paraId="208DD3EF" w14:textId="29C8F23D" w:rsidR="00B2463E" w:rsidRPr="00487EC0" w:rsidRDefault="00B2463E" w:rsidP="00B2463E">
            <w:pPr>
              <w:rPr>
                <w:rFonts w:ascii="Jost" w:hAnsi="Jost"/>
                <w:sz w:val="22"/>
                <w:szCs w:val="22"/>
              </w:rPr>
            </w:pPr>
            <w:r w:rsidRPr="00487EC0">
              <w:rPr>
                <w:rFonts w:ascii="Jost" w:hAnsi="Jost"/>
                <w:sz w:val="22"/>
                <w:szCs w:val="22"/>
              </w:rPr>
              <w:t xml:space="preserve">Išvardinti tyrimo metodai pateikti techninėje specifikacijoje. Pažymėtina, kad parengtoje techninėje specifikacijoje įvardinta ir daugiau galimų tyrimų metodų. </w:t>
            </w:r>
          </w:p>
        </w:tc>
      </w:tr>
      <w:tr w:rsidR="00B2463E" w:rsidRPr="00487EC0" w14:paraId="5B7B24B6" w14:textId="77777777" w:rsidTr="001C7CB5">
        <w:tc>
          <w:tcPr>
            <w:tcW w:w="560" w:type="dxa"/>
          </w:tcPr>
          <w:p w14:paraId="5A9347DB" w14:textId="16D7FEB9" w:rsidR="00B2463E" w:rsidRPr="00487EC0" w:rsidRDefault="00B2463E" w:rsidP="00B2463E">
            <w:pPr>
              <w:rPr>
                <w:rFonts w:ascii="Jost" w:hAnsi="Jost"/>
                <w:sz w:val="22"/>
                <w:szCs w:val="22"/>
                <w:lang w:eastAsia="lt-LT"/>
              </w:rPr>
            </w:pPr>
            <w:r w:rsidRPr="00487EC0">
              <w:rPr>
                <w:rFonts w:ascii="Jost" w:hAnsi="Jost"/>
                <w:sz w:val="22"/>
                <w:szCs w:val="22"/>
                <w:lang w:eastAsia="lt-LT"/>
              </w:rPr>
              <w:t>12.</w:t>
            </w:r>
          </w:p>
        </w:tc>
        <w:tc>
          <w:tcPr>
            <w:tcW w:w="7301" w:type="dxa"/>
            <w:gridSpan w:val="2"/>
          </w:tcPr>
          <w:p w14:paraId="1D01D8B7" w14:textId="77777777" w:rsidR="00B2463E" w:rsidRPr="00487EC0" w:rsidRDefault="00B2463E" w:rsidP="00B2463E">
            <w:pPr>
              <w:pStyle w:val="prastasiniatinklio"/>
              <w:tabs>
                <w:tab w:val="left" w:pos="1276"/>
                <w:tab w:val="left" w:pos="2268"/>
              </w:tabs>
              <w:spacing w:after="0"/>
              <w:jc w:val="both"/>
              <w:rPr>
                <w:rFonts w:ascii="Jost" w:hAnsi="Jost"/>
                <w:color w:val="000000"/>
                <w:sz w:val="22"/>
                <w:szCs w:val="22"/>
                <w:lang w:val="lt-LT"/>
              </w:rPr>
            </w:pPr>
            <w:r w:rsidRPr="00487EC0">
              <w:rPr>
                <w:rFonts w:ascii="Jost" w:hAnsi="Jost"/>
                <w:color w:val="000000"/>
                <w:sz w:val="22"/>
                <w:szCs w:val="22"/>
                <w:lang w:val="lt-LT"/>
              </w:rPr>
              <w:t>Rezultatų pateikimo reikalavimai.</w:t>
            </w:r>
          </w:p>
          <w:p w14:paraId="6AE3B40D" w14:textId="77777777" w:rsidR="00B2463E" w:rsidRPr="00487EC0" w:rsidRDefault="00B2463E" w:rsidP="007F1EE0">
            <w:pPr>
              <w:pStyle w:val="prastasiniatinklio"/>
              <w:tabs>
                <w:tab w:val="left" w:pos="288"/>
                <w:tab w:val="left" w:pos="1276"/>
                <w:tab w:val="left" w:pos="2268"/>
              </w:tabs>
              <w:spacing w:after="0"/>
              <w:jc w:val="both"/>
              <w:rPr>
                <w:rFonts w:ascii="Jost" w:hAnsi="Jost"/>
                <w:color w:val="000000"/>
                <w:sz w:val="22"/>
                <w:szCs w:val="22"/>
                <w:lang w:val="lt-LT"/>
              </w:rPr>
            </w:pPr>
            <w:r w:rsidRPr="00487EC0">
              <w:rPr>
                <w:rFonts w:ascii="Jost" w:hAnsi="Jost"/>
                <w:color w:val="000000"/>
                <w:sz w:val="22"/>
                <w:szCs w:val="22"/>
                <w:lang w:val="lt-LT"/>
              </w:rPr>
              <w:t>o</w:t>
            </w:r>
            <w:r w:rsidRPr="00487EC0">
              <w:rPr>
                <w:rFonts w:ascii="Jost" w:hAnsi="Jost"/>
                <w:color w:val="000000"/>
                <w:sz w:val="22"/>
                <w:szCs w:val="22"/>
                <w:lang w:val="lt-LT"/>
              </w:rPr>
              <w:tab/>
              <w:t>Tyrimo ataskaita: priežastinių ryšių analizė tarp inovacijų politikos veiksnių ir ekonominių rezultatų, rekomendacijos dėl efektyviausio inovacijų finansavimo paskirstymo, tarptautinių pavyzdžių pritaikymo galimybės.</w:t>
            </w:r>
          </w:p>
          <w:p w14:paraId="3C7F532E" w14:textId="77777777" w:rsidR="00B2463E" w:rsidRPr="00487EC0" w:rsidRDefault="00B2463E" w:rsidP="007F1EE0">
            <w:pPr>
              <w:pStyle w:val="prastasiniatinklio"/>
              <w:tabs>
                <w:tab w:val="left" w:pos="288"/>
                <w:tab w:val="left" w:pos="1276"/>
                <w:tab w:val="left" w:pos="2268"/>
              </w:tabs>
              <w:spacing w:after="0"/>
              <w:jc w:val="both"/>
              <w:rPr>
                <w:rFonts w:ascii="Jost" w:hAnsi="Jost"/>
                <w:color w:val="000000"/>
                <w:sz w:val="22"/>
                <w:szCs w:val="22"/>
                <w:lang w:val="lt-LT"/>
              </w:rPr>
            </w:pPr>
            <w:r w:rsidRPr="00487EC0">
              <w:rPr>
                <w:rFonts w:ascii="Jost" w:hAnsi="Jost"/>
                <w:color w:val="000000"/>
                <w:sz w:val="22"/>
                <w:szCs w:val="22"/>
                <w:lang w:val="lt-LT"/>
              </w:rPr>
              <w:t>o</w:t>
            </w:r>
            <w:r w:rsidRPr="00487EC0">
              <w:rPr>
                <w:rFonts w:ascii="Jost" w:hAnsi="Jost"/>
                <w:color w:val="000000"/>
                <w:sz w:val="22"/>
                <w:szCs w:val="22"/>
                <w:lang w:val="lt-LT"/>
              </w:rPr>
              <w:tab/>
              <w:t>Interaktyvus seminaras: rezultatų pristatymas viešojo sektoriaus, akademinės bendruomenės ir verslo atstovams, praktinės diskusijos apie inovacijų politikos tobulinimą.</w:t>
            </w:r>
          </w:p>
          <w:p w14:paraId="5F387ECA" w14:textId="7BA6DA4F" w:rsidR="00B2463E" w:rsidRPr="00487EC0" w:rsidRDefault="00B2463E" w:rsidP="007F1EE0">
            <w:pPr>
              <w:tabs>
                <w:tab w:val="left" w:pos="288"/>
              </w:tabs>
              <w:rPr>
                <w:rFonts w:ascii="Jost" w:hAnsi="Jost"/>
                <w:bCs/>
                <w:sz w:val="22"/>
                <w:szCs w:val="22"/>
              </w:rPr>
            </w:pPr>
            <w:r w:rsidRPr="00487EC0">
              <w:rPr>
                <w:rFonts w:ascii="Jost" w:hAnsi="Jost"/>
                <w:color w:val="000000"/>
                <w:sz w:val="22"/>
                <w:szCs w:val="22"/>
              </w:rPr>
              <w:t>o</w:t>
            </w:r>
            <w:r w:rsidRPr="00487EC0">
              <w:rPr>
                <w:rFonts w:ascii="Jost" w:hAnsi="Jost"/>
                <w:color w:val="000000"/>
                <w:sz w:val="22"/>
                <w:szCs w:val="22"/>
              </w:rPr>
              <w:tab/>
              <w:t>Strateginis gairių dokumentas politikos formuotojams: konkrečios rekomendacijos, kur ir kaip turėtų būti nukreiptas inovacijų finansavimas, bei viešųjų pirkimų modeliai, skatintys inovacijas.</w:t>
            </w:r>
          </w:p>
        </w:tc>
        <w:tc>
          <w:tcPr>
            <w:tcW w:w="7302" w:type="dxa"/>
          </w:tcPr>
          <w:p w14:paraId="4B11F74B" w14:textId="77777777" w:rsidR="00B2463E" w:rsidRPr="00487EC0" w:rsidRDefault="00B2463E" w:rsidP="00B2463E">
            <w:pPr>
              <w:rPr>
                <w:rFonts w:ascii="Jost" w:hAnsi="Jost"/>
                <w:b/>
                <w:bCs/>
                <w:sz w:val="22"/>
                <w:szCs w:val="22"/>
              </w:rPr>
            </w:pPr>
            <w:r w:rsidRPr="00487EC0">
              <w:rPr>
                <w:rFonts w:ascii="Jost" w:hAnsi="Jost"/>
                <w:b/>
                <w:bCs/>
                <w:sz w:val="22"/>
                <w:szCs w:val="22"/>
              </w:rPr>
              <w:t>Neatsižvelgta</w:t>
            </w:r>
          </w:p>
          <w:p w14:paraId="0B48D5FC" w14:textId="77777777" w:rsidR="00B2463E" w:rsidRPr="00487EC0" w:rsidRDefault="00B2463E" w:rsidP="00B2463E">
            <w:pPr>
              <w:rPr>
                <w:rFonts w:ascii="Jost" w:hAnsi="Jost"/>
                <w:sz w:val="22"/>
                <w:szCs w:val="22"/>
              </w:rPr>
            </w:pPr>
          </w:p>
          <w:p w14:paraId="0445E0F1" w14:textId="77777777" w:rsidR="00B2463E" w:rsidRPr="00487EC0" w:rsidRDefault="00B2463E" w:rsidP="00B2463E">
            <w:pPr>
              <w:rPr>
                <w:rFonts w:ascii="Jost" w:hAnsi="Jost"/>
                <w:sz w:val="22"/>
                <w:szCs w:val="22"/>
              </w:rPr>
            </w:pPr>
          </w:p>
          <w:p w14:paraId="1564EA3F" w14:textId="07D34077" w:rsidR="00B2463E" w:rsidRPr="00487EC0" w:rsidRDefault="00B2463E" w:rsidP="00B2463E">
            <w:pPr>
              <w:rPr>
                <w:rFonts w:ascii="Jost" w:hAnsi="Jost"/>
                <w:sz w:val="22"/>
                <w:szCs w:val="22"/>
              </w:rPr>
            </w:pPr>
            <w:r w:rsidRPr="00487EC0">
              <w:rPr>
                <w:rFonts w:ascii="Jost" w:hAnsi="Jost"/>
                <w:sz w:val="22"/>
                <w:szCs w:val="22"/>
              </w:rPr>
              <w:t xml:space="preserve">Rezultatų pateikimo reikalavimai suformuluoti remiantis </w:t>
            </w:r>
            <w:hyperlink r:id="rId13" w:history="1">
              <w:r w:rsidRPr="00487EC0">
                <w:rPr>
                  <w:rStyle w:val="Hipersaitas"/>
                  <w:rFonts w:ascii="Jost" w:hAnsi="Jost"/>
                  <w:sz w:val="22"/>
                  <w:szCs w:val="22"/>
                </w:rPr>
                <w:t>Mokslinių tyrimų ir eksperimentinės plėtros ir inovacijų (sumaniosios specializacijos) koncepcija</w:t>
              </w:r>
            </w:hyperlink>
            <w:r w:rsidRPr="00487EC0">
              <w:rPr>
                <w:rFonts w:ascii="Jost" w:hAnsi="Jost"/>
                <w:sz w:val="22"/>
                <w:szCs w:val="22"/>
              </w:rPr>
              <w:t>.</w:t>
            </w:r>
          </w:p>
        </w:tc>
      </w:tr>
      <w:tr w:rsidR="00B2463E" w:rsidRPr="00487EC0" w14:paraId="0771C542" w14:textId="77777777" w:rsidTr="001C7CB5">
        <w:tc>
          <w:tcPr>
            <w:tcW w:w="560" w:type="dxa"/>
          </w:tcPr>
          <w:p w14:paraId="11E23A1C" w14:textId="4621B2FD" w:rsidR="00B2463E" w:rsidRPr="00487EC0" w:rsidRDefault="00B2463E" w:rsidP="00B2463E">
            <w:pPr>
              <w:rPr>
                <w:rFonts w:ascii="Jost" w:hAnsi="Jost"/>
                <w:sz w:val="22"/>
                <w:szCs w:val="22"/>
                <w:lang w:eastAsia="lt-LT"/>
              </w:rPr>
            </w:pPr>
            <w:r w:rsidRPr="00487EC0">
              <w:rPr>
                <w:rFonts w:ascii="Jost" w:hAnsi="Jost"/>
                <w:sz w:val="22"/>
                <w:szCs w:val="22"/>
                <w:lang w:eastAsia="lt-LT"/>
              </w:rPr>
              <w:lastRenderedPageBreak/>
              <w:t>13.</w:t>
            </w:r>
          </w:p>
        </w:tc>
        <w:tc>
          <w:tcPr>
            <w:tcW w:w="7301" w:type="dxa"/>
            <w:gridSpan w:val="2"/>
          </w:tcPr>
          <w:p w14:paraId="4E5CD093" w14:textId="77777777" w:rsidR="00B2463E" w:rsidRPr="00487EC0" w:rsidRDefault="00B2463E" w:rsidP="00B2463E">
            <w:pPr>
              <w:pStyle w:val="prastasiniatinklio"/>
              <w:tabs>
                <w:tab w:val="left" w:pos="1276"/>
                <w:tab w:val="left" w:pos="2268"/>
              </w:tabs>
              <w:spacing w:before="0" w:beforeAutospacing="0" w:after="0" w:afterAutospacing="0"/>
              <w:jc w:val="both"/>
              <w:rPr>
                <w:rFonts w:ascii="Jost" w:hAnsi="Jost"/>
                <w:color w:val="000000"/>
                <w:sz w:val="22"/>
                <w:szCs w:val="22"/>
                <w:lang w:val="lt-LT"/>
              </w:rPr>
            </w:pPr>
            <w:r w:rsidRPr="00487EC0">
              <w:rPr>
                <w:rFonts w:ascii="Jost" w:hAnsi="Jost"/>
                <w:color w:val="000000"/>
                <w:sz w:val="22"/>
                <w:szCs w:val="22"/>
                <w:lang w:val="lt-LT"/>
              </w:rPr>
              <w:t>Kompetencijos reikalavimai paslaugos teikėjams.</w:t>
            </w:r>
          </w:p>
          <w:p w14:paraId="59BA6BD8" w14:textId="77777777" w:rsidR="00B2463E" w:rsidRPr="00487EC0" w:rsidRDefault="00B2463E" w:rsidP="007F1EE0">
            <w:pPr>
              <w:pStyle w:val="prastasiniatinklio"/>
              <w:tabs>
                <w:tab w:val="left" w:pos="408"/>
                <w:tab w:val="left" w:pos="1276"/>
                <w:tab w:val="left" w:pos="2268"/>
              </w:tabs>
              <w:spacing w:before="0" w:beforeAutospacing="0" w:after="0" w:afterAutospacing="0"/>
              <w:jc w:val="both"/>
              <w:rPr>
                <w:rFonts w:ascii="Jost" w:hAnsi="Jost"/>
                <w:color w:val="000000"/>
                <w:sz w:val="22"/>
                <w:szCs w:val="22"/>
                <w:lang w:val="lt-LT"/>
              </w:rPr>
            </w:pPr>
            <w:r w:rsidRPr="00487EC0">
              <w:rPr>
                <w:rFonts w:ascii="Jost" w:hAnsi="Jost"/>
                <w:color w:val="000000"/>
                <w:sz w:val="22"/>
                <w:szCs w:val="22"/>
                <w:lang w:val="lt-LT"/>
              </w:rPr>
              <w:t>o</w:t>
            </w:r>
            <w:r w:rsidRPr="00487EC0">
              <w:rPr>
                <w:rFonts w:ascii="Jost" w:hAnsi="Jost"/>
                <w:color w:val="000000"/>
                <w:sz w:val="22"/>
                <w:szCs w:val="22"/>
                <w:lang w:val="lt-LT"/>
              </w:rPr>
              <w:tab/>
              <w:t>Mažiausiai 3 metų patirtis atliekant ekonominius ir inovacijų ekosistemos vertinimus.</w:t>
            </w:r>
          </w:p>
          <w:p w14:paraId="5FC83281" w14:textId="77777777" w:rsidR="00B2463E" w:rsidRPr="00487EC0" w:rsidRDefault="00B2463E" w:rsidP="007F1EE0">
            <w:pPr>
              <w:pStyle w:val="prastasiniatinklio"/>
              <w:tabs>
                <w:tab w:val="left" w:pos="408"/>
                <w:tab w:val="left" w:pos="1276"/>
                <w:tab w:val="left" w:pos="2268"/>
              </w:tabs>
              <w:spacing w:before="0" w:beforeAutospacing="0" w:after="0" w:afterAutospacing="0"/>
              <w:jc w:val="both"/>
              <w:rPr>
                <w:rFonts w:ascii="Jost" w:hAnsi="Jost"/>
                <w:color w:val="000000"/>
                <w:sz w:val="22"/>
                <w:szCs w:val="22"/>
                <w:lang w:val="lt-LT"/>
              </w:rPr>
            </w:pPr>
            <w:r w:rsidRPr="00487EC0">
              <w:rPr>
                <w:rFonts w:ascii="Jost" w:hAnsi="Jost"/>
                <w:color w:val="000000"/>
                <w:sz w:val="22"/>
                <w:szCs w:val="22"/>
                <w:lang w:val="lt-LT"/>
              </w:rPr>
              <w:t>o</w:t>
            </w:r>
            <w:r w:rsidRPr="00487EC0">
              <w:rPr>
                <w:rFonts w:ascii="Jost" w:hAnsi="Jost"/>
                <w:color w:val="000000"/>
                <w:sz w:val="22"/>
                <w:szCs w:val="22"/>
                <w:lang w:val="lt-LT"/>
              </w:rPr>
              <w:tab/>
              <w:t>Patirtis taikant priežastingumo analizės metodus (RDD, IV, PSM, panelinių duomenų modeliai).</w:t>
            </w:r>
          </w:p>
          <w:p w14:paraId="1E46746E" w14:textId="77777777" w:rsidR="00B2463E" w:rsidRPr="00487EC0" w:rsidRDefault="00B2463E" w:rsidP="007F1EE0">
            <w:pPr>
              <w:pStyle w:val="prastasiniatinklio"/>
              <w:tabs>
                <w:tab w:val="left" w:pos="408"/>
                <w:tab w:val="left" w:pos="1276"/>
                <w:tab w:val="left" w:pos="2268"/>
              </w:tabs>
              <w:spacing w:before="0" w:beforeAutospacing="0" w:after="0" w:afterAutospacing="0"/>
              <w:jc w:val="both"/>
              <w:rPr>
                <w:rFonts w:ascii="Jost" w:hAnsi="Jost"/>
                <w:color w:val="000000"/>
                <w:sz w:val="22"/>
                <w:szCs w:val="22"/>
                <w:lang w:val="lt-LT"/>
              </w:rPr>
            </w:pPr>
            <w:r w:rsidRPr="00487EC0">
              <w:rPr>
                <w:rFonts w:ascii="Jost" w:hAnsi="Jost"/>
                <w:color w:val="000000"/>
                <w:sz w:val="22"/>
                <w:szCs w:val="22"/>
                <w:lang w:val="lt-LT"/>
              </w:rPr>
              <w:t>o</w:t>
            </w:r>
            <w:r w:rsidRPr="00487EC0">
              <w:rPr>
                <w:rFonts w:ascii="Jost" w:hAnsi="Jost"/>
                <w:color w:val="000000"/>
                <w:sz w:val="22"/>
                <w:szCs w:val="22"/>
                <w:lang w:val="lt-LT"/>
              </w:rPr>
              <w:tab/>
              <w:t>Bent 2 pagrindiniai ekspertai, turintys daktaro laipsnį ekonomikos, statistikos ar inovacijų politikos srityse.</w:t>
            </w:r>
          </w:p>
          <w:p w14:paraId="2EDBF015" w14:textId="0FED5337" w:rsidR="00B2463E" w:rsidRPr="00487EC0" w:rsidRDefault="00B2463E" w:rsidP="007F1EE0">
            <w:pPr>
              <w:tabs>
                <w:tab w:val="left" w:pos="408"/>
              </w:tabs>
              <w:rPr>
                <w:rFonts w:ascii="Jost" w:hAnsi="Jost"/>
                <w:bCs/>
                <w:sz w:val="22"/>
                <w:szCs w:val="22"/>
              </w:rPr>
            </w:pPr>
            <w:r w:rsidRPr="00487EC0">
              <w:rPr>
                <w:rFonts w:ascii="Jost" w:hAnsi="Jost"/>
                <w:color w:val="000000"/>
                <w:sz w:val="22"/>
                <w:szCs w:val="22"/>
              </w:rPr>
              <w:t>o</w:t>
            </w:r>
            <w:r w:rsidRPr="00487EC0">
              <w:rPr>
                <w:rFonts w:ascii="Jost" w:hAnsi="Jost"/>
                <w:color w:val="000000"/>
                <w:sz w:val="22"/>
                <w:szCs w:val="22"/>
              </w:rPr>
              <w:tab/>
              <w:t>Patirtis dirbant su ES inovacijų finansavimo programomis (pvz., „Horizontas Europa“, „EIC Accelerator“).</w:t>
            </w:r>
          </w:p>
        </w:tc>
        <w:tc>
          <w:tcPr>
            <w:tcW w:w="7302" w:type="dxa"/>
          </w:tcPr>
          <w:p w14:paraId="1E9E21C0" w14:textId="77777777" w:rsidR="00B2463E" w:rsidRPr="00487EC0" w:rsidRDefault="00B2463E" w:rsidP="00B2463E">
            <w:pPr>
              <w:rPr>
                <w:rFonts w:ascii="Jost" w:hAnsi="Jost"/>
                <w:b/>
                <w:bCs/>
                <w:sz w:val="22"/>
                <w:szCs w:val="22"/>
              </w:rPr>
            </w:pPr>
            <w:r w:rsidRPr="00487EC0">
              <w:rPr>
                <w:rFonts w:ascii="Jost" w:hAnsi="Jost"/>
                <w:b/>
                <w:bCs/>
                <w:sz w:val="22"/>
                <w:szCs w:val="22"/>
              </w:rPr>
              <w:t>Neatsižvelgta</w:t>
            </w:r>
          </w:p>
          <w:p w14:paraId="33818224" w14:textId="77777777" w:rsidR="00B2463E" w:rsidRPr="00487EC0" w:rsidRDefault="00B2463E" w:rsidP="00B2463E">
            <w:pPr>
              <w:rPr>
                <w:rFonts w:ascii="Jost" w:hAnsi="Jost"/>
                <w:sz w:val="22"/>
                <w:szCs w:val="22"/>
              </w:rPr>
            </w:pPr>
          </w:p>
          <w:p w14:paraId="0A6A6C2F" w14:textId="77777777" w:rsidR="00B2463E" w:rsidRPr="00487EC0" w:rsidRDefault="00B2463E" w:rsidP="00B2463E">
            <w:pPr>
              <w:rPr>
                <w:rFonts w:ascii="Jost" w:hAnsi="Jost"/>
                <w:sz w:val="22"/>
                <w:szCs w:val="22"/>
              </w:rPr>
            </w:pPr>
            <w:r w:rsidRPr="00487EC0">
              <w:rPr>
                <w:rFonts w:ascii="Jost" w:hAnsi="Jost"/>
                <w:sz w:val="22"/>
                <w:szCs w:val="22"/>
              </w:rPr>
              <w:t xml:space="preserve">Techninėje specifikacijoje numatyta, kokie specialūs būtini reikalavimui keliami ekspertui. </w:t>
            </w:r>
          </w:p>
          <w:p w14:paraId="2FC4F708" w14:textId="77777777" w:rsidR="00B2463E" w:rsidRPr="00487EC0" w:rsidRDefault="00B2463E" w:rsidP="00B2463E">
            <w:pPr>
              <w:rPr>
                <w:rFonts w:ascii="Jost" w:hAnsi="Jost"/>
                <w:sz w:val="22"/>
                <w:szCs w:val="22"/>
              </w:rPr>
            </w:pPr>
          </w:p>
          <w:p w14:paraId="46961A0A" w14:textId="3245AAF9" w:rsidR="00B2463E" w:rsidRPr="00487EC0" w:rsidRDefault="00B2463E" w:rsidP="00B2463E">
            <w:pPr>
              <w:rPr>
                <w:rFonts w:ascii="Jost" w:hAnsi="Jost"/>
                <w:sz w:val="22"/>
                <w:szCs w:val="22"/>
              </w:rPr>
            </w:pPr>
            <w:r w:rsidRPr="00487EC0">
              <w:rPr>
                <w:rFonts w:ascii="Jost" w:hAnsi="Jost"/>
                <w:sz w:val="22"/>
                <w:szCs w:val="22"/>
              </w:rPr>
              <w:t xml:space="preserve"> </w:t>
            </w:r>
          </w:p>
        </w:tc>
      </w:tr>
      <w:tr w:rsidR="00487EC0" w:rsidRPr="00487EC0" w14:paraId="51B6D3E1" w14:textId="77777777" w:rsidTr="001C7CB5">
        <w:tc>
          <w:tcPr>
            <w:tcW w:w="560" w:type="dxa"/>
          </w:tcPr>
          <w:p w14:paraId="25E6E8E7" w14:textId="5734910C" w:rsidR="00487EC0" w:rsidRPr="00487EC0" w:rsidRDefault="00487EC0" w:rsidP="00487EC0">
            <w:pPr>
              <w:rPr>
                <w:rFonts w:ascii="Jost" w:hAnsi="Jost"/>
                <w:sz w:val="22"/>
                <w:szCs w:val="22"/>
                <w:lang w:eastAsia="lt-LT"/>
              </w:rPr>
            </w:pPr>
            <w:r w:rsidRPr="00487EC0">
              <w:rPr>
                <w:rFonts w:ascii="Jost" w:hAnsi="Jost"/>
                <w:sz w:val="22"/>
                <w:szCs w:val="22"/>
                <w:lang w:eastAsia="lt-LT"/>
              </w:rPr>
              <w:t>14.</w:t>
            </w:r>
          </w:p>
        </w:tc>
        <w:tc>
          <w:tcPr>
            <w:tcW w:w="7301" w:type="dxa"/>
            <w:gridSpan w:val="2"/>
          </w:tcPr>
          <w:p w14:paraId="5B5D32DF" w14:textId="77777777" w:rsidR="00487EC0" w:rsidRPr="00487EC0" w:rsidRDefault="00487EC0" w:rsidP="00487EC0">
            <w:pPr>
              <w:pStyle w:val="prastasiniatinklio"/>
              <w:tabs>
                <w:tab w:val="left" w:pos="1276"/>
                <w:tab w:val="left" w:pos="2268"/>
              </w:tabs>
              <w:spacing w:before="0" w:beforeAutospacing="0" w:after="0" w:afterAutospacing="0"/>
              <w:jc w:val="both"/>
              <w:rPr>
                <w:rFonts w:ascii="Jost" w:hAnsi="Jost"/>
                <w:color w:val="000000"/>
                <w:sz w:val="22"/>
                <w:szCs w:val="22"/>
                <w:lang w:val="lt-LT"/>
              </w:rPr>
            </w:pPr>
            <w:r w:rsidRPr="00487EC0">
              <w:rPr>
                <w:rFonts w:ascii="Jost" w:hAnsi="Jost"/>
                <w:color w:val="000000"/>
                <w:sz w:val="22"/>
                <w:szCs w:val="22"/>
                <w:lang w:val="lt-LT"/>
              </w:rPr>
              <w:t>Finansavimo modelis.</w:t>
            </w:r>
          </w:p>
          <w:p w14:paraId="217570CD" w14:textId="77777777" w:rsidR="00487EC0" w:rsidRPr="00487EC0" w:rsidRDefault="00487EC0" w:rsidP="007F1EE0">
            <w:pPr>
              <w:pStyle w:val="prastasiniatinklio"/>
              <w:tabs>
                <w:tab w:val="left" w:pos="336"/>
                <w:tab w:val="left" w:pos="492"/>
                <w:tab w:val="left" w:pos="1276"/>
                <w:tab w:val="left" w:pos="2268"/>
              </w:tabs>
              <w:spacing w:before="0" w:beforeAutospacing="0" w:after="0" w:afterAutospacing="0"/>
              <w:jc w:val="both"/>
              <w:rPr>
                <w:rFonts w:ascii="Jost" w:hAnsi="Jost"/>
                <w:color w:val="000000"/>
                <w:sz w:val="22"/>
                <w:szCs w:val="22"/>
                <w:lang w:val="lt-LT"/>
              </w:rPr>
            </w:pPr>
            <w:r w:rsidRPr="00487EC0">
              <w:rPr>
                <w:rFonts w:ascii="Jost" w:hAnsi="Jost"/>
                <w:color w:val="000000"/>
                <w:sz w:val="22"/>
                <w:szCs w:val="22"/>
                <w:lang w:val="lt-LT"/>
              </w:rPr>
              <w:t>o</w:t>
            </w:r>
            <w:r w:rsidRPr="00487EC0">
              <w:rPr>
                <w:rFonts w:ascii="Jost" w:hAnsi="Jost"/>
                <w:color w:val="000000"/>
                <w:sz w:val="22"/>
                <w:szCs w:val="22"/>
                <w:lang w:val="lt-LT"/>
              </w:rPr>
              <w:tab/>
              <w:t>30% – už pirminę analizę, duomenų rinkimą ir metodologijos parengimą.</w:t>
            </w:r>
          </w:p>
          <w:p w14:paraId="31752F82" w14:textId="77777777" w:rsidR="00487EC0" w:rsidRPr="00487EC0" w:rsidRDefault="00487EC0" w:rsidP="007F1EE0">
            <w:pPr>
              <w:pStyle w:val="prastasiniatinklio"/>
              <w:tabs>
                <w:tab w:val="left" w:pos="336"/>
                <w:tab w:val="left" w:pos="492"/>
                <w:tab w:val="left" w:pos="1276"/>
                <w:tab w:val="left" w:pos="2268"/>
              </w:tabs>
              <w:spacing w:before="0" w:beforeAutospacing="0" w:after="0" w:afterAutospacing="0"/>
              <w:jc w:val="both"/>
              <w:rPr>
                <w:rFonts w:ascii="Jost" w:hAnsi="Jost"/>
                <w:color w:val="000000"/>
                <w:sz w:val="22"/>
                <w:szCs w:val="22"/>
                <w:lang w:val="lt-LT"/>
              </w:rPr>
            </w:pPr>
            <w:r w:rsidRPr="00487EC0">
              <w:rPr>
                <w:rFonts w:ascii="Jost" w:hAnsi="Jost"/>
                <w:color w:val="000000"/>
                <w:sz w:val="22"/>
                <w:szCs w:val="22"/>
                <w:lang w:val="lt-LT"/>
              </w:rPr>
              <w:t>o</w:t>
            </w:r>
            <w:r w:rsidRPr="00487EC0">
              <w:rPr>
                <w:rFonts w:ascii="Jost" w:hAnsi="Jost"/>
                <w:color w:val="000000"/>
                <w:sz w:val="22"/>
                <w:szCs w:val="22"/>
                <w:lang w:val="lt-LT"/>
              </w:rPr>
              <w:tab/>
              <w:t>40% – už duomenų analizę ir priežastingumo metodų taikymą.</w:t>
            </w:r>
          </w:p>
          <w:p w14:paraId="2681BBDD" w14:textId="77AC4931" w:rsidR="00487EC0" w:rsidRPr="00487EC0" w:rsidRDefault="00487EC0" w:rsidP="007F1EE0">
            <w:pPr>
              <w:tabs>
                <w:tab w:val="left" w:pos="336"/>
                <w:tab w:val="left" w:pos="492"/>
              </w:tabs>
              <w:rPr>
                <w:rFonts w:ascii="Jost" w:hAnsi="Jost"/>
                <w:bCs/>
                <w:sz w:val="22"/>
                <w:szCs w:val="22"/>
              </w:rPr>
            </w:pPr>
            <w:r w:rsidRPr="00487EC0">
              <w:rPr>
                <w:rFonts w:ascii="Jost" w:hAnsi="Jost"/>
                <w:color w:val="000000"/>
                <w:sz w:val="22"/>
                <w:szCs w:val="22"/>
              </w:rPr>
              <w:t>o</w:t>
            </w:r>
            <w:r w:rsidRPr="00487EC0">
              <w:rPr>
                <w:rFonts w:ascii="Jost" w:hAnsi="Jost"/>
                <w:color w:val="000000"/>
                <w:sz w:val="22"/>
                <w:szCs w:val="22"/>
              </w:rPr>
              <w:tab/>
              <w:t>30% – po galutinio rekomendacijų dokumento pateikimo ir seminaro surengimo.</w:t>
            </w:r>
          </w:p>
        </w:tc>
        <w:tc>
          <w:tcPr>
            <w:tcW w:w="7302" w:type="dxa"/>
          </w:tcPr>
          <w:p w14:paraId="2780DB22" w14:textId="77777777" w:rsidR="00487EC0" w:rsidRPr="00487EC0" w:rsidRDefault="00487EC0" w:rsidP="00487EC0">
            <w:pPr>
              <w:rPr>
                <w:rFonts w:ascii="Jost" w:hAnsi="Jost"/>
                <w:b/>
                <w:bCs/>
                <w:sz w:val="22"/>
                <w:szCs w:val="22"/>
              </w:rPr>
            </w:pPr>
            <w:r w:rsidRPr="00487EC0">
              <w:rPr>
                <w:rFonts w:ascii="Jost" w:hAnsi="Jost"/>
                <w:b/>
                <w:bCs/>
                <w:sz w:val="22"/>
                <w:szCs w:val="22"/>
              </w:rPr>
              <w:t xml:space="preserve">Neatsižvelgta </w:t>
            </w:r>
          </w:p>
          <w:p w14:paraId="1563646C" w14:textId="77777777" w:rsidR="00487EC0" w:rsidRPr="00487EC0" w:rsidRDefault="00487EC0" w:rsidP="00487EC0">
            <w:pPr>
              <w:rPr>
                <w:rFonts w:ascii="Jost" w:hAnsi="Jost"/>
                <w:sz w:val="22"/>
                <w:szCs w:val="22"/>
              </w:rPr>
            </w:pPr>
          </w:p>
          <w:p w14:paraId="5A10CDDF" w14:textId="21103823" w:rsidR="00487EC0" w:rsidRPr="00487EC0" w:rsidRDefault="00487EC0" w:rsidP="00487EC0">
            <w:pPr>
              <w:rPr>
                <w:rFonts w:ascii="Jost" w:hAnsi="Jost"/>
                <w:sz w:val="22"/>
                <w:szCs w:val="22"/>
              </w:rPr>
            </w:pPr>
            <w:r w:rsidRPr="00487EC0">
              <w:rPr>
                <w:rFonts w:ascii="Jost" w:hAnsi="Jost"/>
                <w:sz w:val="22"/>
                <w:szCs w:val="22"/>
              </w:rPr>
              <w:t xml:space="preserve">Atsiskaitymas už paslaugas numatytas po paslaugų suteikimo. </w:t>
            </w:r>
          </w:p>
        </w:tc>
      </w:tr>
      <w:tr w:rsidR="00487EC0" w:rsidRPr="00487EC0" w14:paraId="5539548B" w14:textId="77777777" w:rsidTr="001C7CB5">
        <w:tc>
          <w:tcPr>
            <w:tcW w:w="560" w:type="dxa"/>
          </w:tcPr>
          <w:p w14:paraId="5B4AAA53" w14:textId="3FE5E3FC" w:rsidR="00487EC0" w:rsidRPr="00487EC0" w:rsidRDefault="00487EC0" w:rsidP="00487EC0">
            <w:pPr>
              <w:rPr>
                <w:rFonts w:ascii="Jost" w:hAnsi="Jost"/>
                <w:sz w:val="22"/>
                <w:szCs w:val="22"/>
                <w:lang w:eastAsia="lt-LT"/>
              </w:rPr>
            </w:pPr>
            <w:r w:rsidRPr="00487EC0">
              <w:rPr>
                <w:rFonts w:ascii="Jost" w:hAnsi="Jost"/>
                <w:sz w:val="22"/>
                <w:szCs w:val="22"/>
                <w:lang w:eastAsia="lt-LT"/>
              </w:rPr>
              <w:t>15.</w:t>
            </w:r>
          </w:p>
        </w:tc>
        <w:tc>
          <w:tcPr>
            <w:tcW w:w="7301" w:type="dxa"/>
            <w:gridSpan w:val="2"/>
          </w:tcPr>
          <w:p w14:paraId="5A75161B" w14:textId="06465356" w:rsidR="00487EC0" w:rsidRPr="00487EC0" w:rsidRDefault="00487EC0" w:rsidP="00487EC0">
            <w:pPr>
              <w:rPr>
                <w:rFonts w:ascii="Jost" w:hAnsi="Jost"/>
                <w:bCs/>
                <w:sz w:val="22"/>
                <w:szCs w:val="22"/>
              </w:rPr>
            </w:pPr>
            <w:r w:rsidRPr="00487EC0">
              <w:rPr>
                <w:rFonts w:ascii="Jost" w:hAnsi="Jost"/>
                <w:color w:val="000000"/>
                <w:sz w:val="22"/>
                <w:szCs w:val="22"/>
              </w:rPr>
              <w:t>Pasirenkant technologijų įžvalgų metodus būtina atsižvelgti, bet neapsiriboti programos „Kurk Lietuvai“ projekto „Technologinių įžvalgų taikymas 2028-2034 m. Sumaniosios specializacijos strategijai“ rezultatais bei įžvalgomis, remtis Ekonominio bendradarbiavimo ir plėtros organizacijos ataskaitomis (pvz. Framework for Anticipatory Governance of Emerging Technologies, 2024).</w:t>
            </w:r>
          </w:p>
        </w:tc>
        <w:tc>
          <w:tcPr>
            <w:tcW w:w="7302" w:type="dxa"/>
          </w:tcPr>
          <w:p w14:paraId="52F7BBB2" w14:textId="77777777" w:rsidR="00487EC0" w:rsidRPr="00487EC0" w:rsidRDefault="00487EC0" w:rsidP="00487EC0">
            <w:pPr>
              <w:rPr>
                <w:rFonts w:ascii="Jost" w:hAnsi="Jost"/>
                <w:b/>
                <w:bCs/>
                <w:sz w:val="22"/>
                <w:szCs w:val="22"/>
              </w:rPr>
            </w:pPr>
            <w:r w:rsidRPr="00487EC0">
              <w:rPr>
                <w:rFonts w:ascii="Jost" w:hAnsi="Jost"/>
                <w:b/>
                <w:bCs/>
                <w:sz w:val="22"/>
                <w:szCs w:val="22"/>
              </w:rPr>
              <w:t>Atsižvelgta iš dalies</w:t>
            </w:r>
          </w:p>
          <w:p w14:paraId="04E87103" w14:textId="77777777" w:rsidR="00487EC0" w:rsidRPr="00487EC0" w:rsidRDefault="00487EC0" w:rsidP="00487EC0">
            <w:pPr>
              <w:rPr>
                <w:rFonts w:ascii="Jost" w:hAnsi="Jost"/>
                <w:sz w:val="22"/>
                <w:szCs w:val="22"/>
              </w:rPr>
            </w:pPr>
          </w:p>
          <w:p w14:paraId="58DDEF7C" w14:textId="64442F4B" w:rsidR="00487EC0" w:rsidRPr="00487EC0" w:rsidRDefault="00487EC0" w:rsidP="00487EC0">
            <w:pPr>
              <w:rPr>
                <w:rFonts w:ascii="Jost" w:hAnsi="Jost"/>
                <w:sz w:val="22"/>
                <w:szCs w:val="22"/>
              </w:rPr>
            </w:pPr>
            <w:r w:rsidRPr="00487EC0">
              <w:rPr>
                <w:rFonts w:ascii="Jost" w:hAnsi="Jost"/>
                <w:sz w:val="22"/>
                <w:szCs w:val="22"/>
              </w:rPr>
              <w:t xml:space="preserve">Įtrauktas siūlymas naudoti Technologijų įžvalgų metodą, tačiau nenumatyta prievolės jį naudoti. Galimi ir kiti metodai, kurie Paslaugos tiekėjo manymu tiks geriausiai atliekant analizę. </w:t>
            </w:r>
          </w:p>
        </w:tc>
      </w:tr>
      <w:tr w:rsidR="00487EC0" w:rsidRPr="00487EC0" w14:paraId="6C7D4B6F" w14:textId="77777777" w:rsidTr="001C7CB5">
        <w:tc>
          <w:tcPr>
            <w:tcW w:w="560" w:type="dxa"/>
          </w:tcPr>
          <w:p w14:paraId="545FBDD0" w14:textId="6C8791F0" w:rsidR="00487EC0" w:rsidRPr="00487EC0" w:rsidRDefault="00487EC0" w:rsidP="00487EC0">
            <w:pPr>
              <w:rPr>
                <w:rFonts w:ascii="Jost" w:hAnsi="Jost"/>
                <w:sz w:val="22"/>
                <w:szCs w:val="22"/>
                <w:lang w:eastAsia="lt-LT"/>
              </w:rPr>
            </w:pPr>
            <w:r w:rsidRPr="00487EC0">
              <w:rPr>
                <w:rFonts w:ascii="Jost" w:hAnsi="Jost"/>
                <w:sz w:val="22"/>
                <w:szCs w:val="22"/>
                <w:lang w:eastAsia="lt-LT"/>
              </w:rPr>
              <w:t>16.</w:t>
            </w:r>
          </w:p>
        </w:tc>
        <w:tc>
          <w:tcPr>
            <w:tcW w:w="7301" w:type="dxa"/>
            <w:gridSpan w:val="2"/>
          </w:tcPr>
          <w:p w14:paraId="7801BA50" w14:textId="26D73AB9" w:rsidR="00487EC0" w:rsidRPr="00487EC0" w:rsidRDefault="00487EC0" w:rsidP="00487EC0">
            <w:pPr>
              <w:rPr>
                <w:rFonts w:ascii="Jost" w:hAnsi="Jost"/>
                <w:bCs/>
                <w:sz w:val="22"/>
                <w:szCs w:val="22"/>
              </w:rPr>
            </w:pPr>
            <w:r w:rsidRPr="00487EC0">
              <w:rPr>
                <w:rFonts w:ascii="Jost" w:hAnsi="Jost"/>
                <w:color w:val="000000"/>
                <w:sz w:val="22"/>
                <w:szCs w:val="22"/>
              </w:rPr>
              <w:t>Siūlymas įtraukti klausimą susijusį su STEP: Kaip MTEPI prioritetai/tematikos siejasi su Europos strateginių technologijų platforma (STEP)?</w:t>
            </w:r>
          </w:p>
        </w:tc>
        <w:tc>
          <w:tcPr>
            <w:tcW w:w="7302" w:type="dxa"/>
          </w:tcPr>
          <w:p w14:paraId="087541F1" w14:textId="77777777" w:rsidR="00487EC0" w:rsidRPr="00487EC0" w:rsidRDefault="00487EC0" w:rsidP="00487EC0">
            <w:pPr>
              <w:rPr>
                <w:rFonts w:ascii="Jost" w:hAnsi="Jost"/>
                <w:b/>
                <w:bCs/>
                <w:sz w:val="22"/>
                <w:szCs w:val="22"/>
              </w:rPr>
            </w:pPr>
            <w:r w:rsidRPr="00487EC0">
              <w:rPr>
                <w:rFonts w:ascii="Jost" w:hAnsi="Jost"/>
                <w:b/>
                <w:bCs/>
                <w:sz w:val="22"/>
                <w:szCs w:val="22"/>
              </w:rPr>
              <w:t>Atsižvelgta</w:t>
            </w:r>
          </w:p>
          <w:p w14:paraId="156F65B6" w14:textId="77777777" w:rsidR="00487EC0" w:rsidRPr="00487EC0" w:rsidRDefault="00487EC0" w:rsidP="00487EC0">
            <w:pPr>
              <w:rPr>
                <w:rFonts w:ascii="Jost" w:hAnsi="Jost"/>
                <w:b/>
                <w:bCs/>
                <w:sz w:val="22"/>
                <w:szCs w:val="22"/>
              </w:rPr>
            </w:pPr>
          </w:p>
          <w:p w14:paraId="6D9DC291" w14:textId="77777777" w:rsidR="00487EC0" w:rsidRPr="00487EC0" w:rsidRDefault="00487EC0" w:rsidP="00487EC0">
            <w:pPr>
              <w:rPr>
                <w:rFonts w:ascii="Jost" w:hAnsi="Jost"/>
                <w:sz w:val="22"/>
                <w:szCs w:val="22"/>
              </w:rPr>
            </w:pPr>
            <w:r w:rsidRPr="00487EC0">
              <w:rPr>
                <w:rFonts w:ascii="Jost" w:hAnsi="Jost"/>
                <w:sz w:val="22"/>
                <w:szCs w:val="22"/>
              </w:rPr>
              <w:t>9.1. punktas papildytas klausimu.</w:t>
            </w:r>
          </w:p>
          <w:p w14:paraId="583E3181" w14:textId="77777777" w:rsidR="00487EC0" w:rsidRPr="00487EC0" w:rsidRDefault="00487EC0" w:rsidP="00487EC0">
            <w:pPr>
              <w:rPr>
                <w:rFonts w:ascii="Jost" w:hAnsi="Jost"/>
                <w:b/>
                <w:bCs/>
                <w:sz w:val="22"/>
                <w:szCs w:val="22"/>
              </w:rPr>
            </w:pPr>
          </w:p>
          <w:p w14:paraId="75558286" w14:textId="599073DB" w:rsidR="00487EC0" w:rsidRPr="00487EC0" w:rsidRDefault="00487EC0" w:rsidP="007F1EE0">
            <w:pPr>
              <w:rPr>
                <w:rFonts w:ascii="Jost" w:hAnsi="Jost"/>
                <w:sz w:val="22"/>
                <w:szCs w:val="22"/>
              </w:rPr>
            </w:pPr>
            <w:r w:rsidRPr="00487EC0">
              <w:rPr>
                <w:rFonts w:ascii="Jost" w:hAnsi="Jost"/>
                <w:i/>
                <w:iCs/>
                <w:sz w:val="22"/>
                <w:szCs w:val="22"/>
              </w:rPr>
              <w:t xml:space="preserve">9.1.11. Kaip MTEPI prioritetai/tematikos siejasi su Europos strateginių technologijų platforma (STEP)? Kiek esami MTEPI prioritetai/tematikos atitinka ypatingos svarbos ir besiformuojančių strateginių technologijų tematikas kaip nustatyta Europos Komisijos 2024 m. gegužės 13 d. komunikato C/2024/3209 „Tam tikrų Reglamento (ES) 2024/795, kuriuo sukuriama Europos strateginių technologijų platforma (STEP), nuostatų gairės“ (toliau – Gairės) 2 punkte? Koks yra Lietuvos potencialas kurti ir (arba) gaminti technologijas, kurios atitiktų bent vieną iš ypatingos svarbos technologijoms keliamų sąlygų, nurodytų Gairių 3 punkte? Ar Lietuva turėtų MTEPI prioritetus/tematikas ir reikalavimus dėl atitikties nustatytiems </w:t>
            </w:r>
            <w:r w:rsidRPr="00487EC0">
              <w:rPr>
                <w:rFonts w:ascii="Jost" w:hAnsi="Jost"/>
                <w:i/>
                <w:iCs/>
                <w:sz w:val="22"/>
                <w:szCs w:val="22"/>
              </w:rPr>
              <w:lastRenderedPageBreak/>
              <w:t>MTEPI prioritetams/tematikoms sulygiagretinti su EK keliamais reikalavimais ypatingos svarbos technologijų kūrimui</w:t>
            </w:r>
            <w:r w:rsidRPr="00487EC0">
              <w:rPr>
                <w:rStyle w:val="Puslapioinaosnuoroda"/>
                <w:rFonts w:ascii="Jost" w:hAnsi="Jost"/>
                <w:i/>
                <w:iCs/>
                <w:sz w:val="22"/>
                <w:szCs w:val="22"/>
              </w:rPr>
              <w:footnoteReference w:id="1"/>
            </w:r>
            <w:r w:rsidRPr="00487EC0">
              <w:rPr>
                <w:rFonts w:ascii="Jost" w:hAnsi="Jost"/>
                <w:i/>
                <w:iCs/>
                <w:sz w:val="22"/>
                <w:szCs w:val="22"/>
              </w:rPr>
              <w:t>?</w:t>
            </w:r>
          </w:p>
        </w:tc>
      </w:tr>
    </w:tbl>
    <w:p w14:paraId="78FE7D07" w14:textId="77777777" w:rsidR="008E0832" w:rsidRPr="00487EC0" w:rsidRDefault="008E0832" w:rsidP="002F4E59">
      <w:pPr>
        <w:jc w:val="center"/>
        <w:rPr>
          <w:rFonts w:ascii="Jost" w:hAnsi="Jost"/>
          <w:sz w:val="22"/>
          <w:szCs w:val="22"/>
        </w:rPr>
      </w:pPr>
    </w:p>
    <w:tbl>
      <w:tblPr>
        <w:tblStyle w:val="Lentelstinklelis"/>
        <w:tblW w:w="15163" w:type="dxa"/>
        <w:tblLook w:val="04A0" w:firstRow="1" w:lastRow="0" w:firstColumn="1" w:lastColumn="0" w:noHBand="0" w:noVBand="1"/>
      </w:tblPr>
      <w:tblGrid>
        <w:gridCol w:w="3823"/>
        <w:gridCol w:w="11340"/>
      </w:tblGrid>
      <w:tr w:rsidR="00FC1346" w:rsidRPr="00487EC0" w14:paraId="33588B88" w14:textId="77777777" w:rsidTr="00605BBC">
        <w:tc>
          <w:tcPr>
            <w:tcW w:w="3823" w:type="dxa"/>
            <w:shd w:val="clear" w:color="auto" w:fill="E2EFD9" w:themeFill="accent6" w:themeFillTint="33"/>
            <w:vAlign w:val="center"/>
          </w:tcPr>
          <w:p w14:paraId="2FDAC0F4" w14:textId="73A63BBE" w:rsidR="00605BBC" w:rsidRPr="00487EC0" w:rsidRDefault="00605BBC" w:rsidP="00605BBC">
            <w:pPr>
              <w:tabs>
                <w:tab w:val="left" w:pos="284"/>
                <w:tab w:val="left" w:pos="709"/>
              </w:tabs>
              <w:contextualSpacing/>
              <w:jc w:val="center"/>
              <w:rPr>
                <w:rFonts w:ascii="Jost" w:hAnsi="Jost"/>
                <w:sz w:val="22"/>
                <w:szCs w:val="22"/>
              </w:rPr>
            </w:pPr>
            <w:r w:rsidRPr="00487EC0">
              <w:rPr>
                <w:rFonts w:ascii="Jost" w:hAnsi="Jost"/>
                <w:b/>
                <w:bCs/>
                <w:sz w:val="22"/>
                <w:szCs w:val="22"/>
              </w:rPr>
              <w:t>IŠVADOS:</w:t>
            </w:r>
          </w:p>
        </w:tc>
        <w:tc>
          <w:tcPr>
            <w:tcW w:w="11340" w:type="dxa"/>
          </w:tcPr>
          <w:p w14:paraId="0C257BF2" w14:textId="77777777" w:rsidR="00605BBC" w:rsidRPr="00487EC0" w:rsidRDefault="00605BBC" w:rsidP="000833DA">
            <w:pPr>
              <w:pStyle w:val="Sraopastraipa"/>
              <w:numPr>
                <w:ilvl w:val="0"/>
                <w:numId w:val="4"/>
              </w:numPr>
              <w:ind w:left="372" w:hanging="226"/>
              <w:rPr>
                <w:rFonts w:ascii="Jost" w:eastAsiaTheme="minorHAnsi" w:hAnsi="Jost"/>
                <w:sz w:val="22"/>
                <w:szCs w:val="22"/>
              </w:rPr>
            </w:pPr>
            <w:r w:rsidRPr="00487EC0">
              <w:rPr>
                <w:rFonts w:ascii="Jost" w:hAnsi="Jost"/>
                <w:i/>
                <w:sz w:val="22"/>
                <w:szCs w:val="22"/>
              </w:rPr>
              <w:t xml:space="preserve">Rinkos konsultacijos metu surinkti duomenys bus naudojami rengiant numatomo vykdyti viešojo pirkimo dokumentus; </w:t>
            </w:r>
          </w:p>
          <w:p w14:paraId="2189824D" w14:textId="1B57A36E" w:rsidR="00605BBC" w:rsidRPr="00487EC0" w:rsidRDefault="00605BBC" w:rsidP="000833DA">
            <w:pPr>
              <w:pStyle w:val="Sraopastraipa"/>
              <w:numPr>
                <w:ilvl w:val="0"/>
                <w:numId w:val="4"/>
              </w:numPr>
              <w:ind w:left="372" w:hanging="226"/>
              <w:rPr>
                <w:rFonts w:ascii="Jost" w:eastAsiaTheme="minorHAnsi" w:hAnsi="Jost"/>
                <w:sz w:val="22"/>
                <w:szCs w:val="22"/>
              </w:rPr>
            </w:pPr>
            <w:r w:rsidRPr="00487EC0">
              <w:rPr>
                <w:rFonts w:ascii="Jost" w:hAnsi="Jost"/>
                <w:i/>
                <w:sz w:val="22"/>
                <w:szCs w:val="22"/>
              </w:rPr>
              <w:t>Rinkos dalyviai, prisijungę prie šios rinkos konsultacijos, bus supažindinami su Rinkos konsultacijos rezultatų apibendrinimo suvestine, kuri bus paskelbta CVP IS priemonėmis kartu su rinkos konsultacija.</w:t>
            </w:r>
          </w:p>
        </w:tc>
      </w:tr>
    </w:tbl>
    <w:p w14:paraId="2EC14BE8" w14:textId="77777777" w:rsidR="005C282A" w:rsidRPr="00487EC0" w:rsidRDefault="005C282A" w:rsidP="006F7D78">
      <w:pPr>
        <w:autoSpaceDE w:val="0"/>
        <w:autoSpaceDN w:val="0"/>
        <w:adjustRightInd w:val="0"/>
        <w:rPr>
          <w:rFonts w:ascii="Jost" w:eastAsiaTheme="minorHAnsi" w:hAnsi="Jost"/>
          <w:sz w:val="22"/>
          <w:szCs w:val="22"/>
        </w:rPr>
      </w:pPr>
    </w:p>
    <w:p w14:paraId="1F94C43A" w14:textId="43E67D0D" w:rsidR="006F7D78" w:rsidRPr="00487EC0" w:rsidRDefault="006F7D78" w:rsidP="00B02CAA">
      <w:pPr>
        <w:autoSpaceDE w:val="0"/>
        <w:autoSpaceDN w:val="0"/>
        <w:adjustRightInd w:val="0"/>
        <w:rPr>
          <w:rFonts w:ascii="Jost" w:eastAsiaTheme="minorHAnsi" w:hAnsi="Jost"/>
          <w:sz w:val="22"/>
          <w:szCs w:val="22"/>
        </w:rPr>
      </w:pPr>
      <w:r w:rsidRPr="00487EC0">
        <w:rPr>
          <w:rFonts w:ascii="Jost" w:eastAsiaTheme="minorHAnsi" w:hAnsi="Jost"/>
          <w:sz w:val="22"/>
          <w:szCs w:val="22"/>
        </w:rPr>
        <w:t>Perkančioji organizacija artimiausiu metu planuoja skelbti skelbimą apie pirkimą. Prašome sekti informaciją Centriniame viešųjų pirkimų portale</w:t>
      </w:r>
      <w:r w:rsidR="00B02CAA" w:rsidRPr="00487EC0">
        <w:rPr>
          <w:rFonts w:ascii="Jost" w:eastAsiaTheme="minorHAnsi" w:hAnsi="Jost"/>
          <w:sz w:val="22"/>
          <w:szCs w:val="22"/>
        </w:rPr>
        <w:t xml:space="preserve"> </w:t>
      </w:r>
      <w:r w:rsidRPr="00487EC0">
        <w:rPr>
          <w:rFonts w:ascii="Jost" w:eastAsiaTheme="minorHAnsi" w:hAnsi="Jost"/>
          <w:sz w:val="22"/>
          <w:szCs w:val="22"/>
        </w:rPr>
        <w:t>(</w:t>
      </w:r>
      <w:hyperlink r:id="rId14" w:history="1">
        <w:r w:rsidRPr="00487EC0">
          <w:rPr>
            <w:rStyle w:val="Hipersaitas"/>
            <w:rFonts w:ascii="Jost" w:eastAsiaTheme="minorHAnsi" w:hAnsi="Jost"/>
            <w:color w:val="auto"/>
            <w:sz w:val="22"/>
            <w:szCs w:val="22"/>
          </w:rPr>
          <w:t>www.cvpp.lt</w:t>
        </w:r>
      </w:hyperlink>
      <w:r w:rsidRPr="00487EC0">
        <w:rPr>
          <w:rFonts w:ascii="Jost" w:eastAsiaTheme="minorHAnsi" w:hAnsi="Jost"/>
          <w:sz w:val="22"/>
          <w:szCs w:val="22"/>
        </w:rPr>
        <w:t>).</w:t>
      </w:r>
    </w:p>
    <w:p w14:paraId="4BAFED55" w14:textId="5A94F556" w:rsidR="00F93420" w:rsidRPr="00487EC0" w:rsidRDefault="00F93420" w:rsidP="003678B0">
      <w:pPr>
        <w:jc w:val="center"/>
        <w:rPr>
          <w:rFonts w:ascii="Jost" w:hAnsi="Jost"/>
          <w:b/>
          <w:sz w:val="22"/>
          <w:szCs w:val="22"/>
        </w:rPr>
      </w:pPr>
      <w:r w:rsidRPr="00487EC0">
        <w:rPr>
          <w:rFonts w:ascii="Jost" w:hAnsi="Jost"/>
          <w:b/>
          <w:sz w:val="22"/>
          <w:szCs w:val="22"/>
        </w:rPr>
        <w:t>_________________</w:t>
      </w:r>
    </w:p>
    <w:sectPr w:rsidR="00F93420" w:rsidRPr="00487EC0" w:rsidSect="004975B3">
      <w:headerReference w:type="default" r:id="rId15"/>
      <w:footerReference w:type="default" r:id="rId16"/>
      <w:pgSz w:w="16838" w:h="11906" w:orient="landscape"/>
      <w:pgMar w:top="1418"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A9CA9" w14:textId="77777777" w:rsidR="00427763" w:rsidRDefault="00427763" w:rsidP="00794BCE">
      <w:r>
        <w:separator/>
      </w:r>
    </w:p>
  </w:endnote>
  <w:endnote w:type="continuationSeparator" w:id="0">
    <w:p w14:paraId="36398254" w14:textId="77777777" w:rsidR="00427763" w:rsidRDefault="00427763"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st">
    <w:altName w:val="Cambria"/>
    <w:charset w:val="BA"/>
    <w:family w:val="auto"/>
    <w:pitch w:val="variable"/>
    <w:sig w:usb0="A00002EF" w:usb1="0000205B" w:usb2="0000001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242790"/>
      <w:docPartObj>
        <w:docPartGallery w:val="Page Numbers (Bottom of Page)"/>
        <w:docPartUnique/>
      </w:docPartObj>
    </w:sdtPr>
    <w:sdtEndPr>
      <w:rPr>
        <w:sz w:val="22"/>
        <w:szCs w:val="18"/>
      </w:rPr>
    </w:sdtEndPr>
    <w:sdtContent>
      <w:p w14:paraId="7DB21675" w14:textId="65378A09" w:rsidR="008748B4" w:rsidRPr="008748B4" w:rsidRDefault="008748B4">
        <w:pPr>
          <w:pStyle w:val="Porat"/>
          <w:jc w:val="center"/>
          <w:rPr>
            <w:sz w:val="22"/>
            <w:szCs w:val="18"/>
          </w:rPr>
        </w:pPr>
        <w:r w:rsidRPr="008748B4">
          <w:rPr>
            <w:sz w:val="22"/>
            <w:szCs w:val="18"/>
          </w:rPr>
          <w:fldChar w:fldCharType="begin"/>
        </w:r>
        <w:r w:rsidRPr="008748B4">
          <w:rPr>
            <w:sz w:val="22"/>
            <w:szCs w:val="18"/>
          </w:rPr>
          <w:instrText>PAGE   \* MERGEFORMAT</w:instrText>
        </w:r>
        <w:r w:rsidRPr="008748B4">
          <w:rPr>
            <w:sz w:val="22"/>
            <w:szCs w:val="18"/>
          </w:rPr>
          <w:fldChar w:fldCharType="separate"/>
        </w:r>
        <w:r w:rsidRPr="008748B4">
          <w:rPr>
            <w:sz w:val="22"/>
            <w:szCs w:val="18"/>
          </w:rPr>
          <w:t>2</w:t>
        </w:r>
        <w:r w:rsidRPr="008748B4">
          <w:rPr>
            <w:sz w:val="22"/>
            <w:szCs w:val="18"/>
          </w:rPr>
          <w:fldChar w:fldCharType="end"/>
        </w:r>
      </w:p>
    </w:sdtContent>
  </w:sdt>
  <w:p w14:paraId="1A02E27A" w14:textId="77777777" w:rsidR="008748B4" w:rsidRDefault="008748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52AC9" w14:textId="77777777" w:rsidR="00427763" w:rsidRDefault="00427763" w:rsidP="00794BCE">
      <w:r>
        <w:separator/>
      </w:r>
    </w:p>
  </w:footnote>
  <w:footnote w:type="continuationSeparator" w:id="0">
    <w:p w14:paraId="53954A86" w14:textId="77777777" w:rsidR="00427763" w:rsidRDefault="00427763" w:rsidP="00794BCE">
      <w:r>
        <w:continuationSeparator/>
      </w:r>
    </w:p>
  </w:footnote>
  <w:footnote w:id="1">
    <w:p w14:paraId="023A5133" w14:textId="77777777" w:rsidR="00487EC0" w:rsidRPr="007F1EE0" w:rsidRDefault="00487EC0" w:rsidP="007F1EE0">
      <w:pPr>
        <w:pStyle w:val="Puslapioinaostekstas"/>
        <w:jc w:val="both"/>
        <w:rPr>
          <w:rFonts w:ascii="Jost" w:hAnsi="Jost"/>
          <w:i w:val="0"/>
          <w:iCs w:val="0"/>
          <w:color w:val="auto"/>
          <w:sz w:val="16"/>
          <w:szCs w:val="22"/>
          <w:lang w:val="lt-LT"/>
        </w:rPr>
      </w:pPr>
      <w:r>
        <w:rPr>
          <w:rStyle w:val="Puslapioinaosnuoroda"/>
        </w:rPr>
        <w:footnoteRef/>
      </w:r>
      <w:r>
        <w:t xml:space="preserve"> </w:t>
      </w:r>
      <w:r w:rsidRPr="007F1EE0">
        <w:rPr>
          <w:rFonts w:ascii="Jost" w:hAnsi="Jost"/>
          <w:bCs/>
          <w:i w:val="0"/>
          <w:iCs w:val="0"/>
          <w:color w:val="auto"/>
          <w:sz w:val="20"/>
          <w:lang w:val="lt-LT"/>
        </w:rPr>
        <w:t>Paaiškinimas: Europos strateginių technologijų platformos (toliau – STEP) tikslas – remti ypatingos svarbos technologijų gamybą trijuose su žaliąja ir skaitmenine pertvarka susijusiuose sektoriuose: skaitmeninių technologijų ir giliųjų technologijų inovacijų, švarių ir efektyviai išteklius naudojančių technologijų ir biotechnologijų. STEP nustatytas 2024 m. vasario 29 d. Europos Parlamento ir Tarybos reglamentu (ES) 2024/795, kuriuo sukuriama Europos strateginių technologijų platforma (STEP) ir iš dalies keičiami Direktyva 2003/87/EB bei reglamentai (ES) 2021/1058, (ES) 2021/1056, (ES) 2021/1057, (ES) Nr. 1303/2013, (ES) Nr. 223/2014, (ES) 2021/1060, (ES) 2021/523, (ES) 2021/695, (ES) 2021/697 ir (ES) 2021/241, detalizuojama Gairėse.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41FC" w14:textId="4FA84729" w:rsidR="00824A8C" w:rsidRPr="00824A8C" w:rsidRDefault="0041446D" w:rsidP="0041446D">
    <w:pPr>
      <w:pStyle w:val="Antrats"/>
      <w:ind w:right="-284"/>
      <w:jc w:val="left"/>
      <w:rPr>
        <w:rFonts w:ascii="Jost" w:hAnsi="Jost"/>
        <w:sz w:val="22"/>
        <w:szCs w:val="18"/>
      </w:rPr>
    </w:pPr>
    <w:r w:rsidRPr="00352C13">
      <w:rPr>
        <w:noProof/>
      </w:rPr>
      <w:drawing>
        <wp:inline distT="0" distB="0" distL="0" distR="0" wp14:anchorId="05BECFF5" wp14:editId="043C983D">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7600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E979F8"/>
    <w:multiLevelType w:val="hybridMultilevel"/>
    <w:tmpl w:val="E1C49AB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AD76DB"/>
    <w:multiLevelType w:val="hybridMultilevel"/>
    <w:tmpl w:val="DCFAF924"/>
    <w:lvl w:ilvl="0" w:tplc="02FA9204">
      <w:start w:val="1"/>
      <w:numFmt w:val="decimal"/>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B7A8A"/>
    <w:multiLevelType w:val="hybridMultilevel"/>
    <w:tmpl w:val="08DE8964"/>
    <w:lvl w:ilvl="0" w:tplc="577A73E4">
      <w:start w:val="1"/>
      <w:numFmt w:val="decimal"/>
      <w:suff w:val="space"/>
      <w:lvlText w:val="%1."/>
      <w:lvlJc w:val="left"/>
      <w:pPr>
        <w:ind w:left="0" w:firstLine="0"/>
      </w:pPr>
      <w:rPr>
        <w:rFonts w:hint="default"/>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937375"/>
    <w:multiLevelType w:val="hybridMultilevel"/>
    <w:tmpl w:val="92368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4F6FCD"/>
    <w:multiLevelType w:val="hybridMultilevel"/>
    <w:tmpl w:val="CDA25728"/>
    <w:lvl w:ilvl="0" w:tplc="EDEC010C">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9210DD3E">
      <w:numFmt w:val="bullet"/>
      <w:lvlText w:val="o"/>
      <w:lvlJc w:val="left"/>
      <w:pPr>
        <w:ind w:left="830" w:hanging="576"/>
      </w:pPr>
      <w:rPr>
        <w:rFonts w:ascii="Times New Roman" w:eastAsia="Times New Roman" w:hAnsi="Times New Roman" w:cs="Times New Roman" w:hint="default"/>
        <w:b w:val="0"/>
        <w:bCs w:val="0"/>
        <w:i w:val="0"/>
        <w:iCs w:val="0"/>
        <w:spacing w:val="0"/>
        <w:w w:val="100"/>
        <w:sz w:val="24"/>
        <w:szCs w:val="24"/>
        <w:lang w:val="lt-LT" w:eastAsia="en-US" w:bidi="ar-SA"/>
      </w:rPr>
    </w:lvl>
    <w:lvl w:ilvl="2" w:tplc="30EC3A4E">
      <w:numFmt w:val="bullet"/>
      <w:lvlText w:val="-"/>
      <w:lvlJc w:val="left"/>
      <w:pPr>
        <w:ind w:left="1994" w:hanging="718"/>
      </w:pPr>
      <w:rPr>
        <w:rFonts w:ascii="Times New Roman" w:eastAsia="Times New Roman" w:hAnsi="Times New Roman" w:cs="Times New Roman" w:hint="default"/>
        <w:b w:val="0"/>
        <w:bCs w:val="0"/>
        <w:i w:val="0"/>
        <w:iCs w:val="0"/>
        <w:spacing w:val="0"/>
        <w:w w:val="100"/>
        <w:sz w:val="24"/>
        <w:szCs w:val="24"/>
        <w:lang w:val="lt-LT" w:eastAsia="en-US" w:bidi="ar-SA"/>
      </w:rPr>
    </w:lvl>
    <w:lvl w:ilvl="3" w:tplc="50D8F01C">
      <w:numFmt w:val="bullet"/>
      <w:lvlText w:val="•"/>
      <w:lvlJc w:val="left"/>
      <w:pPr>
        <w:ind w:left="4177" w:hanging="718"/>
      </w:pPr>
      <w:rPr>
        <w:rFonts w:hint="default"/>
        <w:lang w:val="lt-LT" w:eastAsia="en-US" w:bidi="ar-SA"/>
      </w:rPr>
    </w:lvl>
    <w:lvl w:ilvl="4" w:tplc="F272B6D2">
      <w:numFmt w:val="bullet"/>
      <w:lvlText w:val="•"/>
      <w:lvlJc w:val="left"/>
      <w:pPr>
        <w:ind w:left="4916" w:hanging="718"/>
      </w:pPr>
      <w:rPr>
        <w:rFonts w:hint="default"/>
        <w:lang w:val="lt-LT" w:eastAsia="en-US" w:bidi="ar-SA"/>
      </w:rPr>
    </w:lvl>
    <w:lvl w:ilvl="5" w:tplc="4A4A487E">
      <w:numFmt w:val="bullet"/>
      <w:lvlText w:val="•"/>
      <w:lvlJc w:val="left"/>
      <w:pPr>
        <w:ind w:left="5654" w:hanging="718"/>
      </w:pPr>
      <w:rPr>
        <w:rFonts w:hint="default"/>
        <w:lang w:val="lt-LT" w:eastAsia="en-US" w:bidi="ar-SA"/>
      </w:rPr>
    </w:lvl>
    <w:lvl w:ilvl="6" w:tplc="6FC8BE02">
      <w:numFmt w:val="bullet"/>
      <w:lvlText w:val="•"/>
      <w:lvlJc w:val="left"/>
      <w:pPr>
        <w:ind w:left="6393" w:hanging="718"/>
      </w:pPr>
      <w:rPr>
        <w:rFonts w:hint="default"/>
        <w:lang w:val="lt-LT" w:eastAsia="en-US" w:bidi="ar-SA"/>
      </w:rPr>
    </w:lvl>
    <w:lvl w:ilvl="7" w:tplc="E534814E">
      <w:numFmt w:val="bullet"/>
      <w:lvlText w:val="•"/>
      <w:lvlJc w:val="left"/>
      <w:pPr>
        <w:ind w:left="7132" w:hanging="718"/>
      </w:pPr>
      <w:rPr>
        <w:rFonts w:hint="default"/>
        <w:lang w:val="lt-LT" w:eastAsia="en-US" w:bidi="ar-SA"/>
      </w:rPr>
    </w:lvl>
    <w:lvl w:ilvl="8" w:tplc="1C6EFF34">
      <w:numFmt w:val="bullet"/>
      <w:lvlText w:val="•"/>
      <w:lvlJc w:val="left"/>
      <w:pPr>
        <w:ind w:left="7870" w:hanging="718"/>
      </w:pPr>
      <w:rPr>
        <w:rFonts w:hint="default"/>
        <w:lang w:val="lt-LT" w:eastAsia="en-US" w:bidi="ar-SA"/>
      </w:rPr>
    </w:lvl>
  </w:abstractNum>
  <w:abstractNum w:abstractNumId="7"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DD264A"/>
    <w:multiLevelType w:val="hybridMultilevel"/>
    <w:tmpl w:val="4B00A86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1AA5710"/>
    <w:multiLevelType w:val="hybridMultilevel"/>
    <w:tmpl w:val="11D8D664"/>
    <w:lvl w:ilvl="0" w:tplc="6F7A25FC">
      <w:start w:val="1"/>
      <w:numFmt w:val="decimal"/>
      <w:lvlText w:val="%1."/>
      <w:lvlJc w:val="left"/>
      <w:pPr>
        <w:ind w:left="830" w:hanging="360"/>
      </w:pPr>
      <w:rPr>
        <w:rFonts w:ascii="Jost" w:eastAsia="Times New Roman" w:hAnsi="Jost" w:cs="Times New Roman" w:hint="default"/>
        <w:b w:val="0"/>
        <w:bCs w:val="0"/>
        <w:i w:val="0"/>
        <w:iCs w:val="0"/>
        <w:spacing w:val="0"/>
        <w:w w:val="100"/>
        <w:sz w:val="22"/>
        <w:szCs w:val="22"/>
        <w:lang w:val="lt-LT" w:eastAsia="en-US" w:bidi="ar-SA"/>
      </w:rPr>
    </w:lvl>
    <w:lvl w:ilvl="1" w:tplc="EFD08226">
      <w:numFmt w:val="bullet"/>
      <w:lvlText w:val="•"/>
      <w:lvlJc w:val="left"/>
      <w:pPr>
        <w:ind w:left="1690" w:hanging="360"/>
      </w:pPr>
      <w:rPr>
        <w:rFonts w:hint="default"/>
        <w:lang w:val="lt-LT" w:eastAsia="en-US" w:bidi="ar-SA"/>
      </w:rPr>
    </w:lvl>
    <w:lvl w:ilvl="2" w:tplc="6194BE5C">
      <w:numFmt w:val="bullet"/>
      <w:lvlText w:val="•"/>
      <w:lvlJc w:val="left"/>
      <w:pPr>
        <w:ind w:left="2541" w:hanging="360"/>
      </w:pPr>
      <w:rPr>
        <w:rFonts w:hint="default"/>
        <w:lang w:val="lt-LT" w:eastAsia="en-US" w:bidi="ar-SA"/>
      </w:rPr>
    </w:lvl>
    <w:lvl w:ilvl="3" w:tplc="7F4E723A">
      <w:numFmt w:val="bullet"/>
      <w:lvlText w:val="•"/>
      <w:lvlJc w:val="left"/>
      <w:pPr>
        <w:ind w:left="3392" w:hanging="360"/>
      </w:pPr>
      <w:rPr>
        <w:rFonts w:hint="default"/>
        <w:lang w:val="lt-LT" w:eastAsia="en-US" w:bidi="ar-SA"/>
      </w:rPr>
    </w:lvl>
    <w:lvl w:ilvl="4" w:tplc="8624BDDC">
      <w:numFmt w:val="bullet"/>
      <w:lvlText w:val="•"/>
      <w:lvlJc w:val="left"/>
      <w:pPr>
        <w:ind w:left="4243" w:hanging="360"/>
      </w:pPr>
      <w:rPr>
        <w:rFonts w:hint="default"/>
        <w:lang w:val="lt-LT" w:eastAsia="en-US" w:bidi="ar-SA"/>
      </w:rPr>
    </w:lvl>
    <w:lvl w:ilvl="5" w:tplc="5C7EA9DE">
      <w:numFmt w:val="bullet"/>
      <w:lvlText w:val="•"/>
      <w:lvlJc w:val="left"/>
      <w:pPr>
        <w:ind w:left="5094" w:hanging="360"/>
      </w:pPr>
      <w:rPr>
        <w:rFonts w:hint="default"/>
        <w:lang w:val="lt-LT" w:eastAsia="en-US" w:bidi="ar-SA"/>
      </w:rPr>
    </w:lvl>
    <w:lvl w:ilvl="6" w:tplc="5AD049B0">
      <w:numFmt w:val="bullet"/>
      <w:lvlText w:val="•"/>
      <w:lvlJc w:val="left"/>
      <w:pPr>
        <w:ind w:left="5944" w:hanging="360"/>
      </w:pPr>
      <w:rPr>
        <w:rFonts w:hint="default"/>
        <w:lang w:val="lt-LT" w:eastAsia="en-US" w:bidi="ar-SA"/>
      </w:rPr>
    </w:lvl>
    <w:lvl w:ilvl="7" w:tplc="693C9038">
      <w:numFmt w:val="bullet"/>
      <w:lvlText w:val="•"/>
      <w:lvlJc w:val="left"/>
      <w:pPr>
        <w:ind w:left="6795" w:hanging="360"/>
      </w:pPr>
      <w:rPr>
        <w:rFonts w:hint="default"/>
        <w:lang w:val="lt-LT" w:eastAsia="en-US" w:bidi="ar-SA"/>
      </w:rPr>
    </w:lvl>
    <w:lvl w:ilvl="8" w:tplc="413ABEB0">
      <w:numFmt w:val="bullet"/>
      <w:lvlText w:val="•"/>
      <w:lvlJc w:val="left"/>
      <w:pPr>
        <w:ind w:left="7646" w:hanging="360"/>
      </w:pPr>
      <w:rPr>
        <w:rFonts w:hint="default"/>
        <w:lang w:val="lt-LT" w:eastAsia="en-US" w:bidi="ar-SA"/>
      </w:rPr>
    </w:lvl>
  </w:abstractNum>
  <w:abstractNum w:abstractNumId="10" w15:restartNumberingAfterBreak="0">
    <w:nsid w:val="4ACF2839"/>
    <w:multiLevelType w:val="hybridMultilevel"/>
    <w:tmpl w:val="774E8F48"/>
    <w:lvl w:ilvl="0" w:tplc="42FE6E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6B0585E"/>
    <w:multiLevelType w:val="hybridMultilevel"/>
    <w:tmpl w:val="AACA817A"/>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CEA363C"/>
    <w:multiLevelType w:val="hybridMultilevel"/>
    <w:tmpl w:val="CC86A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7108FD"/>
    <w:multiLevelType w:val="hybridMultilevel"/>
    <w:tmpl w:val="B546E4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C7B7560"/>
    <w:multiLevelType w:val="hybridMultilevel"/>
    <w:tmpl w:val="9A22A8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FDD2DEF"/>
    <w:multiLevelType w:val="hybridMultilevel"/>
    <w:tmpl w:val="C2D4C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5607107">
    <w:abstractNumId w:val="7"/>
  </w:num>
  <w:num w:numId="2" w16cid:durableId="1135560581">
    <w:abstractNumId w:val="1"/>
  </w:num>
  <w:num w:numId="3" w16cid:durableId="490294884">
    <w:abstractNumId w:val="15"/>
  </w:num>
  <w:num w:numId="4" w16cid:durableId="15154896">
    <w:abstractNumId w:val="12"/>
  </w:num>
  <w:num w:numId="5" w16cid:durableId="1717389553">
    <w:abstractNumId w:val="0"/>
  </w:num>
  <w:num w:numId="6" w16cid:durableId="451287927">
    <w:abstractNumId w:val="9"/>
  </w:num>
  <w:num w:numId="7" w16cid:durableId="1715615039">
    <w:abstractNumId w:val="6"/>
  </w:num>
  <w:num w:numId="8" w16cid:durableId="437213509">
    <w:abstractNumId w:val="17"/>
  </w:num>
  <w:num w:numId="9" w16cid:durableId="1747992762">
    <w:abstractNumId w:val="11"/>
  </w:num>
  <w:num w:numId="10" w16cid:durableId="102238445">
    <w:abstractNumId w:val="3"/>
  </w:num>
  <w:num w:numId="11" w16cid:durableId="1296833117">
    <w:abstractNumId w:val="4"/>
  </w:num>
  <w:num w:numId="12" w16cid:durableId="129902242">
    <w:abstractNumId w:val="13"/>
  </w:num>
  <w:num w:numId="13" w16cid:durableId="57873000">
    <w:abstractNumId w:val="14"/>
  </w:num>
  <w:num w:numId="14" w16cid:durableId="1785073656">
    <w:abstractNumId w:val="5"/>
  </w:num>
  <w:num w:numId="15" w16cid:durableId="468404162">
    <w:abstractNumId w:val="10"/>
  </w:num>
  <w:num w:numId="16" w16cid:durableId="1353410144">
    <w:abstractNumId w:val="16"/>
  </w:num>
  <w:num w:numId="17" w16cid:durableId="588739519">
    <w:abstractNumId w:val="8"/>
  </w:num>
  <w:num w:numId="18" w16cid:durableId="5183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10385"/>
    <w:rsid w:val="00013303"/>
    <w:rsid w:val="00016BAF"/>
    <w:rsid w:val="000179DD"/>
    <w:rsid w:val="00017E09"/>
    <w:rsid w:val="00020E3E"/>
    <w:rsid w:val="00023FB9"/>
    <w:rsid w:val="000341E1"/>
    <w:rsid w:val="000544A1"/>
    <w:rsid w:val="000776FD"/>
    <w:rsid w:val="000833DA"/>
    <w:rsid w:val="000876D5"/>
    <w:rsid w:val="00090803"/>
    <w:rsid w:val="00091709"/>
    <w:rsid w:val="00096896"/>
    <w:rsid w:val="000A2589"/>
    <w:rsid w:val="000A2AAC"/>
    <w:rsid w:val="000A6803"/>
    <w:rsid w:val="000B1CA4"/>
    <w:rsid w:val="000B3E49"/>
    <w:rsid w:val="000C03AD"/>
    <w:rsid w:val="000C451F"/>
    <w:rsid w:val="000C612F"/>
    <w:rsid w:val="000D39DA"/>
    <w:rsid w:val="000E14CA"/>
    <w:rsid w:val="000E2AFD"/>
    <w:rsid w:val="000E7FE7"/>
    <w:rsid w:val="000F57BB"/>
    <w:rsid w:val="00102DAC"/>
    <w:rsid w:val="00102E51"/>
    <w:rsid w:val="001062C7"/>
    <w:rsid w:val="00107A7F"/>
    <w:rsid w:val="0011137B"/>
    <w:rsid w:val="0013031E"/>
    <w:rsid w:val="00131C9F"/>
    <w:rsid w:val="001472F1"/>
    <w:rsid w:val="00151FC0"/>
    <w:rsid w:val="0015357D"/>
    <w:rsid w:val="001536FD"/>
    <w:rsid w:val="00180F4E"/>
    <w:rsid w:val="0018156A"/>
    <w:rsid w:val="0018206C"/>
    <w:rsid w:val="00193607"/>
    <w:rsid w:val="00193FA5"/>
    <w:rsid w:val="00195E1A"/>
    <w:rsid w:val="001963EB"/>
    <w:rsid w:val="001A6A85"/>
    <w:rsid w:val="001B1D6A"/>
    <w:rsid w:val="001C2EE7"/>
    <w:rsid w:val="001C42D3"/>
    <w:rsid w:val="001C7CB5"/>
    <w:rsid w:val="001D1970"/>
    <w:rsid w:val="001D270D"/>
    <w:rsid w:val="001D6382"/>
    <w:rsid w:val="001D7CD3"/>
    <w:rsid w:val="001F4DE7"/>
    <w:rsid w:val="001F566C"/>
    <w:rsid w:val="001F6DAD"/>
    <w:rsid w:val="001F7875"/>
    <w:rsid w:val="001F7F98"/>
    <w:rsid w:val="00207E12"/>
    <w:rsid w:val="002113A1"/>
    <w:rsid w:val="00213165"/>
    <w:rsid w:val="00213F62"/>
    <w:rsid w:val="00220D4F"/>
    <w:rsid w:val="00222562"/>
    <w:rsid w:val="00222621"/>
    <w:rsid w:val="002255A9"/>
    <w:rsid w:val="00230D3E"/>
    <w:rsid w:val="00231A90"/>
    <w:rsid w:val="00232A77"/>
    <w:rsid w:val="00233B81"/>
    <w:rsid w:val="00236E28"/>
    <w:rsid w:val="00247FC5"/>
    <w:rsid w:val="00250A08"/>
    <w:rsid w:val="0025657F"/>
    <w:rsid w:val="002637A6"/>
    <w:rsid w:val="00265602"/>
    <w:rsid w:val="00271E03"/>
    <w:rsid w:val="00282362"/>
    <w:rsid w:val="00287012"/>
    <w:rsid w:val="00291761"/>
    <w:rsid w:val="00295106"/>
    <w:rsid w:val="002A10A4"/>
    <w:rsid w:val="002A2A4C"/>
    <w:rsid w:val="002A3D61"/>
    <w:rsid w:val="002A7F42"/>
    <w:rsid w:val="002B76DC"/>
    <w:rsid w:val="002C34E1"/>
    <w:rsid w:val="002C4F84"/>
    <w:rsid w:val="002C62F8"/>
    <w:rsid w:val="002C6F99"/>
    <w:rsid w:val="002D10D1"/>
    <w:rsid w:val="002D1EF2"/>
    <w:rsid w:val="002D2C21"/>
    <w:rsid w:val="002D37CD"/>
    <w:rsid w:val="002D6CEA"/>
    <w:rsid w:val="002E0610"/>
    <w:rsid w:val="002E102F"/>
    <w:rsid w:val="002E392A"/>
    <w:rsid w:val="002E6E16"/>
    <w:rsid w:val="002F0468"/>
    <w:rsid w:val="002F4E59"/>
    <w:rsid w:val="002F6436"/>
    <w:rsid w:val="0030452B"/>
    <w:rsid w:val="00310341"/>
    <w:rsid w:val="0031749C"/>
    <w:rsid w:val="003253DC"/>
    <w:rsid w:val="00326C7F"/>
    <w:rsid w:val="00326D0E"/>
    <w:rsid w:val="00333AF7"/>
    <w:rsid w:val="00337AF5"/>
    <w:rsid w:val="00344AEC"/>
    <w:rsid w:val="003558F5"/>
    <w:rsid w:val="00356782"/>
    <w:rsid w:val="003678B0"/>
    <w:rsid w:val="00374868"/>
    <w:rsid w:val="00382678"/>
    <w:rsid w:val="0038389C"/>
    <w:rsid w:val="003A2F99"/>
    <w:rsid w:val="003A5105"/>
    <w:rsid w:val="003A568D"/>
    <w:rsid w:val="003C5D68"/>
    <w:rsid w:val="003D32CE"/>
    <w:rsid w:val="003E1D39"/>
    <w:rsid w:val="003E2E85"/>
    <w:rsid w:val="003E3685"/>
    <w:rsid w:val="003E4E9E"/>
    <w:rsid w:val="003F1A03"/>
    <w:rsid w:val="004022FD"/>
    <w:rsid w:val="0040394C"/>
    <w:rsid w:val="00405678"/>
    <w:rsid w:val="00405988"/>
    <w:rsid w:val="00411102"/>
    <w:rsid w:val="0041199D"/>
    <w:rsid w:val="0041446D"/>
    <w:rsid w:val="004170FB"/>
    <w:rsid w:val="004249F8"/>
    <w:rsid w:val="00426ACC"/>
    <w:rsid w:val="00427763"/>
    <w:rsid w:val="004432AE"/>
    <w:rsid w:val="00455F0C"/>
    <w:rsid w:val="00456DB0"/>
    <w:rsid w:val="00474B90"/>
    <w:rsid w:val="0047711A"/>
    <w:rsid w:val="0048074E"/>
    <w:rsid w:val="00487EC0"/>
    <w:rsid w:val="004914D6"/>
    <w:rsid w:val="004915FB"/>
    <w:rsid w:val="0049292B"/>
    <w:rsid w:val="00494F76"/>
    <w:rsid w:val="00495273"/>
    <w:rsid w:val="004975B3"/>
    <w:rsid w:val="004978D9"/>
    <w:rsid w:val="004A0B09"/>
    <w:rsid w:val="004A1954"/>
    <w:rsid w:val="004A4294"/>
    <w:rsid w:val="004A4A02"/>
    <w:rsid w:val="004A5A40"/>
    <w:rsid w:val="004B1134"/>
    <w:rsid w:val="004B3EE3"/>
    <w:rsid w:val="004C05D6"/>
    <w:rsid w:val="004C0D98"/>
    <w:rsid w:val="004C3304"/>
    <w:rsid w:val="004C546C"/>
    <w:rsid w:val="004C773A"/>
    <w:rsid w:val="004D4997"/>
    <w:rsid w:val="004F4E6D"/>
    <w:rsid w:val="004F5982"/>
    <w:rsid w:val="005115B0"/>
    <w:rsid w:val="005124B0"/>
    <w:rsid w:val="00514F30"/>
    <w:rsid w:val="0052154A"/>
    <w:rsid w:val="00521FAF"/>
    <w:rsid w:val="005262AE"/>
    <w:rsid w:val="00526464"/>
    <w:rsid w:val="00535BCB"/>
    <w:rsid w:val="0054002F"/>
    <w:rsid w:val="00550BF9"/>
    <w:rsid w:val="005545EC"/>
    <w:rsid w:val="00566E95"/>
    <w:rsid w:val="0057115A"/>
    <w:rsid w:val="005776F0"/>
    <w:rsid w:val="0058027F"/>
    <w:rsid w:val="005803BE"/>
    <w:rsid w:val="0059123F"/>
    <w:rsid w:val="005918F3"/>
    <w:rsid w:val="005A1EA5"/>
    <w:rsid w:val="005B65A7"/>
    <w:rsid w:val="005B73C5"/>
    <w:rsid w:val="005C0ECF"/>
    <w:rsid w:val="005C282A"/>
    <w:rsid w:val="005C70A8"/>
    <w:rsid w:val="005D18AE"/>
    <w:rsid w:val="005D7509"/>
    <w:rsid w:val="005E09C9"/>
    <w:rsid w:val="005E2ABB"/>
    <w:rsid w:val="005E3C9E"/>
    <w:rsid w:val="005E599E"/>
    <w:rsid w:val="005E5D0F"/>
    <w:rsid w:val="005F4C08"/>
    <w:rsid w:val="005F643D"/>
    <w:rsid w:val="005F7E69"/>
    <w:rsid w:val="00604841"/>
    <w:rsid w:val="00605BBC"/>
    <w:rsid w:val="00614430"/>
    <w:rsid w:val="0062564F"/>
    <w:rsid w:val="00627D1C"/>
    <w:rsid w:val="00644807"/>
    <w:rsid w:val="006478A9"/>
    <w:rsid w:val="00651737"/>
    <w:rsid w:val="0065579E"/>
    <w:rsid w:val="006618B4"/>
    <w:rsid w:val="00663FAC"/>
    <w:rsid w:val="0066729A"/>
    <w:rsid w:val="0066759E"/>
    <w:rsid w:val="00676DFE"/>
    <w:rsid w:val="00680F5C"/>
    <w:rsid w:val="00683347"/>
    <w:rsid w:val="006901EE"/>
    <w:rsid w:val="00695F85"/>
    <w:rsid w:val="006A1661"/>
    <w:rsid w:val="006A259A"/>
    <w:rsid w:val="006A47A3"/>
    <w:rsid w:val="006A6CEA"/>
    <w:rsid w:val="006B0394"/>
    <w:rsid w:val="006B27B7"/>
    <w:rsid w:val="006C1D01"/>
    <w:rsid w:val="006C2CFD"/>
    <w:rsid w:val="006C38DA"/>
    <w:rsid w:val="006C5FA7"/>
    <w:rsid w:val="006D36E3"/>
    <w:rsid w:val="006D3DB5"/>
    <w:rsid w:val="006D60A0"/>
    <w:rsid w:val="006D7B3C"/>
    <w:rsid w:val="006F7D78"/>
    <w:rsid w:val="00707D05"/>
    <w:rsid w:val="007113FC"/>
    <w:rsid w:val="00735A98"/>
    <w:rsid w:val="007401D4"/>
    <w:rsid w:val="00744AC8"/>
    <w:rsid w:val="00746650"/>
    <w:rsid w:val="007503C5"/>
    <w:rsid w:val="00750520"/>
    <w:rsid w:val="0075294E"/>
    <w:rsid w:val="007529DA"/>
    <w:rsid w:val="00753938"/>
    <w:rsid w:val="00756E46"/>
    <w:rsid w:val="00760767"/>
    <w:rsid w:val="00771B52"/>
    <w:rsid w:val="00793BE9"/>
    <w:rsid w:val="00794BCE"/>
    <w:rsid w:val="00795AFD"/>
    <w:rsid w:val="007961E6"/>
    <w:rsid w:val="007A2B52"/>
    <w:rsid w:val="007B0F46"/>
    <w:rsid w:val="007B1477"/>
    <w:rsid w:val="007B3575"/>
    <w:rsid w:val="007B39C8"/>
    <w:rsid w:val="007B533C"/>
    <w:rsid w:val="007C0731"/>
    <w:rsid w:val="007C2488"/>
    <w:rsid w:val="007C75D3"/>
    <w:rsid w:val="007D25FE"/>
    <w:rsid w:val="007D5492"/>
    <w:rsid w:val="007D6498"/>
    <w:rsid w:val="007E7CC9"/>
    <w:rsid w:val="007F1C9E"/>
    <w:rsid w:val="007F1EE0"/>
    <w:rsid w:val="007F4586"/>
    <w:rsid w:val="007F5D12"/>
    <w:rsid w:val="007F661A"/>
    <w:rsid w:val="007F7837"/>
    <w:rsid w:val="007F7AB4"/>
    <w:rsid w:val="0081522B"/>
    <w:rsid w:val="00817545"/>
    <w:rsid w:val="00817F98"/>
    <w:rsid w:val="008230EF"/>
    <w:rsid w:val="008235C9"/>
    <w:rsid w:val="00824A8C"/>
    <w:rsid w:val="00830771"/>
    <w:rsid w:val="00831606"/>
    <w:rsid w:val="00840DA0"/>
    <w:rsid w:val="00841E04"/>
    <w:rsid w:val="00847AB8"/>
    <w:rsid w:val="00854D57"/>
    <w:rsid w:val="00856E0F"/>
    <w:rsid w:val="0087141B"/>
    <w:rsid w:val="008748B4"/>
    <w:rsid w:val="00874FB5"/>
    <w:rsid w:val="00877910"/>
    <w:rsid w:val="00886693"/>
    <w:rsid w:val="00886D28"/>
    <w:rsid w:val="00887564"/>
    <w:rsid w:val="00895437"/>
    <w:rsid w:val="008B381B"/>
    <w:rsid w:val="008C4E2A"/>
    <w:rsid w:val="008D5874"/>
    <w:rsid w:val="008E0832"/>
    <w:rsid w:val="008E3EAF"/>
    <w:rsid w:val="008F0935"/>
    <w:rsid w:val="008F66AA"/>
    <w:rsid w:val="0090000F"/>
    <w:rsid w:val="00900733"/>
    <w:rsid w:val="00900F37"/>
    <w:rsid w:val="009041F8"/>
    <w:rsid w:val="00905CAF"/>
    <w:rsid w:val="009126D5"/>
    <w:rsid w:val="00920219"/>
    <w:rsid w:val="00922057"/>
    <w:rsid w:val="0092455C"/>
    <w:rsid w:val="009311AA"/>
    <w:rsid w:val="00931E57"/>
    <w:rsid w:val="009357E9"/>
    <w:rsid w:val="00946D85"/>
    <w:rsid w:val="009505B5"/>
    <w:rsid w:val="009525AB"/>
    <w:rsid w:val="0096109C"/>
    <w:rsid w:val="00962AE2"/>
    <w:rsid w:val="00964008"/>
    <w:rsid w:val="009713EF"/>
    <w:rsid w:val="00971F73"/>
    <w:rsid w:val="00985F61"/>
    <w:rsid w:val="0099691A"/>
    <w:rsid w:val="009A24C5"/>
    <w:rsid w:val="009A2AAB"/>
    <w:rsid w:val="009B2D05"/>
    <w:rsid w:val="009B43BA"/>
    <w:rsid w:val="009C17D1"/>
    <w:rsid w:val="009C3B70"/>
    <w:rsid w:val="009C3D63"/>
    <w:rsid w:val="009D15C2"/>
    <w:rsid w:val="009D7497"/>
    <w:rsid w:val="00A115E4"/>
    <w:rsid w:val="00A11B09"/>
    <w:rsid w:val="00A14780"/>
    <w:rsid w:val="00A2376F"/>
    <w:rsid w:val="00A24050"/>
    <w:rsid w:val="00A27FB1"/>
    <w:rsid w:val="00A30CD1"/>
    <w:rsid w:val="00A45761"/>
    <w:rsid w:val="00A4745F"/>
    <w:rsid w:val="00A50A70"/>
    <w:rsid w:val="00A51E14"/>
    <w:rsid w:val="00A526E4"/>
    <w:rsid w:val="00A643DA"/>
    <w:rsid w:val="00A678FF"/>
    <w:rsid w:val="00A67FC9"/>
    <w:rsid w:val="00A71B87"/>
    <w:rsid w:val="00A75083"/>
    <w:rsid w:val="00A80DC3"/>
    <w:rsid w:val="00A86344"/>
    <w:rsid w:val="00A90D1B"/>
    <w:rsid w:val="00AA35A1"/>
    <w:rsid w:val="00AB0B77"/>
    <w:rsid w:val="00AB7C2D"/>
    <w:rsid w:val="00AC1E14"/>
    <w:rsid w:val="00AC24DA"/>
    <w:rsid w:val="00AC3C31"/>
    <w:rsid w:val="00AC76EA"/>
    <w:rsid w:val="00AD77AF"/>
    <w:rsid w:val="00AF1A59"/>
    <w:rsid w:val="00AF2C3B"/>
    <w:rsid w:val="00B02CAA"/>
    <w:rsid w:val="00B03B4B"/>
    <w:rsid w:val="00B06338"/>
    <w:rsid w:val="00B06F41"/>
    <w:rsid w:val="00B12A7A"/>
    <w:rsid w:val="00B13E31"/>
    <w:rsid w:val="00B2463E"/>
    <w:rsid w:val="00B27850"/>
    <w:rsid w:val="00B35801"/>
    <w:rsid w:val="00B5100B"/>
    <w:rsid w:val="00B65D39"/>
    <w:rsid w:val="00B662FD"/>
    <w:rsid w:val="00B662FF"/>
    <w:rsid w:val="00B70C88"/>
    <w:rsid w:val="00B76DF0"/>
    <w:rsid w:val="00B83074"/>
    <w:rsid w:val="00B86614"/>
    <w:rsid w:val="00B90DAF"/>
    <w:rsid w:val="00B91A59"/>
    <w:rsid w:val="00BA15F7"/>
    <w:rsid w:val="00BA47FE"/>
    <w:rsid w:val="00BB243B"/>
    <w:rsid w:val="00BB507E"/>
    <w:rsid w:val="00BC29A0"/>
    <w:rsid w:val="00BC39C1"/>
    <w:rsid w:val="00BC3E9A"/>
    <w:rsid w:val="00BD4DEC"/>
    <w:rsid w:val="00BD678C"/>
    <w:rsid w:val="00BD6E9D"/>
    <w:rsid w:val="00BE5045"/>
    <w:rsid w:val="00BF4008"/>
    <w:rsid w:val="00BF5AF3"/>
    <w:rsid w:val="00C06EC5"/>
    <w:rsid w:val="00C13083"/>
    <w:rsid w:val="00C1562D"/>
    <w:rsid w:val="00C25701"/>
    <w:rsid w:val="00C30106"/>
    <w:rsid w:val="00C35548"/>
    <w:rsid w:val="00C35C5E"/>
    <w:rsid w:val="00C412C3"/>
    <w:rsid w:val="00C43329"/>
    <w:rsid w:val="00C47BFF"/>
    <w:rsid w:val="00C53620"/>
    <w:rsid w:val="00C54292"/>
    <w:rsid w:val="00C56316"/>
    <w:rsid w:val="00C625BE"/>
    <w:rsid w:val="00C6649A"/>
    <w:rsid w:val="00C6742C"/>
    <w:rsid w:val="00C717B8"/>
    <w:rsid w:val="00C732FD"/>
    <w:rsid w:val="00C81257"/>
    <w:rsid w:val="00C84F95"/>
    <w:rsid w:val="00C85644"/>
    <w:rsid w:val="00C90562"/>
    <w:rsid w:val="00CA1268"/>
    <w:rsid w:val="00CA4E0E"/>
    <w:rsid w:val="00CC0C3D"/>
    <w:rsid w:val="00CC2435"/>
    <w:rsid w:val="00CC2668"/>
    <w:rsid w:val="00CC5AAE"/>
    <w:rsid w:val="00CC6457"/>
    <w:rsid w:val="00CD4FAA"/>
    <w:rsid w:val="00CD5814"/>
    <w:rsid w:val="00CD7F7E"/>
    <w:rsid w:val="00CE1B12"/>
    <w:rsid w:val="00CE342E"/>
    <w:rsid w:val="00CE37C9"/>
    <w:rsid w:val="00CE4CDF"/>
    <w:rsid w:val="00CF21A6"/>
    <w:rsid w:val="00CF475F"/>
    <w:rsid w:val="00CF4EC9"/>
    <w:rsid w:val="00D05E54"/>
    <w:rsid w:val="00D077E3"/>
    <w:rsid w:val="00D1065E"/>
    <w:rsid w:val="00D1430C"/>
    <w:rsid w:val="00D14CAD"/>
    <w:rsid w:val="00D15D2D"/>
    <w:rsid w:val="00D20D7A"/>
    <w:rsid w:val="00D22F04"/>
    <w:rsid w:val="00D33EF1"/>
    <w:rsid w:val="00D357A0"/>
    <w:rsid w:val="00D37138"/>
    <w:rsid w:val="00D50FAD"/>
    <w:rsid w:val="00D55057"/>
    <w:rsid w:val="00D60058"/>
    <w:rsid w:val="00D7170E"/>
    <w:rsid w:val="00D71BBB"/>
    <w:rsid w:val="00D72C6A"/>
    <w:rsid w:val="00D97966"/>
    <w:rsid w:val="00DA1D1D"/>
    <w:rsid w:val="00DA37CE"/>
    <w:rsid w:val="00DA3F12"/>
    <w:rsid w:val="00DA4E4A"/>
    <w:rsid w:val="00DA54F6"/>
    <w:rsid w:val="00DA7AC6"/>
    <w:rsid w:val="00DB19C9"/>
    <w:rsid w:val="00DB2155"/>
    <w:rsid w:val="00DB6E9E"/>
    <w:rsid w:val="00DC00CA"/>
    <w:rsid w:val="00DC5CDC"/>
    <w:rsid w:val="00DD00E0"/>
    <w:rsid w:val="00DD08FE"/>
    <w:rsid w:val="00DD0968"/>
    <w:rsid w:val="00DD722B"/>
    <w:rsid w:val="00DE13F8"/>
    <w:rsid w:val="00DE4642"/>
    <w:rsid w:val="00DE5A41"/>
    <w:rsid w:val="00DE75B9"/>
    <w:rsid w:val="00DF07FE"/>
    <w:rsid w:val="00DF2533"/>
    <w:rsid w:val="00E0298F"/>
    <w:rsid w:val="00E05A22"/>
    <w:rsid w:val="00E14227"/>
    <w:rsid w:val="00E24607"/>
    <w:rsid w:val="00E257C8"/>
    <w:rsid w:val="00E2588B"/>
    <w:rsid w:val="00E33B13"/>
    <w:rsid w:val="00E34D31"/>
    <w:rsid w:val="00E463BC"/>
    <w:rsid w:val="00E547C9"/>
    <w:rsid w:val="00E70BCB"/>
    <w:rsid w:val="00E71398"/>
    <w:rsid w:val="00E723D3"/>
    <w:rsid w:val="00E75154"/>
    <w:rsid w:val="00E84651"/>
    <w:rsid w:val="00E87300"/>
    <w:rsid w:val="00E94EAA"/>
    <w:rsid w:val="00EA15FB"/>
    <w:rsid w:val="00EA3435"/>
    <w:rsid w:val="00EA3941"/>
    <w:rsid w:val="00EA5744"/>
    <w:rsid w:val="00EB0088"/>
    <w:rsid w:val="00EB2B03"/>
    <w:rsid w:val="00EB2F97"/>
    <w:rsid w:val="00EC07CB"/>
    <w:rsid w:val="00EC2C51"/>
    <w:rsid w:val="00EC4E8D"/>
    <w:rsid w:val="00EC5A1C"/>
    <w:rsid w:val="00ED0CE1"/>
    <w:rsid w:val="00ED5DA0"/>
    <w:rsid w:val="00EF1515"/>
    <w:rsid w:val="00EF60FC"/>
    <w:rsid w:val="00F249A1"/>
    <w:rsid w:val="00F30FA6"/>
    <w:rsid w:val="00F34256"/>
    <w:rsid w:val="00F34611"/>
    <w:rsid w:val="00F42A44"/>
    <w:rsid w:val="00F43B9D"/>
    <w:rsid w:val="00F46517"/>
    <w:rsid w:val="00F514C3"/>
    <w:rsid w:val="00F523C4"/>
    <w:rsid w:val="00F666D9"/>
    <w:rsid w:val="00F73F75"/>
    <w:rsid w:val="00F75970"/>
    <w:rsid w:val="00F76289"/>
    <w:rsid w:val="00F8393E"/>
    <w:rsid w:val="00F87097"/>
    <w:rsid w:val="00F93420"/>
    <w:rsid w:val="00F9404C"/>
    <w:rsid w:val="00F944B7"/>
    <w:rsid w:val="00FA3325"/>
    <w:rsid w:val="00FA6340"/>
    <w:rsid w:val="00FC1346"/>
    <w:rsid w:val="00FE435D"/>
    <w:rsid w:val="00FE4CB6"/>
    <w:rsid w:val="00FE73BD"/>
    <w:rsid w:val="00FE7F72"/>
    <w:rsid w:val="00FF0C44"/>
    <w:rsid w:val="00FF1040"/>
    <w:rsid w:val="00FF23EF"/>
    <w:rsid w:val="00FF5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docId w15:val="{3238EF64-70E9-482E-8547-36FB5929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D97966"/>
    <w:pPr>
      <w:keepNext/>
      <w:keepLines/>
      <w:spacing w:before="40" w:line="276" w:lineRule="auto"/>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Sąrašo pastraipa.Bullet,Sąrašo pastraipa;Bullet,Table of contents numbered,List Paragraph22,Paragraph"/>
    <w:basedOn w:val="prastasis"/>
    <w:link w:val="SraopastraipaDiagrama"/>
    <w:uiPriority w:val="34"/>
    <w:qFormat/>
    <w:rsid w:val="00EC5A1C"/>
    <w:pPr>
      <w:ind w:left="720"/>
      <w:contextualSpacing/>
    </w:p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iPriority w:val="99"/>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basedOn w:val="Numatytasispastraiposriftas"/>
    <w:link w:val="Puslapioinaostekstas"/>
    <w:uiPriority w:val="99"/>
    <w:rsid w:val="00EC5A1C"/>
    <w:rPr>
      <w:rFonts w:ascii="Calibri" w:hAnsi="Calibri"/>
      <w:i/>
      <w:iCs/>
      <w:color w:val="404040" w:themeColor="text1" w:themeTint="BF"/>
      <w:sz w:val="14"/>
      <w:szCs w:val="20"/>
      <w:lang w:val="en-US" w:eastAsia="ja-JP"/>
    </w:rPr>
  </w:style>
  <w:style w:type="character" w:styleId="Puslapioinaosnuoroda">
    <w:name w:val="footnote reference"/>
    <w:aliases w:val="Ref,de nota al pie,fr,(NECG) Footnote Reference,o,Style 4,Footnote symbol,FR,Style 6,Style 3,Appel note de bas de p,Style 12,Style 124,Puslapio išnašos nuoroda1,footnumber,BVI fnr,SUPERS,Footnote Reference Number"/>
    <w:basedOn w:val="Numatytasispastraiposriftas"/>
    <w:uiPriority w:val="99"/>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
    <w:link w:val="Sraopastraipa"/>
    <w:uiPriority w:val="34"/>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5D3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ipersaitas">
    <w:name w:val="Hyperlink"/>
    <w:basedOn w:val="Numatytasispastraiposriftas"/>
    <w:uiPriority w:val="99"/>
    <w:unhideWhenUsed/>
    <w:rsid w:val="006F7D78"/>
    <w:rPr>
      <w:color w:val="0563C1" w:themeColor="hyperlink"/>
      <w:u w:val="single"/>
    </w:rPr>
  </w:style>
  <w:style w:type="character" w:styleId="Neapdorotaspaminjimas">
    <w:name w:val="Unresolved Mention"/>
    <w:basedOn w:val="Numatytasispastraiposriftas"/>
    <w:uiPriority w:val="99"/>
    <w:semiHidden/>
    <w:unhideWhenUsed/>
    <w:rsid w:val="006F7D78"/>
    <w:rPr>
      <w:color w:val="605E5C"/>
      <w:shd w:val="clear" w:color="auto" w:fill="E1DFDD"/>
    </w:rPr>
  </w:style>
  <w:style w:type="paragraph" w:customStyle="1" w:styleId="TableParagraph">
    <w:name w:val="Table Paragraph"/>
    <w:basedOn w:val="prastasis"/>
    <w:uiPriority w:val="1"/>
    <w:qFormat/>
    <w:rsid w:val="00D71BBB"/>
    <w:pPr>
      <w:widowControl w:val="0"/>
      <w:autoSpaceDE w:val="0"/>
      <w:autoSpaceDN w:val="0"/>
      <w:ind w:left="110"/>
      <w:jc w:val="left"/>
    </w:pPr>
    <w:rPr>
      <w:sz w:val="22"/>
      <w:szCs w:val="22"/>
    </w:rPr>
  </w:style>
  <w:style w:type="character" w:styleId="Komentaronuoroda">
    <w:name w:val="annotation reference"/>
    <w:basedOn w:val="Numatytasispastraiposriftas"/>
    <w:uiPriority w:val="99"/>
    <w:semiHidden/>
    <w:unhideWhenUsed/>
    <w:rsid w:val="00B662FD"/>
    <w:rPr>
      <w:sz w:val="16"/>
      <w:szCs w:val="16"/>
    </w:rPr>
  </w:style>
  <w:style w:type="paragraph" w:styleId="Komentarotekstas">
    <w:name w:val="annotation text"/>
    <w:basedOn w:val="prastasis"/>
    <w:link w:val="KomentarotekstasDiagrama"/>
    <w:uiPriority w:val="99"/>
    <w:unhideWhenUsed/>
    <w:rsid w:val="00B662FD"/>
    <w:rPr>
      <w:sz w:val="20"/>
    </w:rPr>
  </w:style>
  <w:style w:type="character" w:customStyle="1" w:styleId="KomentarotekstasDiagrama">
    <w:name w:val="Komentaro tekstas Diagrama"/>
    <w:basedOn w:val="Numatytasispastraiposriftas"/>
    <w:link w:val="Komentarotekstas"/>
    <w:uiPriority w:val="99"/>
    <w:rsid w:val="00B662F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662FD"/>
    <w:rPr>
      <w:b/>
      <w:bCs/>
    </w:rPr>
  </w:style>
  <w:style w:type="character" w:customStyle="1" w:styleId="KomentarotemaDiagrama">
    <w:name w:val="Komentaro tema Diagrama"/>
    <w:basedOn w:val="KomentarotekstasDiagrama"/>
    <w:link w:val="Komentarotema"/>
    <w:uiPriority w:val="99"/>
    <w:semiHidden/>
    <w:rsid w:val="00B662FD"/>
    <w:rPr>
      <w:rFonts w:ascii="Times New Roman" w:eastAsia="Times New Roman" w:hAnsi="Times New Roman" w:cs="Times New Roman"/>
      <w:b/>
      <w:bCs/>
      <w:sz w:val="20"/>
      <w:szCs w:val="20"/>
    </w:rPr>
  </w:style>
  <w:style w:type="paragraph" w:styleId="Pataisymai">
    <w:name w:val="Revision"/>
    <w:hidden/>
    <w:uiPriority w:val="99"/>
    <w:semiHidden/>
    <w:rsid w:val="005D18AE"/>
    <w:pPr>
      <w:spacing w:after="0" w:line="240" w:lineRule="auto"/>
    </w:pPr>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D97966"/>
    <w:rPr>
      <w:rFonts w:asciiTheme="majorHAnsi" w:eastAsiaTheme="majorEastAsia" w:hAnsiTheme="majorHAnsi" w:cstheme="majorBidi"/>
      <w:color w:val="2F5496" w:themeColor="accent1" w:themeShade="BF"/>
      <w:sz w:val="26"/>
      <w:szCs w:val="26"/>
    </w:rPr>
  </w:style>
  <w:style w:type="paragraph" w:styleId="prastasiniatinklio">
    <w:name w:val="Normal (Web)"/>
    <w:basedOn w:val="prastasis"/>
    <w:uiPriority w:val="99"/>
    <w:unhideWhenUsed/>
    <w:rsid w:val="004C3304"/>
    <w:pPr>
      <w:spacing w:before="100" w:beforeAutospacing="1" w:after="100" w:afterAutospacing="1"/>
      <w:jc w:val="left"/>
    </w:pPr>
    <w:rPr>
      <w:szCs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8b31ef00221011edb36fa1cf41a91fd9?jfwid=-vrpsi2a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8b31ef00221011edb36fa1cf41a91fd9?jfwid=-vrpsi2a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8b31ef00221011edb36fa1cf41a91fd9?jfwid=-vrpsi2a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vpp.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eb996e1-361c-4687-8311-33c5c19399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BFAD73D66B4243A905C47EB33B86C4" ma:contentTypeVersion="16" ma:contentTypeDescription="Create a new document." ma:contentTypeScope="" ma:versionID="ef96a42a5f9aa802a2ea84404b6d40b7">
  <xsd:schema xmlns:xsd="http://www.w3.org/2001/XMLSchema" xmlns:xs="http://www.w3.org/2001/XMLSchema" xmlns:p="http://schemas.microsoft.com/office/2006/metadata/properties" xmlns:ns3="1eb996e1-361c-4687-8311-33c5c19399be" xmlns:ns4="b92dded9-c0f1-49be-9906-3ff2e1c63ef1" targetNamespace="http://schemas.microsoft.com/office/2006/metadata/properties" ma:root="true" ma:fieldsID="69882fc60bb92966997e1be008fd632b" ns3:_="" ns4:_="">
    <xsd:import namespace="1eb996e1-361c-4687-8311-33c5c19399be"/>
    <xsd:import namespace="b92dded9-c0f1-49be-9906-3ff2e1c63e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996e1-361c-4687-8311-33c5c1939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dded9-c0f1-49be-9906-3ff2e1c63e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767DA-EC81-4AD2-A346-93A2398A3C99}">
  <ds:schemaRefs>
    <ds:schemaRef ds:uri="http://schemas.microsoft.com/sharepoint/v3/contenttype/forms"/>
  </ds:schemaRefs>
</ds:datastoreItem>
</file>

<file path=customXml/itemProps2.xml><?xml version="1.0" encoding="utf-8"?>
<ds:datastoreItem xmlns:ds="http://schemas.openxmlformats.org/officeDocument/2006/customXml" ds:itemID="{541ACDF0-137C-49D2-A64C-837CE2ACAD3F}">
  <ds:schemaRefs>
    <ds:schemaRef ds:uri="http://schemas.microsoft.com/office/2006/metadata/properties"/>
    <ds:schemaRef ds:uri="http://schemas.microsoft.com/office/infopath/2007/PartnerControls"/>
    <ds:schemaRef ds:uri="1eb996e1-361c-4687-8311-33c5c19399be"/>
  </ds:schemaRefs>
</ds:datastoreItem>
</file>

<file path=customXml/itemProps3.xml><?xml version="1.0" encoding="utf-8"?>
<ds:datastoreItem xmlns:ds="http://schemas.openxmlformats.org/officeDocument/2006/customXml" ds:itemID="{3619763B-1295-4785-A4A5-0B3635A17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996e1-361c-4687-8311-33c5c19399be"/>
    <ds:schemaRef ds:uri="b92dded9-c0f1-49be-9906-3ff2e1c63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B8B669-D2B0-4A56-A45E-8F738EDB66C0}">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37</TotalTime>
  <Pages>6</Pages>
  <Words>8920</Words>
  <Characters>5085</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Svetlana Starinskaja</cp:lastModifiedBy>
  <cp:revision>61</cp:revision>
  <dcterms:created xsi:type="dcterms:W3CDTF">2024-10-16T11:48:00Z</dcterms:created>
  <dcterms:modified xsi:type="dcterms:W3CDTF">2025-04-08T07:36:00Z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0x01010063BFAD73D66B4243A905C47EB33B86C4</vt:lpwstr>
  </property>
</Properties>
</file>