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D7C19" w14:textId="77777777" w:rsidR="00DA339C" w:rsidRPr="001F7734" w:rsidRDefault="00DA339C" w:rsidP="00DA339C">
      <w:pPr>
        <w:pStyle w:val="FreeForm"/>
        <w:jc w:val="both"/>
        <w:rPr>
          <w:rFonts w:ascii="Times New Roman" w:hAnsi="Times New Roman" w:cs="Times New Roman"/>
          <w:color w:val="auto"/>
          <w:sz w:val="24"/>
          <w:szCs w:val="24"/>
          <w:lang w:val="lt-LT"/>
        </w:rPr>
      </w:pPr>
      <w:r w:rsidRPr="001F7734">
        <w:rPr>
          <w:rFonts w:ascii="Times New Roman" w:eastAsia="Times New Roman" w:hAnsi="Times New Roman" w:cs="Times New Roman"/>
          <w:color w:val="auto"/>
          <w:sz w:val="24"/>
          <w:szCs w:val="24"/>
          <w:bdr w:val="none" w:sz="0" w:space="0" w:color="auto"/>
          <w:lang w:val="lt-LT"/>
        </w:rPr>
        <w:t>Vadovaujantis Lietuvos Respublikos viešųjų pirkimų įstatymo</w:t>
      </w:r>
      <w:bookmarkStart w:id="0" w:name="_Hlk178161293"/>
      <w:r w:rsidRPr="001F7734">
        <w:rPr>
          <w:rFonts w:ascii="Times New Roman" w:hAnsi="Times New Roman" w:cs="Times New Roman"/>
          <w:color w:val="auto"/>
          <w:sz w:val="24"/>
          <w:szCs w:val="24"/>
          <w:lang w:val="lt-LT"/>
        </w:rPr>
        <w:t xml:space="preserve"> 36 str. 5 d. bei </w:t>
      </w:r>
      <w:r w:rsidRPr="001F7734">
        <w:rPr>
          <w:rFonts w:ascii="Times New Roman" w:hAnsi="Times New Roman" w:cs="Times New Roman"/>
          <w:color w:val="auto"/>
          <w:sz w:val="24"/>
          <w:szCs w:val="24"/>
          <w:lang w:val="lt-LT" w:eastAsia="en-GB"/>
        </w:rPr>
        <w:t>pirkimo sąlygų Bendrosios dalies 5.2 p.</w:t>
      </w:r>
      <w:r w:rsidRPr="001F7734">
        <w:rPr>
          <w:rFonts w:ascii="Times New Roman" w:hAnsi="Times New Roman" w:cs="Times New Roman"/>
          <w:color w:val="auto"/>
          <w:sz w:val="24"/>
          <w:szCs w:val="24"/>
          <w:lang w:val="lt-LT"/>
        </w:rPr>
        <w:t>, teikiame  atsakymus į tiekėjo pateiktus paklausimus:</w:t>
      </w:r>
    </w:p>
    <w:tbl>
      <w:tblPr>
        <w:tblStyle w:val="TableGrid"/>
        <w:tblW w:w="0" w:type="auto"/>
        <w:tblLook w:val="04A0" w:firstRow="1" w:lastRow="0" w:firstColumn="1" w:lastColumn="0" w:noHBand="0" w:noVBand="1"/>
      </w:tblPr>
      <w:tblGrid>
        <w:gridCol w:w="3772"/>
        <w:gridCol w:w="1806"/>
        <w:gridCol w:w="3772"/>
      </w:tblGrid>
      <w:tr w:rsidR="00DA339C" w:rsidRPr="001F7734" w14:paraId="007DC256" w14:textId="77777777" w:rsidTr="008948D4">
        <w:tc>
          <w:tcPr>
            <w:tcW w:w="3772" w:type="dxa"/>
          </w:tcPr>
          <w:p w14:paraId="2E0E927D" w14:textId="77777777" w:rsidR="00DA339C" w:rsidRPr="001F7734" w:rsidRDefault="00DA339C" w:rsidP="005B7805">
            <w:pPr>
              <w:rPr>
                <w:rFonts w:ascii="Times New Roman" w:hAnsi="Times New Roman" w:cs="Times New Roman"/>
                <w:b/>
                <w:bCs/>
              </w:rPr>
            </w:pPr>
            <w:r w:rsidRPr="001F7734">
              <w:rPr>
                <w:rFonts w:ascii="Times New Roman" w:hAnsi="Times New Roman" w:cs="Times New Roman"/>
                <w:b/>
                <w:bCs/>
              </w:rPr>
              <w:t>Pirkimo sąlygų reikalavimas</w:t>
            </w:r>
          </w:p>
        </w:tc>
        <w:tc>
          <w:tcPr>
            <w:tcW w:w="1806" w:type="dxa"/>
          </w:tcPr>
          <w:p w14:paraId="0016A339" w14:textId="77777777" w:rsidR="00DA339C" w:rsidRPr="001F7734" w:rsidRDefault="00DA339C" w:rsidP="005B7805">
            <w:pPr>
              <w:rPr>
                <w:rFonts w:ascii="Times New Roman" w:hAnsi="Times New Roman" w:cs="Times New Roman"/>
                <w:b/>
                <w:bCs/>
              </w:rPr>
            </w:pPr>
            <w:r w:rsidRPr="001F7734">
              <w:rPr>
                <w:rFonts w:ascii="Times New Roman" w:hAnsi="Times New Roman" w:cs="Times New Roman"/>
                <w:b/>
                <w:bCs/>
              </w:rPr>
              <w:t>Tiekėjo klausimas</w:t>
            </w:r>
          </w:p>
        </w:tc>
        <w:tc>
          <w:tcPr>
            <w:tcW w:w="3772" w:type="dxa"/>
          </w:tcPr>
          <w:p w14:paraId="7F808510" w14:textId="77777777" w:rsidR="00DA339C" w:rsidRPr="001F7734" w:rsidRDefault="00DA339C" w:rsidP="005B7805">
            <w:pPr>
              <w:rPr>
                <w:rFonts w:ascii="Times New Roman" w:hAnsi="Times New Roman" w:cs="Times New Roman"/>
                <w:b/>
                <w:bCs/>
              </w:rPr>
            </w:pPr>
            <w:r w:rsidRPr="001F7734">
              <w:rPr>
                <w:rFonts w:ascii="Times New Roman" w:hAnsi="Times New Roman" w:cs="Times New Roman"/>
                <w:b/>
                <w:bCs/>
              </w:rPr>
              <w:t>Atsakymai</w:t>
            </w:r>
          </w:p>
        </w:tc>
      </w:tr>
      <w:tr w:rsidR="00DA339C" w:rsidRPr="001F7734" w14:paraId="363C90B6" w14:textId="77777777" w:rsidTr="008948D4">
        <w:tc>
          <w:tcPr>
            <w:tcW w:w="9350" w:type="dxa"/>
            <w:gridSpan w:val="3"/>
          </w:tcPr>
          <w:p w14:paraId="73950061" w14:textId="77777777" w:rsidR="00DA339C" w:rsidRPr="001F7734" w:rsidRDefault="00DA339C" w:rsidP="005B7805">
            <w:pPr>
              <w:rPr>
                <w:rFonts w:ascii="Times New Roman" w:hAnsi="Times New Roman" w:cs="Times New Roman"/>
                <w:b/>
                <w:bCs/>
                <w:i/>
                <w:iCs/>
              </w:rPr>
            </w:pPr>
            <w:r w:rsidRPr="001F7734">
              <w:rPr>
                <w:rFonts w:ascii="Times New Roman" w:hAnsi="Times New Roman" w:cs="Times New Roman"/>
                <w:b/>
                <w:bCs/>
                <w:i/>
                <w:iCs/>
              </w:rPr>
              <w:t>Dėl techninės specifikacijos</w:t>
            </w:r>
          </w:p>
        </w:tc>
      </w:tr>
      <w:tr w:rsidR="008948D4" w:rsidRPr="001F7734" w14:paraId="0FA5175F" w14:textId="77777777" w:rsidTr="008948D4">
        <w:tc>
          <w:tcPr>
            <w:tcW w:w="3772" w:type="dxa"/>
          </w:tcPr>
          <w:p w14:paraId="278CAF14" w14:textId="25DF9CE7" w:rsidR="008948D4" w:rsidRPr="001F7734" w:rsidRDefault="008948D4" w:rsidP="008948D4">
            <w:pPr>
              <w:jc w:val="both"/>
              <w:rPr>
                <w:rFonts w:ascii="Times New Roman" w:hAnsi="Times New Roman" w:cs="Times New Roman"/>
              </w:rPr>
            </w:pPr>
            <w:r w:rsidRPr="00FE4274">
              <w:rPr>
                <w:rFonts w:ascii="Times New Roman" w:hAnsi="Times New Roman" w:cs="Times New Roman"/>
              </w:rPr>
              <w:t>3.6.1. papildomų darbų paslaugos teikiamos pagal Perkančiosios organizacijos poreikį, paslaugos apmokamos pagal valandinį įkainį. Už papildomų darbų paslaugas atsiskaitoma pagal faktinį panaudotų valandų kiekį. Prašymą dėl papildomų darbų paslaugų Perkančioji organizacija siunčia Paslaugų teikėjui į HD sistemą arba elektroniniu paštu . Paslaugų teikėjas išanalizavęs  prašyme pateiktas darbų paslaugas, pateikia Užsakovui sąmatą ir darbų atlikimo grafiką. Papildomos darbų paslaugos pradedamos vykdyti tik gavus rašytinį Perkančiosios organizacijos patvirtinimą;</w:t>
            </w:r>
          </w:p>
        </w:tc>
        <w:tc>
          <w:tcPr>
            <w:tcW w:w="1806" w:type="dxa"/>
          </w:tcPr>
          <w:p w14:paraId="39E74828" w14:textId="77777777" w:rsidR="008948D4" w:rsidRPr="004F6135" w:rsidRDefault="008948D4" w:rsidP="008948D4">
            <w:pPr>
              <w:jc w:val="both"/>
              <w:rPr>
                <w:rFonts w:ascii="Times New Roman" w:hAnsi="Times New Roman" w:cs="Times New Roman"/>
              </w:rPr>
            </w:pPr>
            <w:r w:rsidRPr="004F6135">
              <w:rPr>
                <w:rFonts w:ascii="Times New Roman" w:hAnsi="Times New Roman" w:cs="Times New Roman"/>
              </w:rPr>
              <w:t>Ar teisingai suprantame, kad elektroniniu paštu bus siunčiama tik tuo atveju jei neveikia HD sistema? Atkreipiame dėmesį, kad yra daug patogiau visus pranešimus siųsti HD sistemoje, tokiu atveju visą informaciją galite rasti vienoje vietoje.</w:t>
            </w:r>
          </w:p>
          <w:p w14:paraId="5B2549A3" w14:textId="0E9309AF" w:rsidR="008948D4" w:rsidRPr="001F7734" w:rsidRDefault="008948D4" w:rsidP="008948D4">
            <w:pPr>
              <w:jc w:val="both"/>
              <w:rPr>
                <w:rFonts w:ascii="Times New Roman" w:hAnsi="Times New Roman" w:cs="Times New Roman"/>
              </w:rPr>
            </w:pPr>
          </w:p>
        </w:tc>
        <w:tc>
          <w:tcPr>
            <w:tcW w:w="3772" w:type="dxa"/>
          </w:tcPr>
          <w:p w14:paraId="4086D4F8" w14:textId="282577D4" w:rsidR="008948D4" w:rsidRPr="00970FAA" w:rsidRDefault="008948D4" w:rsidP="008948D4">
            <w:pPr>
              <w:jc w:val="both"/>
              <w:rPr>
                <w:rFonts w:ascii="Times New Roman" w:hAnsi="Times New Roman" w:cs="Times New Roman"/>
              </w:rPr>
            </w:pPr>
            <w:r w:rsidRPr="00372A1F">
              <w:rPr>
                <w:rFonts w:ascii="Times New Roman" w:hAnsi="Times New Roman" w:cs="Times New Roman"/>
              </w:rPr>
              <w:t>Teisingai. Jeigu neveikia HD sistema tik tokiu atveju bus siunčiamas prašymas elektroniniu paštu. Prioritetas yra HD sistema.</w:t>
            </w:r>
          </w:p>
        </w:tc>
      </w:tr>
      <w:tr w:rsidR="008948D4" w:rsidRPr="001F7734" w14:paraId="34B9CDE2" w14:textId="77777777" w:rsidTr="008948D4">
        <w:tc>
          <w:tcPr>
            <w:tcW w:w="3772" w:type="dxa"/>
          </w:tcPr>
          <w:p w14:paraId="483D7001" w14:textId="0E7B92D1" w:rsidR="008948D4" w:rsidRPr="001F7734" w:rsidRDefault="008948D4" w:rsidP="008948D4">
            <w:pPr>
              <w:jc w:val="both"/>
              <w:rPr>
                <w:rFonts w:ascii="Times New Roman" w:hAnsi="Times New Roman" w:cs="Times New Roman"/>
              </w:rPr>
            </w:pPr>
            <w:r w:rsidRPr="00001954">
              <w:rPr>
                <w:rFonts w:ascii="Times New Roman" w:hAnsi="Times New Roman" w:cs="Times New Roman"/>
              </w:rPr>
              <w:t>3.6.4. jeigu naujų funkcionalumų įdiegimas sutrikdo Sistemų informacinių sistemų korektišką veikimą, laikoma, kad programavimo/konfigūravimo darbai atlikti nekokybiškai. Sistemų atstatymo darbus atlieka Paslaugų teikėjas savo lėšomis. Visiems užsakytiems programavimo/modernizavimo/vystymo darbams jei tai yra papildomi darbai turi būti teikiama garantinė priežiūra be papildomo mokesčio (garantija tik naujai sukurtai/modernizuotai Sistemų daliai/funkcionalumui). Taikoma 12 (dvylika) mėn. garantija  (sutarties galiojimo metu atliktiems programavimo/modernizavimo/vystymo darbams garantiniai įsipareigojimai privalomi ir pasibaigus sutarčiai, bet ne ilgiau nei 12 (dvylika) mėn. nuo atitinkamų papildomų programavimo/modernizavimo/vystymo paslaugų suteikimo);</w:t>
            </w:r>
          </w:p>
        </w:tc>
        <w:tc>
          <w:tcPr>
            <w:tcW w:w="1806" w:type="dxa"/>
          </w:tcPr>
          <w:p w14:paraId="60B3A811" w14:textId="35BC274E" w:rsidR="008948D4" w:rsidRPr="001F7734" w:rsidRDefault="008948D4" w:rsidP="008948D4">
            <w:pPr>
              <w:jc w:val="both"/>
              <w:rPr>
                <w:rFonts w:ascii="Times New Roman" w:hAnsi="Times New Roman" w:cs="Times New Roman"/>
              </w:rPr>
            </w:pPr>
            <w:r w:rsidRPr="003F0E25">
              <w:rPr>
                <w:rFonts w:ascii="Times New Roman" w:hAnsi="Times New Roman" w:cs="Times New Roman"/>
              </w:rPr>
              <w:t>Prašytume patikslinti, ar garantinė priežiūra turės apimti klaidų, kurios atsirado ne dėl Perkančiosios organizacijos ar trečių šalių veiksmų ar neveikimo, taisymą?</w:t>
            </w:r>
          </w:p>
        </w:tc>
        <w:tc>
          <w:tcPr>
            <w:tcW w:w="3772" w:type="dxa"/>
          </w:tcPr>
          <w:p w14:paraId="0E3CAAD7" w14:textId="70DEF14B" w:rsidR="008948D4" w:rsidRDefault="008948D4" w:rsidP="008948D4">
            <w:pPr>
              <w:jc w:val="both"/>
              <w:rPr>
                <w:rFonts w:ascii="Times New Roman" w:hAnsi="Times New Roman" w:cs="Times New Roman"/>
              </w:rPr>
            </w:pPr>
            <w:r>
              <w:rPr>
                <w:rFonts w:ascii="Times New Roman" w:hAnsi="Times New Roman" w:cs="Times New Roman"/>
              </w:rPr>
              <w:t xml:space="preserve">Visiems užsakytiems programavimo/modernizavimo/vystymo darbams </w:t>
            </w:r>
            <w:r w:rsidRPr="0012609A">
              <w:rPr>
                <w:rFonts w:ascii="Times New Roman" w:hAnsi="Times New Roman" w:cs="Times New Roman"/>
                <w:b/>
                <w:bCs/>
              </w:rPr>
              <w:t>jei tai yra papildomi darbai</w:t>
            </w:r>
            <w:r>
              <w:rPr>
                <w:rFonts w:ascii="Times New Roman" w:hAnsi="Times New Roman" w:cs="Times New Roman"/>
              </w:rPr>
              <w:t xml:space="preserve"> turi būti teikiama garantinė priežiūra.</w:t>
            </w:r>
          </w:p>
          <w:p w14:paraId="42F10E2E" w14:textId="77777777" w:rsidR="008948D4" w:rsidRPr="001F7734" w:rsidRDefault="008948D4" w:rsidP="008948D4">
            <w:pPr>
              <w:rPr>
                <w:rFonts w:ascii="Times New Roman" w:hAnsi="Times New Roman" w:cs="Times New Roman"/>
              </w:rPr>
            </w:pPr>
          </w:p>
        </w:tc>
      </w:tr>
      <w:tr w:rsidR="008948D4" w:rsidRPr="001F7734" w14:paraId="59392A86" w14:textId="77777777" w:rsidTr="00B21C79">
        <w:tc>
          <w:tcPr>
            <w:tcW w:w="9350" w:type="dxa"/>
            <w:gridSpan w:val="3"/>
          </w:tcPr>
          <w:p w14:paraId="739FEC4D" w14:textId="65B6D6E7" w:rsidR="008948D4" w:rsidRPr="001F7734" w:rsidRDefault="008948D4" w:rsidP="005B7805">
            <w:pPr>
              <w:rPr>
                <w:rFonts w:ascii="Times New Roman" w:hAnsi="Times New Roman" w:cs="Times New Roman"/>
                <w:b/>
                <w:bCs/>
                <w:i/>
                <w:iCs/>
              </w:rPr>
            </w:pPr>
            <w:r w:rsidRPr="001F7734">
              <w:rPr>
                <w:rFonts w:ascii="Times New Roman" w:hAnsi="Times New Roman" w:cs="Times New Roman"/>
                <w:b/>
                <w:bCs/>
                <w:i/>
                <w:iCs/>
              </w:rPr>
              <w:t>Dėl paslaugų pirkimo-pardavimo sutarties specialiųjų sąlygų</w:t>
            </w:r>
          </w:p>
        </w:tc>
      </w:tr>
      <w:tr w:rsidR="008948D4" w:rsidRPr="001F7734" w14:paraId="5A19C2E1" w14:textId="77777777" w:rsidTr="008948D4">
        <w:tc>
          <w:tcPr>
            <w:tcW w:w="3772" w:type="dxa"/>
          </w:tcPr>
          <w:p w14:paraId="1B8B8DE3" w14:textId="77777777" w:rsidR="008948D4" w:rsidRPr="0008584A" w:rsidRDefault="008948D4" w:rsidP="008948D4">
            <w:pPr>
              <w:rPr>
                <w:rFonts w:ascii="Times New Roman" w:hAnsi="Times New Roman" w:cs="Times New Roman"/>
                <w:b/>
                <w:bCs/>
              </w:rPr>
            </w:pPr>
            <w:r w:rsidRPr="0008584A">
              <w:rPr>
                <w:rFonts w:ascii="Times New Roman" w:hAnsi="Times New Roman" w:cs="Times New Roman"/>
                <w:b/>
                <w:bCs/>
              </w:rPr>
              <w:t>4.5. Pateikiami dokumentai</w:t>
            </w:r>
          </w:p>
          <w:p w14:paraId="75B5FD4A" w14:textId="53CEFD3A" w:rsidR="008948D4" w:rsidRPr="001F7734" w:rsidRDefault="008948D4" w:rsidP="008948D4">
            <w:pPr>
              <w:jc w:val="both"/>
              <w:rPr>
                <w:rFonts w:ascii="Times New Roman" w:hAnsi="Times New Roman" w:cs="Times New Roman"/>
              </w:rPr>
            </w:pPr>
            <w:r w:rsidRPr="005448F8">
              <w:rPr>
                <w:rFonts w:ascii="Times New Roman" w:hAnsi="Times New Roman" w:cs="Times New Roman"/>
              </w:rPr>
              <w:t xml:space="preserve">Turi būti pateikiami šie dokumentai: kiekvieną mėnesį už Sistemų palaikymą </w:t>
            </w:r>
            <w:r w:rsidRPr="005448F8">
              <w:rPr>
                <w:rFonts w:ascii="Times New Roman" w:hAnsi="Times New Roman" w:cs="Times New Roman"/>
              </w:rPr>
              <w:lastRenderedPageBreak/>
              <w:t>ir aptarnavimą pateikiami atliktų darbų aktai, kartu su sąskaitomis. Už atliktus papildomus darbus pateikiami perdavimo-priėmimo aktai ir sąskaitos. Tiekėjui nepateikus nurodytų dokumentų, laikoma, kad Paslaugos neatitinka Sutartyje nustatytų reikalavimų.</w:t>
            </w:r>
          </w:p>
        </w:tc>
        <w:tc>
          <w:tcPr>
            <w:tcW w:w="1806" w:type="dxa"/>
          </w:tcPr>
          <w:p w14:paraId="61C2FB70" w14:textId="091C7D2B" w:rsidR="008948D4" w:rsidRPr="001F7734" w:rsidRDefault="008948D4" w:rsidP="008948D4">
            <w:pPr>
              <w:jc w:val="both"/>
              <w:rPr>
                <w:rFonts w:ascii="Times New Roman" w:hAnsi="Times New Roman" w:cs="Times New Roman"/>
              </w:rPr>
            </w:pPr>
            <w:r w:rsidRPr="00AB3122">
              <w:rPr>
                <w:rFonts w:ascii="Times New Roman" w:hAnsi="Times New Roman" w:cs="Times New Roman"/>
              </w:rPr>
              <w:lastRenderedPageBreak/>
              <w:t xml:space="preserve">Prašytume patikslinti, ką reiškia nuostata </w:t>
            </w:r>
            <w:r w:rsidRPr="00AB3122">
              <w:rPr>
                <w:rFonts w:ascii="Times New Roman" w:hAnsi="Times New Roman" w:cs="Times New Roman"/>
              </w:rPr>
              <w:lastRenderedPageBreak/>
              <w:t>„</w:t>
            </w:r>
            <w:r w:rsidRPr="00AB3122">
              <w:rPr>
                <w:rFonts w:ascii="Times New Roman" w:hAnsi="Times New Roman" w:cs="Times New Roman"/>
                <w:i/>
                <w:iCs/>
              </w:rPr>
              <w:t>Tiekėjui nepateikus nurodytų dokumentų, laikoma, kad Paslaugos neatitinka Sutartyje nustatytų reikalavimų.</w:t>
            </w:r>
            <w:r w:rsidRPr="00AB3122">
              <w:rPr>
                <w:rFonts w:ascii="Times New Roman" w:hAnsi="Times New Roman" w:cs="Times New Roman"/>
              </w:rPr>
              <w:t>“? Ar paslaugų tinkamumas bus susietas su akto ir sąskaitos pateikimu? Ir nepateikus akto ar sąskaitos bus laikoma, kad paslauga suteikta netinkamai?</w:t>
            </w:r>
          </w:p>
        </w:tc>
        <w:tc>
          <w:tcPr>
            <w:tcW w:w="3772" w:type="dxa"/>
          </w:tcPr>
          <w:p w14:paraId="1034F14D" w14:textId="77777777" w:rsidR="008948D4" w:rsidRPr="001F7734" w:rsidRDefault="008948D4" w:rsidP="008948D4">
            <w:pPr>
              <w:jc w:val="both"/>
              <w:rPr>
                <w:rFonts w:ascii="Times New Roman" w:hAnsi="Times New Roman" w:cs="Times New Roman"/>
              </w:rPr>
            </w:pPr>
            <w:r w:rsidRPr="001F7734">
              <w:rPr>
                <w:rFonts w:ascii="Times New Roman" w:hAnsi="Times New Roman" w:cs="Times New Roman"/>
              </w:rPr>
              <w:lastRenderedPageBreak/>
              <w:t xml:space="preserve">4.5 punkte </w:t>
            </w:r>
            <w:r>
              <w:rPr>
                <w:rFonts w:ascii="Times New Roman" w:hAnsi="Times New Roman" w:cs="Times New Roman"/>
              </w:rPr>
              <w:t>nustatyta</w:t>
            </w:r>
            <w:r w:rsidRPr="001F7734">
              <w:rPr>
                <w:rFonts w:ascii="Times New Roman" w:hAnsi="Times New Roman" w:cs="Times New Roman"/>
              </w:rPr>
              <w:t xml:space="preserve"> kas turi būti pateikiama atlikus darbus. Perkančioji organizacija neapmokės už suteiktas </w:t>
            </w:r>
            <w:r w:rsidRPr="001F7734">
              <w:rPr>
                <w:rFonts w:ascii="Times New Roman" w:hAnsi="Times New Roman" w:cs="Times New Roman"/>
              </w:rPr>
              <w:lastRenderedPageBreak/>
              <w:t xml:space="preserve">paslaugas kol nebus pateikti </w:t>
            </w:r>
            <w:r>
              <w:rPr>
                <w:rFonts w:ascii="Times New Roman" w:hAnsi="Times New Roman" w:cs="Times New Roman"/>
              </w:rPr>
              <w:t xml:space="preserve">visi </w:t>
            </w:r>
            <w:r w:rsidRPr="001F7734">
              <w:rPr>
                <w:rFonts w:ascii="Times New Roman" w:hAnsi="Times New Roman" w:cs="Times New Roman"/>
              </w:rPr>
              <w:t>prašomi dokumentai, o nepateikus šių dokumentų nebus laikoma, kad paslaugos suteiktos tinkamai.</w:t>
            </w:r>
          </w:p>
        </w:tc>
      </w:tr>
      <w:tr w:rsidR="004C3DCE" w:rsidRPr="001F7734" w14:paraId="74BA6FEB" w14:textId="77777777" w:rsidTr="008948D4">
        <w:tc>
          <w:tcPr>
            <w:tcW w:w="3772" w:type="dxa"/>
          </w:tcPr>
          <w:p w14:paraId="3A4F5FBB" w14:textId="77777777" w:rsidR="004C3DCE" w:rsidRPr="00BD5F06" w:rsidRDefault="004C3DCE" w:rsidP="004C3DCE">
            <w:pPr>
              <w:rPr>
                <w:rFonts w:ascii="Times New Roman" w:eastAsia="Calibri" w:hAnsi="Times New Roman" w:cs="Times New Roman"/>
                <w:b/>
                <w:bCs/>
              </w:rPr>
            </w:pPr>
            <w:r w:rsidRPr="00BD5F06">
              <w:rPr>
                <w:rFonts w:ascii="Times New Roman" w:eastAsia="Calibri" w:hAnsi="Times New Roman" w:cs="Times New Roman"/>
                <w:b/>
                <w:bCs/>
              </w:rPr>
              <w:lastRenderedPageBreak/>
              <w:t>5.3.1. Sutarties kainos / įkainių peržiūra dėl PVM tarifo pasikeitimo</w:t>
            </w:r>
          </w:p>
          <w:p w14:paraId="6790A135" w14:textId="121857B0" w:rsidR="004C3DCE" w:rsidRPr="001F7734" w:rsidRDefault="004C3DCE" w:rsidP="004C3DCE">
            <w:pPr>
              <w:jc w:val="both"/>
              <w:rPr>
                <w:rFonts w:ascii="Times New Roman" w:eastAsia="Calibri" w:hAnsi="Times New Roman" w:cs="Times New Roman"/>
              </w:rPr>
            </w:pPr>
            <w:r w:rsidRPr="0062264F">
              <w:rPr>
                <w:rFonts w:ascii="Times New Roman" w:eastAsia="Calibri" w:hAnsi="Times New Roman" w:cs="Times New Roman"/>
              </w:rPr>
              <w:t>Perskaičiuota (-i) Sutarties kaina / įkainiai įforminama (-i) Susitarimu ir turi būti taikoma (-i) nuo naujo PVM įvedimo datos (nepriklausomai nuo to, kada pasirašytas Susitarimas).</w:t>
            </w:r>
          </w:p>
        </w:tc>
        <w:tc>
          <w:tcPr>
            <w:tcW w:w="1806" w:type="dxa"/>
          </w:tcPr>
          <w:p w14:paraId="3285635E" w14:textId="5AEB1084" w:rsidR="004C3DCE" w:rsidRPr="001F7734" w:rsidRDefault="004C3DCE" w:rsidP="004C3DCE">
            <w:pPr>
              <w:jc w:val="both"/>
              <w:rPr>
                <w:rFonts w:ascii="Times New Roman" w:hAnsi="Times New Roman" w:cs="Times New Roman"/>
              </w:rPr>
            </w:pPr>
            <w:r w:rsidRPr="00AE53DD">
              <w:rPr>
                <w:rFonts w:ascii="Times New Roman" w:hAnsi="Times New Roman" w:cs="Times New Roman"/>
              </w:rPr>
              <w:t>Gal sutiktumėte laikyti, kad užtenka vienašališko kurios nors šalies informacinio rašto dėl PVM pasikeitimo?</w:t>
            </w:r>
          </w:p>
        </w:tc>
        <w:tc>
          <w:tcPr>
            <w:tcW w:w="3772" w:type="dxa"/>
          </w:tcPr>
          <w:p w14:paraId="4241E351" w14:textId="2CBE19BD" w:rsidR="004C3DCE" w:rsidRPr="001F7734" w:rsidRDefault="004C3DCE" w:rsidP="004C3DCE">
            <w:pPr>
              <w:jc w:val="both"/>
              <w:rPr>
                <w:rFonts w:ascii="Times New Roman" w:hAnsi="Times New Roman" w:cs="Times New Roman"/>
              </w:rPr>
            </w:pPr>
            <w:r>
              <w:rPr>
                <w:rFonts w:ascii="Times New Roman" w:hAnsi="Times New Roman" w:cs="Times New Roman"/>
              </w:rPr>
              <w:t>Nekeičiame</w:t>
            </w:r>
          </w:p>
        </w:tc>
      </w:tr>
      <w:tr w:rsidR="00DA339C" w:rsidRPr="001F7734" w14:paraId="7B63CACF" w14:textId="77777777" w:rsidTr="008948D4">
        <w:tc>
          <w:tcPr>
            <w:tcW w:w="3772" w:type="dxa"/>
          </w:tcPr>
          <w:p w14:paraId="2F646DE1" w14:textId="77777777" w:rsidR="00DA339C" w:rsidRPr="001F7734" w:rsidRDefault="00DA339C" w:rsidP="005B7805">
            <w:pPr>
              <w:jc w:val="both"/>
              <w:rPr>
                <w:rFonts w:ascii="Times New Roman" w:eastAsia="Calibri" w:hAnsi="Times New Roman" w:cs="Times New Roman"/>
                <w:b/>
                <w:bCs/>
              </w:rPr>
            </w:pPr>
            <w:r w:rsidRPr="001F7734">
              <w:rPr>
                <w:rFonts w:ascii="Times New Roman" w:eastAsia="Calibri" w:hAnsi="Times New Roman" w:cs="Times New Roman"/>
                <w:b/>
                <w:bCs/>
              </w:rPr>
              <w:t>12.2. Esminiai Sutarties pažeidimai</w:t>
            </w:r>
          </w:p>
        </w:tc>
        <w:tc>
          <w:tcPr>
            <w:tcW w:w="1806" w:type="dxa"/>
          </w:tcPr>
          <w:p w14:paraId="3AD80C9B" w14:textId="77777777" w:rsidR="00DA339C" w:rsidRPr="001F7734" w:rsidRDefault="00DA339C" w:rsidP="005B7805">
            <w:pPr>
              <w:jc w:val="both"/>
              <w:rPr>
                <w:rFonts w:ascii="Times New Roman" w:hAnsi="Times New Roman" w:cs="Times New Roman"/>
              </w:rPr>
            </w:pPr>
            <w:r w:rsidRPr="001F7734">
              <w:rPr>
                <w:rFonts w:ascii="Times New Roman" w:hAnsi="Times New Roman" w:cs="Times New Roman"/>
              </w:rPr>
              <w:t>Ar teisingai suprantame, kad pažeidimai esminiais bus laikomi atsižvelgiant į pažeidimo apimtį? Pavyzdžiui, tik formalus pažeidimas nebus laikomas esminiu?</w:t>
            </w:r>
          </w:p>
        </w:tc>
        <w:tc>
          <w:tcPr>
            <w:tcW w:w="3772" w:type="dxa"/>
          </w:tcPr>
          <w:p w14:paraId="0D68752C" w14:textId="77777777" w:rsidR="00DA339C" w:rsidRPr="001F7734" w:rsidRDefault="00DA339C" w:rsidP="005B7805">
            <w:pPr>
              <w:jc w:val="both"/>
              <w:rPr>
                <w:rFonts w:ascii="Times New Roman" w:hAnsi="Times New Roman" w:cs="Times New Roman"/>
              </w:rPr>
            </w:pPr>
            <w:r w:rsidRPr="001F7734">
              <w:rPr>
                <w:rFonts w:ascii="Times New Roman" w:hAnsi="Times New Roman" w:cs="Times New Roman"/>
              </w:rPr>
              <w:t xml:space="preserve">Kas </w:t>
            </w:r>
            <w:r>
              <w:rPr>
                <w:rFonts w:ascii="Times New Roman" w:hAnsi="Times New Roman" w:cs="Times New Roman"/>
              </w:rPr>
              <w:t>bus laikoma</w:t>
            </w:r>
            <w:r w:rsidRPr="001F7734">
              <w:rPr>
                <w:rFonts w:ascii="Times New Roman" w:hAnsi="Times New Roman" w:cs="Times New Roman"/>
              </w:rPr>
              <w:t xml:space="preserve"> esminiais sutarties pažeidimais, nurodyta Sutarties specialiųjų sąlygų 12.2.1 - 12.2.8 punktuose.</w:t>
            </w:r>
          </w:p>
        </w:tc>
      </w:tr>
      <w:tr w:rsidR="00DA339C" w:rsidRPr="001F7734" w14:paraId="7C3A3C3D" w14:textId="77777777" w:rsidTr="008948D4">
        <w:tc>
          <w:tcPr>
            <w:tcW w:w="3772" w:type="dxa"/>
          </w:tcPr>
          <w:p w14:paraId="3E685F62" w14:textId="77777777" w:rsidR="00DA339C" w:rsidRPr="001F7734" w:rsidRDefault="00DA339C" w:rsidP="005B7805">
            <w:pPr>
              <w:pBdr>
                <w:top w:val="nil"/>
                <w:left w:val="nil"/>
                <w:bottom w:val="nil"/>
                <w:right w:val="nil"/>
                <w:between w:val="nil"/>
                <w:bar w:val="nil"/>
              </w:pBdr>
              <w:suppressAutoHyphens/>
              <w:jc w:val="both"/>
              <w:rPr>
                <w:kern w:val="2"/>
                <w:szCs w:val="24"/>
              </w:rPr>
            </w:pPr>
            <w:r w:rsidRPr="001F7734">
              <w:rPr>
                <w:rFonts w:ascii="Times New Roman" w:hAnsi="Times New Roman" w:cs="Times New Roman"/>
                <w:kern w:val="2"/>
                <w:szCs w:val="24"/>
              </w:rPr>
              <w:t>15</w:t>
            </w:r>
            <w:r w:rsidRPr="001F7734">
              <w:rPr>
                <w:rFonts w:ascii="Times New Roman" w:hAnsi="Times New Roman" w:cs="Times New Roman"/>
                <w:kern w:val="2"/>
                <w:szCs w:val="24"/>
                <w:vertAlign w:val="superscript"/>
              </w:rPr>
              <w:t>2</w:t>
            </w:r>
            <w:r w:rsidRPr="001F7734">
              <w:rPr>
                <w:rFonts w:ascii="Times New Roman" w:hAnsi="Times New Roman" w:cs="Times New Roman"/>
                <w:kern w:val="2"/>
                <w:szCs w:val="24"/>
              </w:rPr>
              <w:t>.4.</w:t>
            </w:r>
            <w:r w:rsidRPr="001F7734">
              <w:rPr>
                <w:kern w:val="2"/>
                <w:szCs w:val="24"/>
              </w:rPr>
              <w:t xml:space="preserve"> </w:t>
            </w:r>
            <w:r w:rsidRPr="001F7734">
              <w:rPr>
                <w:rFonts w:ascii="Times New Roman" w:eastAsia="Calibri" w:hAnsi="Times New Roman" w:cs="Times New Roman"/>
              </w:rPr>
              <w:t>Tiekėjas įsipareigoja leisti Pirkėjui tikrinti informaciją, leidžiančią įsitikinti, ar Tiekėjas tinkamai laikosi Bendrųjų sąlygų 15</w:t>
            </w:r>
            <w:r w:rsidRPr="00970FAA">
              <w:rPr>
                <w:rFonts w:ascii="Times New Roman" w:eastAsia="Calibri" w:hAnsi="Times New Roman" w:cs="Times New Roman"/>
                <w:vertAlign w:val="superscript"/>
              </w:rPr>
              <w:t>2</w:t>
            </w:r>
            <w:r w:rsidRPr="001F7734">
              <w:rPr>
                <w:rFonts w:ascii="Times New Roman" w:eastAsia="Calibri" w:hAnsi="Times New Roman" w:cs="Times New Roman"/>
              </w:rPr>
              <w:t xml:space="preserve">.1 punkto reikalavimų, pavyzdžiui, gavus išankstinį Tiekėjo sutikimą Tiekėjo patalpose arba veiklos vykdymo vietose atlikti patikrinimus (auditus), kuriuos atliktų Pirkėjo darbuotojai arba Pirkėjo </w:t>
            </w:r>
            <w:r w:rsidRPr="001F7734">
              <w:rPr>
                <w:rFonts w:ascii="Times New Roman" w:eastAsia="Calibri" w:hAnsi="Times New Roman" w:cs="Times New Roman"/>
              </w:rPr>
              <w:lastRenderedPageBreak/>
              <w:t>paskirta nepriklausoma, kvalifikuota trečioji šalis.</w:t>
            </w:r>
          </w:p>
          <w:p w14:paraId="452019ED" w14:textId="77777777" w:rsidR="00DA339C" w:rsidRPr="001F7734" w:rsidRDefault="00DA339C" w:rsidP="005B7805">
            <w:pPr>
              <w:jc w:val="both"/>
              <w:rPr>
                <w:rFonts w:ascii="Times New Roman" w:eastAsia="Calibri" w:hAnsi="Times New Roman" w:cs="Times New Roman"/>
              </w:rPr>
            </w:pPr>
          </w:p>
        </w:tc>
        <w:tc>
          <w:tcPr>
            <w:tcW w:w="1806" w:type="dxa"/>
          </w:tcPr>
          <w:p w14:paraId="7B8F8571" w14:textId="77777777" w:rsidR="00DA339C" w:rsidRPr="001F7734" w:rsidRDefault="00DA339C" w:rsidP="005B7805">
            <w:pPr>
              <w:jc w:val="both"/>
              <w:rPr>
                <w:rFonts w:ascii="Times New Roman" w:hAnsi="Times New Roman" w:cs="Times New Roman"/>
              </w:rPr>
            </w:pPr>
            <w:r w:rsidRPr="001F7734">
              <w:rPr>
                <w:rFonts w:ascii="Times New Roman" w:hAnsi="Times New Roman" w:cs="Times New Roman"/>
              </w:rPr>
              <w:lastRenderedPageBreak/>
              <w:t xml:space="preserve">Prašytume pateikti paaiškinimus kaip bus atliekami auditai siekiant įsitikinti atitikimą 152 punkto nuostatoms? Kas bus tikrinama atliekant auditą </w:t>
            </w:r>
            <w:r w:rsidRPr="001F7734">
              <w:rPr>
                <w:rFonts w:ascii="Times New Roman" w:hAnsi="Times New Roman" w:cs="Times New Roman"/>
              </w:rPr>
              <w:lastRenderedPageBreak/>
              <w:t>Tiekėjo patalpose? Ir kaip tai bus atliekama?</w:t>
            </w:r>
          </w:p>
        </w:tc>
        <w:tc>
          <w:tcPr>
            <w:tcW w:w="3772" w:type="dxa"/>
          </w:tcPr>
          <w:p w14:paraId="4BFF32EA" w14:textId="77777777" w:rsidR="00DA339C" w:rsidRDefault="00DA339C" w:rsidP="005B7805">
            <w:pPr>
              <w:jc w:val="both"/>
              <w:rPr>
                <w:rFonts w:ascii="Times New Roman" w:hAnsi="Times New Roman" w:cs="Times New Roman"/>
              </w:rPr>
            </w:pPr>
            <w:r w:rsidRPr="001F7734">
              <w:rPr>
                <w:rFonts w:ascii="Times New Roman" w:hAnsi="Times New Roman" w:cs="Times New Roman"/>
              </w:rPr>
              <w:lastRenderedPageBreak/>
              <w:t>.</w:t>
            </w:r>
            <w:r>
              <w:rPr>
                <w:rFonts w:ascii="Times New Roman" w:hAnsi="Times New Roman" w:cs="Times New Roman"/>
              </w:rPr>
              <w:t xml:space="preserve"> Siekiant įsitikinti, ar tiekėjas laikosi </w:t>
            </w:r>
            <w:r w:rsidRPr="001F7734">
              <w:rPr>
                <w:rFonts w:ascii="Times New Roman" w:eastAsia="Calibri" w:hAnsi="Times New Roman" w:cs="Times New Roman"/>
              </w:rPr>
              <w:t>Bendrųjų sąlygų 15</w:t>
            </w:r>
            <w:r w:rsidRPr="00876998">
              <w:rPr>
                <w:rFonts w:ascii="Times New Roman" w:eastAsia="Calibri" w:hAnsi="Times New Roman" w:cs="Times New Roman"/>
                <w:vertAlign w:val="superscript"/>
              </w:rPr>
              <w:t>2</w:t>
            </w:r>
            <w:r w:rsidRPr="001F7734">
              <w:rPr>
                <w:rFonts w:ascii="Times New Roman" w:eastAsia="Calibri" w:hAnsi="Times New Roman" w:cs="Times New Roman"/>
              </w:rPr>
              <w:t>.1 punkto reikalavimų</w:t>
            </w:r>
            <w:r>
              <w:rPr>
                <w:rFonts w:ascii="Times New Roman" w:eastAsia="Calibri" w:hAnsi="Times New Roman" w:cs="Times New Roman"/>
              </w:rPr>
              <w:t>,</w:t>
            </w:r>
            <w:r w:rsidRPr="001F7734">
              <w:rPr>
                <w:rFonts w:ascii="Times New Roman" w:hAnsi="Times New Roman" w:cs="Times New Roman"/>
              </w:rPr>
              <w:t xml:space="preserve"> Sutartyje </w:t>
            </w:r>
            <w:r>
              <w:rPr>
                <w:rFonts w:ascii="Times New Roman" w:hAnsi="Times New Roman" w:cs="Times New Roman"/>
              </w:rPr>
              <w:t>nustatytas tiekėjo įsipareigojimas</w:t>
            </w:r>
            <w:r w:rsidRPr="001F7734">
              <w:rPr>
                <w:rFonts w:ascii="Times New Roman" w:hAnsi="Times New Roman" w:cs="Times New Roman"/>
              </w:rPr>
              <w:t xml:space="preserve"> leisti Pirkėjui (Respublikinė Panevėžio ligoninė VšĮ) tikrinti informaciją, t.y. </w:t>
            </w:r>
            <w:r>
              <w:rPr>
                <w:rFonts w:ascii="Times New Roman" w:hAnsi="Times New Roman" w:cs="Times New Roman"/>
              </w:rPr>
              <w:t xml:space="preserve">Tiekėjo patalpose arba veiklos vykdymo vietose atlikti patikrinimus (auditus), kuriuos atliktų </w:t>
            </w:r>
            <w:r w:rsidRPr="001F7734">
              <w:rPr>
                <w:rFonts w:ascii="Times New Roman" w:hAnsi="Times New Roman" w:cs="Times New Roman"/>
              </w:rPr>
              <w:t xml:space="preserve">Pirkėjo darbuotojai arba Pirkėjo paskirta nepriklausoma, kvalifikuota </w:t>
            </w:r>
            <w:r w:rsidRPr="001F7734">
              <w:rPr>
                <w:rFonts w:ascii="Times New Roman" w:hAnsi="Times New Roman" w:cs="Times New Roman"/>
              </w:rPr>
              <w:lastRenderedPageBreak/>
              <w:t>trečioji šalis.</w:t>
            </w:r>
            <w:r>
              <w:rPr>
                <w:rFonts w:ascii="Times New Roman" w:hAnsi="Times New Roman" w:cs="Times New Roman"/>
              </w:rPr>
              <w:t xml:space="preserve"> Vadovaujantis Viešųjų pirkimų tarnybos parengtu </w:t>
            </w:r>
            <w:r w:rsidRPr="0061557A">
              <w:rPr>
                <w:rFonts w:ascii="Times New Roman" w:hAnsi="Times New Roman" w:cs="Times New Roman"/>
              </w:rPr>
              <w:t>Tiekėjų etikos kodeks</w:t>
            </w:r>
            <w:r>
              <w:rPr>
                <w:rFonts w:ascii="Times New Roman" w:hAnsi="Times New Roman" w:cs="Times New Roman"/>
              </w:rPr>
              <w:t>u (įsipareigojimas jo laikytis nustatytas 15</w:t>
            </w:r>
            <w:r w:rsidRPr="00970FAA">
              <w:rPr>
                <w:rFonts w:ascii="Times New Roman" w:hAnsi="Times New Roman" w:cs="Times New Roman"/>
                <w:vertAlign w:val="superscript"/>
              </w:rPr>
              <w:t>1</w:t>
            </w:r>
            <w:r>
              <w:rPr>
                <w:rFonts w:ascii="Times New Roman" w:hAnsi="Times New Roman" w:cs="Times New Roman"/>
              </w:rPr>
              <w:t>.1 p.)</w:t>
            </w:r>
            <w:r w:rsidRPr="0061557A">
              <w:rPr>
                <w:rFonts w:ascii="Times New Roman" w:hAnsi="Times New Roman" w:cs="Times New Roman"/>
              </w:rPr>
              <w:t xml:space="preserve"> </w:t>
            </w:r>
            <w:r>
              <w:rPr>
                <w:rFonts w:ascii="Times New Roman" w:hAnsi="Times New Roman" w:cs="Times New Roman"/>
              </w:rPr>
              <w:t>Pirkėjas</w:t>
            </w:r>
            <w:r w:rsidRPr="0061557A">
              <w:rPr>
                <w:rFonts w:ascii="Times New Roman" w:hAnsi="Times New Roman" w:cs="Times New Roman"/>
              </w:rPr>
              <w:t xml:space="preserve"> su </w:t>
            </w:r>
            <w:r>
              <w:rPr>
                <w:rFonts w:ascii="Times New Roman" w:hAnsi="Times New Roman" w:cs="Times New Roman"/>
              </w:rPr>
              <w:t>t</w:t>
            </w:r>
            <w:r w:rsidRPr="0061557A">
              <w:rPr>
                <w:rFonts w:ascii="Times New Roman" w:hAnsi="Times New Roman" w:cs="Times New Roman"/>
              </w:rPr>
              <w:t>iekėju suderina patikrinimo apimtį, laikotarpį bei reikalingus pateikti duomenis, paaiškinimus. Jeigu tiekėjas atsisako pateikti pirkimo vykdytojo prašomą informaciją ar leisti apsilankyti tiekėjo patalpose, tai yra prilyginama Kodekso pažeidimui.</w:t>
            </w:r>
          </w:p>
          <w:p w14:paraId="18512662" w14:textId="77777777" w:rsidR="00DA339C" w:rsidRPr="001F7734" w:rsidRDefault="00DA339C" w:rsidP="005B7805">
            <w:pPr>
              <w:jc w:val="both"/>
              <w:rPr>
                <w:rFonts w:ascii="Times New Roman" w:hAnsi="Times New Roman" w:cs="Times New Roman"/>
              </w:rPr>
            </w:pPr>
            <w:r>
              <w:rPr>
                <w:rFonts w:ascii="Times New Roman" w:hAnsi="Times New Roman" w:cs="Times New Roman"/>
              </w:rPr>
              <w:t>Patikrinimai atliekami esant 15</w:t>
            </w:r>
            <w:r w:rsidRPr="00970FAA">
              <w:rPr>
                <w:rFonts w:ascii="Times New Roman" w:hAnsi="Times New Roman" w:cs="Times New Roman"/>
                <w:vertAlign w:val="superscript"/>
              </w:rPr>
              <w:t>2</w:t>
            </w:r>
            <w:r>
              <w:rPr>
                <w:rFonts w:ascii="Times New Roman" w:hAnsi="Times New Roman" w:cs="Times New Roman"/>
              </w:rPr>
              <w:t>.3 p. numatytiems įtarimams.</w:t>
            </w:r>
          </w:p>
        </w:tc>
      </w:tr>
      <w:tr w:rsidR="004C3DCE" w:rsidRPr="001F7734" w14:paraId="08915F14" w14:textId="77777777" w:rsidTr="00D82C9B">
        <w:tc>
          <w:tcPr>
            <w:tcW w:w="9350" w:type="dxa"/>
            <w:gridSpan w:val="3"/>
          </w:tcPr>
          <w:p w14:paraId="06A87B5D" w14:textId="74464B23" w:rsidR="004C3DCE" w:rsidRPr="001F7734" w:rsidRDefault="004C3DCE" w:rsidP="005B7805">
            <w:pPr>
              <w:rPr>
                <w:rFonts w:ascii="Times New Roman" w:hAnsi="Times New Roman" w:cs="Times New Roman"/>
                <w:b/>
                <w:bCs/>
                <w:i/>
                <w:iCs/>
              </w:rPr>
            </w:pPr>
            <w:r w:rsidRPr="001F7734">
              <w:rPr>
                <w:rFonts w:ascii="Times New Roman" w:hAnsi="Times New Roman" w:cs="Times New Roman"/>
                <w:b/>
                <w:bCs/>
                <w:i/>
                <w:iCs/>
              </w:rPr>
              <w:lastRenderedPageBreak/>
              <w:t>Dėl paslaugų pirkimo-pardavimo sutarties bendrųjų sąlygų</w:t>
            </w:r>
          </w:p>
        </w:tc>
      </w:tr>
      <w:tr w:rsidR="00DA339C" w:rsidRPr="001F7734" w14:paraId="6B308810" w14:textId="77777777" w:rsidTr="008948D4">
        <w:tc>
          <w:tcPr>
            <w:tcW w:w="3772" w:type="dxa"/>
          </w:tcPr>
          <w:p w14:paraId="4D270208" w14:textId="77777777" w:rsidR="00DA339C" w:rsidRPr="001F7734" w:rsidRDefault="00DA339C" w:rsidP="005B7805">
            <w:pPr>
              <w:jc w:val="both"/>
              <w:rPr>
                <w:rFonts w:ascii="Times New Roman" w:eastAsia="Calibri" w:hAnsi="Times New Roman" w:cs="Times New Roman"/>
              </w:rPr>
            </w:pPr>
            <w:r w:rsidRPr="001F7734">
              <w:rPr>
                <w:rFonts w:ascii="Times New Roman" w:eastAsia="Calibri" w:hAnsi="Times New Roman" w:cs="Times New Roman"/>
              </w:rPr>
              <w:t>7.3.1.</w:t>
            </w:r>
            <w:r w:rsidRPr="001F7734">
              <w:rPr>
                <w:rFonts w:ascii="Times New Roman" w:eastAsia="Calibri" w:hAnsi="Times New Roman" w:cs="Times New Roman"/>
              </w:rPr>
              <w:tab/>
              <w:t>Tiekėjas privalo nemokamai pašalinti Paslaugų rezultato trūkumus. Jeigu nustatomi su Paslaugomis susijusių prekių trūkumai, Tiekėjas privalo pašalinti jų trūkumus, sutaisydamas prekes ar jų dalį arba pakeisdamas prekę nauja preke ar jos dalimi.</w:t>
            </w:r>
          </w:p>
        </w:tc>
        <w:tc>
          <w:tcPr>
            <w:tcW w:w="1806" w:type="dxa"/>
          </w:tcPr>
          <w:p w14:paraId="6C85DB33" w14:textId="77777777" w:rsidR="00DA339C" w:rsidRPr="001F7734" w:rsidRDefault="00DA339C" w:rsidP="005B7805">
            <w:pPr>
              <w:jc w:val="both"/>
              <w:rPr>
                <w:rFonts w:ascii="Times New Roman" w:hAnsi="Times New Roman" w:cs="Times New Roman"/>
              </w:rPr>
            </w:pPr>
            <w:r w:rsidRPr="001F7734">
              <w:rPr>
                <w:rFonts w:ascii="Times New Roman" w:hAnsi="Times New Roman" w:cs="Times New Roman"/>
              </w:rPr>
              <w:t>Ar informacinė sistema (kompiuterių programinė įranga) bus laikoma preke?</w:t>
            </w:r>
          </w:p>
        </w:tc>
        <w:tc>
          <w:tcPr>
            <w:tcW w:w="3772" w:type="dxa"/>
          </w:tcPr>
          <w:p w14:paraId="66371BC0" w14:textId="77777777" w:rsidR="00DA339C" w:rsidRPr="00970FAA" w:rsidRDefault="00DA339C" w:rsidP="005B7805">
            <w:pPr>
              <w:jc w:val="both"/>
              <w:rPr>
                <w:rFonts w:ascii="Times New Roman" w:hAnsi="Times New Roman" w:cs="Times New Roman"/>
              </w:rPr>
            </w:pPr>
            <w:r w:rsidRPr="001F7734">
              <w:rPr>
                <w:rFonts w:ascii="Times New Roman" w:hAnsi="Times New Roman" w:cs="Times New Roman"/>
              </w:rPr>
              <w:t>7.3.1.</w:t>
            </w:r>
            <w:r>
              <w:rPr>
                <w:rFonts w:ascii="Times New Roman" w:hAnsi="Times New Roman" w:cs="Times New Roman"/>
              </w:rPr>
              <w:t xml:space="preserve"> punkte nustatyta, kad</w:t>
            </w:r>
            <w:r w:rsidRPr="001F7734">
              <w:rPr>
                <w:rFonts w:ascii="Times New Roman" w:hAnsi="Times New Roman" w:cs="Times New Roman"/>
              </w:rPr>
              <w:t xml:space="preserve"> Tiekėjas privalo nemokamai pašalinti Paslaugų rezultato trūkumus. Jeigu </w:t>
            </w:r>
            <w:r w:rsidRPr="00970FAA">
              <w:rPr>
                <w:rFonts w:ascii="Times New Roman" w:hAnsi="Times New Roman" w:cs="Times New Roman"/>
                <w:b/>
                <w:bCs/>
              </w:rPr>
              <w:t>n</w:t>
            </w:r>
            <w:r w:rsidRPr="001F7734">
              <w:rPr>
                <w:rFonts w:ascii="Times New Roman" w:hAnsi="Times New Roman" w:cs="Times New Roman"/>
                <w:b/>
                <w:bCs/>
              </w:rPr>
              <w:t xml:space="preserve">ustatomi su </w:t>
            </w:r>
            <w:r w:rsidRPr="001F7734">
              <w:rPr>
                <w:rFonts w:ascii="Times New Roman" w:hAnsi="Times New Roman" w:cs="Times New Roman"/>
                <w:b/>
                <w:bCs/>
                <w:u w:val="single"/>
              </w:rPr>
              <w:t>Paslaugomis susijusių</w:t>
            </w:r>
            <w:r w:rsidRPr="001F7734">
              <w:rPr>
                <w:rFonts w:ascii="Times New Roman" w:hAnsi="Times New Roman" w:cs="Times New Roman"/>
                <w:b/>
                <w:bCs/>
              </w:rPr>
              <w:t xml:space="preserve"> </w:t>
            </w:r>
            <w:r w:rsidRPr="001F7734">
              <w:rPr>
                <w:rFonts w:ascii="Times New Roman" w:hAnsi="Times New Roman" w:cs="Times New Roman"/>
                <w:b/>
                <w:bCs/>
                <w:u w:val="single"/>
              </w:rPr>
              <w:t>prekių trūkumai</w:t>
            </w:r>
            <w:r w:rsidRPr="001F7734">
              <w:rPr>
                <w:rFonts w:ascii="Times New Roman" w:hAnsi="Times New Roman" w:cs="Times New Roman"/>
                <w:u w:val="single"/>
              </w:rPr>
              <w:t>,</w:t>
            </w:r>
            <w:r w:rsidRPr="001F7734">
              <w:rPr>
                <w:rFonts w:ascii="Times New Roman" w:hAnsi="Times New Roman" w:cs="Times New Roman"/>
              </w:rPr>
              <w:t xml:space="preserve"> Tiekėjas privalo pašalinti jų trūkumus, sutaisydamas prekes ar jų dalį arba pakeisdamas prekę nauja preke ar jos dalimi. Tuo atveju, jei kompiuterinė įranga būtų susijusi su paslaugų rezultato trūkumu, </w:t>
            </w:r>
            <w:r>
              <w:rPr>
                <w:rFonts w:ascii="Times New Roman" w:hAnsi="Times New Roman" w:cs="Times New Roman"/>
              </w:rPr>
              <w:t xml:space="preserve">tiekėjas taip pat </w:t>
            </w:r>
            <w:r w:rsidRPr="001F7734">
              <w:rPr>
                <w:rFonts w:ascii="Times New Roman" w:hAnsi="Times New Roman" w:cs="Times New Roman"/>
              </w:rPr>
              <w:t>privalės</w:t>
            </w:r>
            <w:r>
              <w:rPr>
                <w:rFonts w:ascii="Times New Roman" w:hAnsi="Times New Roman" w:cs="Times New Roman"/>
              </w:rPr>
              <w:t xml:space="preserve"> šiuos trūkumus pašalinti</w:t>
            </w:r>
            <w:r w:rsidRPr="001F7734">
              <w:rPr>
                <w:rFonts w:ascii="Times New Roman" w:hAnsi="Times New Roman" w:cs="Times New Roman"/>
              </w:rPr>
              <w:t>.</w:t>
            </w:r>
          </w:p>
        </w:tc>
      </w:tr>
      <w:tr w:rsidR="00DA339C" w:rsidRPr="001F7734" w14:paraId="4D35E7E4" w14:textId="77777777" w:rsidTr="008948D4">
        <w:tc>
          <w:tcPr>
            <w:tcW w:w="3772" w:type="dxa"/>
          </w:tcPr>
          <w:p w14:paraId="4AAC683F" w14:textId="77777777" w:rsidR="00DA339C" w:rsidRPr="001F7734" w:rsidRDefault="00DA339C" w:rsidP="005B7805">
            <w:pPr>
              <w:jc w:val="both"/>
              <w:rPr>
                <w:rFonts w:ascii="Times New Roman" w:eastAsia="Calibri" w:hAnsi="Times New Roman" w:cs="Times New Roman"/>
              </w:rPr>
            </w:pPr>
            <w:r w:rsidRPr="001F7734">
              <w:rPr>
                <w:rFonts w:ascii="Times New Roman" w:eastAsia="Calibri" w:hAnsi="Times New Roman" w:cs="Times New Roman"/>
              </w:rPr>
              <w:t>7.4.1.3.atsisakyti Paslaugų ir nemokėti už tokias Paslaugas ar reikalauti grąžinti už Paslaugas sumokėtą sumą bei nutraukti Sutartį.</w:t>
            </w:r>
          </w:p>
        </w:tc>
        <w:tc>
          <w:tcPr>
            <w:tcW w:w="1806" w:type="dxa"/>
          </w:tcPr>
          <w:p w14:paraId="53280876" w14:textId="2F1CD92D" w:rsidR="00DA339C" w:rsidRPr="001F7734" w:rsidRDefault="00DA339C" w:rsidP="005B7805">
            <w:pPr>
              <w:jc w:val="both"/>
              <w:rPr>
                <w:rFonts w:ascii="Times New Roman" w:hAnsi="Times New Roman" w:cs="Times New Roman"/>
              </w:rPr>
            </w:pPr>
            <w:r w:rsidRPr="001F7734">
              <w:rPr>
                <w:rFonts w:ascii="Times New Roman" w:hAnsi="Times New Roman" w:cs="Times New Roman"/>
              </w:rPr>
              <w:t xml:space="preserve">Ar teisingai suprantame, kad priemonės bus taikomos atsižvelgiant į pažeidimo apimtį? Pavyzdžiui, dėl dalies paslaugų trūkumų nebus atsisakoma visų paslaugų, o tik tos dalies? </w:t>
            </w:r>
          </w:p>
        </w:tc>
        <w:tc>
          <w:tcPr>
            <w:tcW w:w="3772" w:type="dxa"/>
          </w:tcPr>
          <w:p w14:paraId="41D96CF6" w14:textId="77777777" w:rsidR="00DA339C" w:rsidRPr="001F7734" w:rsidRDefault="00DA339C" w:rsidP="005B7805">
            <w:pPr>
              <w:jc w:val="both"/>
              <w:rPr>
                <w:rFonts w:ascii="Times New Roman" w:hAnsi="Times New Roman" w:cs="Times New Roman"/>
              </w:rPr>
            </w:pPr>
            <w:r w:rsidRPr="001F7734">
              <w:rPr>
                <w:rFonts w:ascii="Times New Roman" w:hAnsi="Times New Roman" w:cs="Times New Roman"/>
              </w:rPr>
              <w:t>Sutarties Bendrųjų sąlygų</w:t>
            </w:r>
            <w:r>
              <w:rPr>
                <w:rFonts w:ascii="Times New Roman" w:hAnsi="Times New Roman" w:cs="Times New Roman"/>
              </w:rPr>
              <w:t xml:space="preserve"> </w:t>
            </w:r>
            <w:r w:rsidRPr="001F7734">
              <w:rPr>
                <w:rFonts w:ascii="Times New Roman" w:hAnsi="Times New Roman" w:cs="Times New Roman"/>
                <w:b/>
                <w:bCs/>
              </w:rPr>
              <w:t>7.4.</w:t>
            </w:r>
            <w:r>
              <w:rPr>
                <w:rFonts w:ascii="Times New Roman" w:hAnsi="Times New Roman" w:cs="Times New Roman"/>
              </w:rPr>
              <w:t xml:space="preserve"> </w:t>
            </w:r>
            <w:r w:rsidRPr="001F7734">
              <w:rPr>
                <w:rFonts w:ascii="Times New Roman" w:hAnsi="Times New Roman" w:cs="Times New Roman"/>
              </w:rPr>
              <w:t>p. nustatytos </w:t>
            </w:r>
            <w:r w:rsidRPr="001F7734">
              <w:rPr>
                <w:rFonts w:ascii="Times New Roman" w:hAnsi="Times New Roman" w:cs="Times New Roman"/>
                <w:b/>
                <w:bCs/>
              </w:rPr>
              <w:t xml:space="preserve">Pirkėjo </w:t>
            </w:r>
            <w:r w:rsidRPr="001F7734">
              <w:rPr>
                <w:rFonts w:ascii="Times New Roman" w:hAnsi="Times New Roman" w:cs="Times New Roman"/>
                <w:b/>
                <w:bCs/>
                <w:u w:val="single"/>
              </w:rPr>
              <w:t>teisės</w:t>
            </w:r>
            <w:r w:rsidRPr="001F7734">
              <w:rPr>
                <w:rFonts w:ascii="Times New Roman" w:hAnsi="Times New Roman" w:cs="Times New Roman"/>
                <w:b/>
                <w:bCs/>
              </w:rPr>
              <w:t>, Tiekėjui nepašalinus Paslaugų trūkumų</w:t>
            </w:r>
            <w:r w:rsidRPr="001F7734">
              <w:rPr>
                <w:rFonts w:ascii="Times New Roman" w:hAnsi="Times New Roman" w:cs="Times New Roman"/>
              </w:rPr>
              <w:t>.</w:t>
            </w:r>
            <w:r>
              <w:rPr>
                <w:rFonts w:ascii="Times New Roman" w:hAnsi="Times New Roman" w:cs="Times New Roman"/>
              </w:rPr>
              <w:t xml:space="preserve"> </w:t>
            </w:r>
            <w:r w:rsidRPr="001F7734">
              <w:rPr>
                <w:rFonts w:ascii="Times New Roman" w:hAnsi="Times New Roman" w:cs="Times New Roman"/>
              </w:rPr>
              <w:t>Priemonės visada taikomos atsižvelgiant į pažeidimo pobūdį, apimtį ir t.t., vadovaujantis tiek šalių pasirašytos</w:t>
            </w:r>
            <w:r>
              <w:rPr>
                <w:rFonts w:ascii="Times New Roman" w:hAnsi="Times New Roman" w:cs="Times New Roman"/>
              </w:rPr>
              <w:t xml:space="preserve"> </w:t>
            </w:r>
            <w:r w:rsidRPr="001F7734">
              <w:rPr>
                <w:rFonts w:ascii="Times New Roman" w:hAnsi="Times New Roman" w:cs="Times New Roman"/>
              </w:rPr>
              <w:t>sutarties nuostatomis, tiek bendraisiais civilinės teisės reguliavimo principais.</w:t>
            </w:r>
          </w:p>
        </w:tc>
      </w:tr>
      <w:bookmarkEnd w:id="0"/>
    </w:tbl>
    <w:p w14:paraId="6E7B273F" w14:textId="459D8CD3" w:rsidR="00DA339C" w:rsidRPr="001F7734" w:rsidRDefault="00DA339C" w:rsidP="00145A63">
      <w:pPr>
        <w:pStyle w:val="FreeForm"/>
        <w:jc w:val="both"/>
        <w:rPr>
          <w:rFonts w:ascii="Times New Roman" w:eastAsia="Times New Roman" w:hAnsi="Times New Roman" w:cs="Times New Roman"/>
          <w:color w:val="auto"/>
          <w:sz w:val="24"/>
          <w:szCs w:val="24"/>
          <w:bdr w:val="none" w:sz="0" w:space="0" w:color="auto"/>
          <w:lang w:val="lt-LT"/>
        </w:rPr>
      </w:pPr>
    </w:p>
    <w:sectPr w:rsidR="00DA339C" w:rsidRPr="001F7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FF"/>
    <w:rsid w:val="00027CBD"/>
    <w:rsid w:val="000C7E9C"/>
    <w:rsid w:val="00145A63"/>
    <w:rsid w:val="00174F0B"/>
    <w:rsid w:val="0040690B"/>
    <w:rsid w:val="00464988"/>
    <w:rsid w:val="004C00D7"/>
    <w:rsid w:val="004C3DCE"/>
    <w:rsid w:val="007842FF"/>
    <w:rsid w:val="008948D4"/>
    <w:rsid w:val="00944108"/>
    <w:rsid w:val="00A74767"/>
    <w:rsid w:val="00B03D16"/>
    <w:rsid w:val="00BE43C6"/>
    <w:rsid w:val="00BF129A"/>
    <w:rsid w:val="00C3164D"/>
    <w:rsid w:val="00DA339C"/>
    <w:rsid w:val="00E5525B"/>
    <w:rsid w:val="00EA4045"/>
    <w:rsid w:val="00F24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A657"/>
  <w15:chartTrackingRefBased/>
  <w15:docId w15:val="{831D3EE2-83C2-45AE-BEED-F2CF9351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2FF"/>
    <w:rPr>
      <w:kern w:val="0"/>
      <w14:ligatures w14:val="none"/>
    </w:rPr>
  </w:style>
  <w:style w:type="paragraph" w:styleId="Heading1">
    <w:name w:val="heading 1"/>
    <w:basedOn w:val="Normal"/>
    <w:next w:val="Normal"/>
    <w:link w:val="Heading1Char"/>
    <w:uiPriority w:val="9"/>
    <w:qFormat/>
    <w:rsid w:val="007842F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842F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842F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842F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842F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842F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2FF"/>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2FF"/>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2FF"/>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2FF"/>
    <w:rPr>
      <w:rFonts w:eastAsiaTheme="majorEastAsia" w:cstheme="majorBidi"/>
      <w:color w:val="272727" w:themeColor="text1" w:themeTint="D8"/>
    </w:rPr>
  </w:style>
  <w:style w:type="paragraph" w:styleId="Title">
    <w:name w:val="Title"/>
    <w:basedOn w:val="Normal"/>
    <w:next w:val="Normal"/>
    <w:link w:val="TitleChar"/>
    <w:uiPriority w:val="10"/>
    <w:qFormat/>
    <w:rsid w:val="007842F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84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2F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4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2FF"/>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842FF"/>
    <w:rPr>
      <w:i/>
      <w:iCs/>
      <w:color w:val="404040" w:themeColor="text1" w:themeTint="BF"/>
    </w:rPr>
  </w:style>
  <w:style w:type="paragraph" w:styleId="ListParagraph">
    <w:name w:val="List Paragraph"/>
    <w:basedOn w:val="Normal"/>
    <w:uiPriority w:val="34"/>
    <w:qFormat/>
    <w:rsid w:val="007842FF"/>
    <w:pPr>
      <w:ind w:left="720"/>
      <w:contextualSpacing/>
    </w:pPr>
    <w:rPr>
      <w:kern w:val="2"/>
      <w14:ligatures w14:val="standardContextual"/>
    </w:rPr>
  </w:style>
  <w:style w:type="character" w:styleId="IntenseEmphasis">
    <w:name w:val="Intense Emphasis"/>
    <w:basedOn w:val="DefaultParagraphFont"/>
    <w:uiPriority w:val="21"/>
    <w:qFormat/>
    <w:rsid w:val="007842FF"/>
    <w:rPr>
      <w:i/>
      <w:iCs/>
      <w:color w:val="0F4761" w:themeColor="accent1" w:themeShade="BF"/>
    </w:rPr>
  </w:style>
  <w:style w:type="paragraph" w:styleId="IntenseQuote">
    <w:name w:val="Intense Quote"/>
    <w:basedOn w:val="Normal"/>
    <w:next w:val="Normal"/>
    <w:link w:val="IntenseQuoteChar"/>
    <w:uiPriority w:val="30"/>
    <w:qFormat/>
    <w:rsid w:val="0078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842FF"/>
    <w:rPr>
      <w:i/>
      <w:iCs/>
      <w:color w:val="0F4761" w:themeColor="accent1" w:themeShade="BF"/>
    </w:rPr>
  </w:style>
  <w:style w:type="character" w:styleId="IntenseReference">
    <w:name w:val="Intense Reference"/>
    <w:basedOn w:val="DefaultParagraphFont"/>
    <w:uiPriority w:val="32"/>
    <w:qFormat/>
    <w:rsid w:val="007842FF"/>
    <w:rPr>
      <w:b/>
      <w:bCs/>
      <w:smallCaps/>
      <w:color w:val="0F4761" w:themeColor="accent1" w:themeShade="BF"/>
      <w:spacing w:val="5"/>
    </w:rPr>
  </w:style>
  <w:style w:type="paragraph" w:styleId="NormalWeb">
    <w:name w:val="Normal (Web)"/>
    <w:basedOn w:val="Normal"/>
    <w:uiPriority w:val="99"/>
    <w:unhideWhenUsed/>
    <w:rsid w:val="007842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eeForm">
    <w:name w:val="Free Form"/>
    <w:rsid w:val="007842FF"/>
    <w:pPr>
      <w:pBdr>
        <w:top w:val="nil"/>
        <w:left w:val="nil"/>
        <w:bottom w:val="nil"/>
        <w:right w:val="nil"/>
        <w:between w:val="nil"/>
        <w:bar w:val="nil"/>
      </w:pBdr>
      <w:spacing w:after="0" w:line="240" w:lineRule="auto"/>
    </w:pPr>
    <w:rPr>
      <w:rFonts w:ascii="Helvetica Neue" w:eastAsia="Arial Unicode MS" w:hAnsi="Helvetica Neue" w:cs="Arial Unicode MS"/>
      <w:color w:val="413F3C"/>
      <w:kern w:val="0"/>
      <w:sz w:val="16"/>
      <w:szCs w:val="16"/>
      <w:bdr w:val="nil"/>
      <w14:ligatures w14:val="none"/>
    </w:rPr>
  </w:style>
  <w:style w:type="table" w:styleId="TableGrid">
    <w:name w:val="Table Grid"/>
    <w:basedOn w:val="TableNormal"/>
    <w:uiPriority w:val="39"/>
    <w:rsid w:val="00F24944"/>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Milda Viteikienė</cp:lastModifiedBy>
  <cp:revision>7</cp:revision>
  <dcterms:created xsi:type="dcterms:W3CDTF">2025-03-21T06:47:00Z</dcterms:created>
  <dcterms:modified xsi:type="dcterms:W3CDTF">2025-04-09T10:34:00Z</dcterms:modified>
</cp:coreProperties>
</file>