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15E48A42" w14:textId="64DA2CA6" w:rsidR="0071631C" w:rsidRPr="00596ED1" w:rsidRDefault="00C300D6" w:rsidP="00B50198">
      <w:pPr>
        <w:jc w:val="center"/>
        <w:rPr>
          <w:rFonts w:asciiTheme="majorHAnsi" w:hAnsiTheme="majorHAnsi"/>
          <w:b/>
          <w:sz w:val="22"/>
          <w:szCs w:val="22"/>
          <w:lang w:val="lt-LT"/>
        </w:rPr>
      </w:pPr>
      <w:r w:rsidRPr="00596ED1">
        <w:rPr>
          <w:rFonts w:asciiTheme="majorHAnsi" w:hAnsiTheme="majorHAnsi"/>
          <w:b/>
          <w:sz w:val="22"/>
          <w:szCs w:val="22"/>
          <w:lang w:val="lt-LT"/>
        </w:rPr>
        <w:t>TILAPIJA</w:t>
      </w:r>
    </w:p>
    <w:p w14:paraId="263C13BF" w14:textId="77777777" w:rsidR="003E3C91" w:rsidRPr="00596ED1" w:rsidRDefault="003E3C91" w:rsidP="00B50198">
      <w:pPr>
        <w:jc w:val="center"/>
        <w:rPr>
          <w:rFonts w:asciiTheme="majorHAnsi" w:hAnsiTheme="majorHAnsi"/>
          <w:b/>
          <w:sz w:val="22"/>
          <w:szCs w:val="22"/>
          <w:lang w:val="lt-LT"/>
        </w:rPr>
      </w:pP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094CF8C0"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4C337F">
        <w:rPr>
          <w:rFonts w:asciiTheme="majorHAnsi" w:hAnsiTheme="majorHAnsi"/>
          <w:sz w:val="22"/>
          <w:szCs w:val="22"/>
          <w:lang w:val="lt-LT"/>
        </w:rPr>
        <w:t>tilapiją</w:t>
      </w:r>
      <w:bookmarkStart w:id="0" w:name="_GoBack"/>
      <w:bookmarkEnd w:id="0"/>
      <w:r w:rsidR="00A10124" w:rsidRPr="00596ED1">
        <w:rPr>
          <w:rFonts w:asciiTheme="majorHAnsi" w:hAnsiTheme="majorHAnsi"/>
          <w:sz w:val="22"/>
          <w:szCs w:val="22"/>
          <w:lang w:val="lt-LT"/>
        </w:rPr>
        <w:t>.</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1C96B12C"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32135F5E"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C300D6" w:rsidRPr="00596ED1">
        <w:rPr>
          <w:rFonts w:asciiTheme="majorHAnsi" w:hAnsiTheme="majorHAnsi"/>
          <w:sz w:val="22"/>
          <w:szCs w:val="22"/>
        </w:rPr>
        <w:t>tilapijos</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14F15E7C"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C300D6" w:rsidRPr="00596ED1">
        <w:rPr>
          <w:rFonts w:asciiTheme="majorHAnsi" w:hAnsiTheme="majorHAnsi"/>
          <w:i/>
          <w:sz w:val="22"/>
          <w:szCs w:val="22"/>
          <w:shd w:val="clear" w:color="auto" w:fill="FFFFFF"/>
        </w:rPr>
        <w:t>tilapijos</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A10124" w:rsidRPr="00596ED1">
        <w:rPr>
          <w:rFonts w:asciiTheme="majorHAnsi" w:hAnsiTheme="majorHAnsi"/>
          <w:bCs/>
          <w:i/>
          <w:sz w:val="22"/>
          <w:szCs w:val="22"/>
          <w:lang w:val="lt-LT"/>
        </w:rPr>
        <w:t>1</w:t>
      </w:r>
      <w:r w:rsidR="00C300D6" w:rsidRPr="00596ED1">
        <w:rPr>
          <w:rFonts w:asciiTheme="majorHAnsi" w:hAnsiTheme="majorHAnsi"/>
          <w:bCs/>
          <w:i/>
          <w:sz w:val="22"/>
          <w:szCs w:val="22"/>
          <w:lang w:val="lt-LT"/>
        </w:rPr>
        <w:t>898664</w:t>
      </w:r>
      <w:r w:rsidR="0071631C" w:rsidRPr="00596ED1">
        <w:rPr>
          <w:rFonts w:asciiTheme="majorHAnsi" w:hAnsiTheme="majorHAnsi"/>
          <w:bCs/>
          <w:i/>
          <w:sz w:val="22"/>
          <w:szCs w:val="22"/>
          <w:lang w:val="lt-LT"/>
        </w:rPr>
        <w:t>)</w:t>
      </w:r>
    </w:p>
    <w:p w14:paraId="28890C4C" w14:textId="39D29952" w:rsidR="00AF4463" w:rsidRPr="00596ED1"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7D5191D7" w:rsidR="0049675F" w:rsidRPr="00596ED1" w:rsidRDefault="005C65C4" w:rsidP="006A46ED">
      <w:pPr>
        <w:pStyle w:val="ListParagraph"/>
        <w:numPr>
          <w:ilvl w:val="1"/>
          <w:numId w:val="39"/>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b/>
          <w:u w:val="single"/>
          <w:lang w:eastAsia="ar-SA"/>
        </w:rPr>
      </w:pPr>
      <w:r w:rsidRPr="00596ED1">
        <w:rPr>
          <w:rFonts w:asciiTheme="majorHAnsi" w:hAnsiTheme="majorHAnsi"/>
          <w:lang w:eastAsia="lt-LT"/>
        </w:rPr>
        <w:t xml:space="preserve">Šis pirkimas </w:t>
      </w:r>
      <w:r w:rsidR="00A10124" w:rsidRPr="00596ED1">
        <w:rPr>
          <w:rFonts w:asciiTheme="majorHAnsi" w:hAnsiTheme="majorHAnsi"/>
          <w:lang w:eastAsia="lt-LT"/>
        </w:rPr>
        <w:t>nėra</w:t>
      </w:r>
      <w:r w:rsidRPr="00596ED1">
        <w:rPr>
          <w:rFonts w:asciiTheme="majorHAnsi" w:hAnsiTheme="majorHAnsi"/>
          <w:lang w:eastAsia="lt-LT"/>
        </w:rPr>
        <w:t xml:space="preserve"> skirstomas į</w:t>
      </w:r>
      <w:r w:rsidR="00A10124" w:rsidRPr="00596ED1">
        <w:rPr>
          <w:rFonts w:asciiTheme="majorHAnsi" w:hAnsiTheme="majorHAnsi"/>
          <w:lang w:eastAsia="lt-LT"/>
        </w:rPr>
        <w:t xml:space="preserve"> atskiras</w:t>
      </w:r>
      <w:r w:rsidR="00195D3F" w:rsidRPr="00596ED1">
        <w:rPr>
          <w:rFonts w:asciiTheme="majorHAnsi" w:hAnsiTheme="majorHAnsi"/>
          <w:lang w:eastAsia="lt-LT"/>
        </w:rPr>
        <w:t xml:space="preserve"> </w:t>
      </w:r>
      <w:r w:rsidRPr="00596ED1">
        <w:rPr>
          <w:rFonts w:asciiTheme="majorHAnsi" w:hAnsiTheme="majorHAnsi"/>
          <w:lang w:eastAsia="lt-LT"/>
        </w:rPr>
        <w:t>pirkimo dalis</w:t>
      </w:r>
      <w:r w:rsidRPr="00596ED1">
        <w:rPr>
          <w:rFonts w:asciiTheme="majorHAnsi" w:hAnsiTheme="majorHAnsi"/>
          <w:lang w:eastAsia="ar-SA"/>
        </w:rPr>
        <w:t xml:space="preserve"> </w:t>
      </w:r>
      <w:r w:rsidR="00A10124" w:rsidRPr="00596ED1">
        <w:rPr>
          <w:rFonts w:asciiTheme="majorHAnsi" w:hAnsiTheme="majorHAnsi"/>
          <w:lang w:eastAsia="ar-SA"/>
        </w:rPr>
        <w:t>.</w:t>
      </w:r>
    </w:p>
    <w:p w14:paraId="28890C4E" w14:textId="481BED13" w:rsidR="008E1CCD" w:rsidRPr="00596ED1" w:rsidRDefault="008E1CCD" w:rsidP="00AF4463">
      <w:pPr>
        <w:pStyle w:val="ListParagraph"/>
        <w:numPr>
          <w:ilvl w:val="1"/>
          <w:numId w:val="39"/>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7777777" w:rsidR="008E1CCD" w:rsidRPr="00596ED1" w:rsidRDefault="008E1CCD" w:rsidP="008E1CCD">
      <w:pPr>
        <w:pStyle w:val="Body2"/>
        <w:numPr>
          <w:ilvl w:val="1"/>
          <w:numId w:val="39"/>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Pr="00596ED1">
        <w:rPr>
          <w:rFonts w:asciiTheme="majorHAnsi" w:hAnsiTheme="majorHAnsi" w:cs="Times New Roman"/>
        </w:rPr>
        <w:t>.</w:t>
      </w:r>
    </w:p>
    <w:p w14:paraId="28890C50" w14:textId="77777777" w:rsidR="008E1CCD" w:rsidRPr="00596ED1" w:rsidRDefault="008E1CCD" w:rsidP="008E1CCD">
      <w:pPr>
        <w:pStyle w:val="Body2"/>
        <w:numPr>
          <w:ilvl w:val="1"/>
          <w:numId w:val="39"/>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596ED1">
        <w:rPr>
          <w:rFonts w:asciiTheme="majorHAnsi" w:hAnsiTheme="majorHAnsi"/>
          <w:sz w:val="22"/>
          <w:szCs w:val="22"/>
        </w:rPr>
        <w:t>dėl</w:t>
      </w:r>
      <w:proofErr w:type="gramEnd"/>
      <w:r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77777777" w:rsidR="008E1CCD" w:rsidRPr="00596ED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1"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1"/>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w:t>
      </w:r>
      <w:r w:rsidRPr="00596ED1">
        <w:rPr>
          <w:rFonts w:asciiTheme="majorHAnsi" w:hAnsiTheme="majorHAnsi"/>
          <w:color w:val="000000"/>
          <w:sz w:val="22"/>
          <w:szCs w:val="22"/>
          <w:lang w:eastAsia="lt-LT"/>
        </w:rPr>
        <w:lastRenderedPageBreak/>
        <w:t xml:space="preserve">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96ED1">
              <w:rPr>
                <w:rFonts w:asciiTheme="majorHAnsi" w:hAnsiTheme="majorHAnsi"/>
                <w:sz w:val="22"/>
                <w:szCs w:val="22"/>
                <w:lang w:eastAsia="lt-LT"/>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596ED1">
              <w:rPr>
                <w:rFonts w:asciiTheme="majorHAnsi" w:hAnsiTheme="majorHAnsi"/>
                <w:sz w:val="22"/>
                <w:szCs w:val="22"/>
              </w:rPr>
              <w:lastRenderedPageBreak/>
              <w:t xml:space="preserve">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lastRenderedPageBreak/>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w:t>
            </w:r>
            <w:r w:rsidRPr="00596ED1">
              <w:rPr>
                <w:rFonts w:asciiTheme="majorHAnsi" w:hAnsiTheme="majorHAnsi"/>
                <w:bCs/>
                <w:sz w:val="22"/>
                <w:szCs w:val="22"/>
              </w:rPr>
              <w:lastRenderedPageBreak/>
              <w:t>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w:t>
            </w:r>
            <w:r w:rsidRPr="00596ED1">
              <w:rPr>
                <w:rFonts w:asciiTheme="majorHAnsi" w:hAnsiTheme="majorHAnsi"/>
                <w:bCs/>
                <w:color w:val="000000"/>
                <w:sz w:val="22"/>
                <w:szCs w:val="22"/>
                <w:lang w:eastAsia="lt-LT"/>
              </w:rPr>
              <w:lastRenderedPageBreak/>
              <w:t xml:space="preserve">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lastRenderedPageBreak/>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F50DF5"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F50DF5"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F50DF5"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F50DF5"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F50DF5"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nariu, tiekėjas remtis kitų ūkio subjektų pajėgumais gali tik </w:t>
      </w:r>
      <w:r w:rsidRPr="00596ED1">
        <w:rPr>
          <w:rFonts w:asciiTheme="majorHAnsi" w:hAnsiTheme="majorHAnsi" w:cs="Times New Roman"/>
        </w:rPr>
        <w:lastRenderedPageBreak/>
        <w:t>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59BBE493"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9F2437">
        <w:rPr>
          <w:rFonts w:asciiTheme="majorHAnsi" w:hAnsiTheme="majorHAnsi" w:cs="Times New Roman"/>
          <w:b/>
          <w:iCs/>
          <w:color w:val="auto"/>
        </w:rPr>
        <w:t>202</w:t>
      </w:r>
      <w:r w:rsidR="00C029CC" w:rsidRPr="009F2437">
        <w:rPr>
          <w:rFonts w:asciiTheme="majorHAnsi" w:hAnsiTheme="majorHAnsi" w:cs="Times New Roman"/>
          <w:b/>
          <w:iCs/>
          <w:color w:val="auto"/>
        </w:rPr>
        <w:t>5</w:t>
      </w:r>
      <w:r w:rsidR="00D250B4" w:rsidRPr="009F2437">
        <w:rPr>
          <w:rFonts w:asciiTheme="majorHAnsi" w:hAnsiTheme="majorHAnsi" w:cs="Times New Roman"/>
          <w:b/>
          <w:iCs/>
          <w:color w:val="auto"/>
        </w:rPr>
        <w:t xml:space="preserve"> m.</w:t>
      </w:r>
      <w:r w:rsidR="007A109C" w:rsidRPr="009F2437">
        <w:rPr>
          <w:rFonts w:asciiTheme="majorHAnsi" w:hAnsiTheme="majorHAnsi" w:cs="Times New Roman"/>
          <w:b/>
          <w:iCs/>
          <w:color w:val="auto"/>
        </w:rPr>
        <w:t xml:space="preserve"> </w:t>
      </w:r>
      <w:r w:rsidR="00BC6376" w:rsidRPr="009F2437">
        <w:rPr>
          <w:rFonts w:asciiTheme="majorHAnsi" w:hAnsiTheme="majorHAnsi" w:cs="Times New Roman"/>
          <w:b/>
          <w:iCs/>
          <w:color w:val="auto"/>
        </w:rPr>
        <w:t>gegužės 1</w:t>
      </w:r>
      <w:r w:rsidR="009F2437" w:rsidRPr="009F2437">
        <w:rPr>
          <w:rFonts w:asciiTheme="majorHAnsi" w:hAnsiTheme="majorHAnsi" w:cs="Times New Roman"/>
          <w:b/>
          <w:iCs/>
          <w:color w:val="auto"/>
        </w:rPr>
        <w:t>6</w:t>
      </w:r>
      <w:r w:rsidR="00DE1BBE" w:rsidRPr="009F2437">
        <w:rPr>
          <w:rFonts w:asciiTheme="majorHAnsi" w:hAnsiTheme="majorHAnsi" w:cs="Times New Roman"/>
          <w:b/>
          <w:iCs/>
          <w:color w:val="auto"/>
        </w:rPr>
        <w:t xml:space="preserve"> </w:t>
      </w:r>
      <w:r w:rsidR="007A109C" w:rsidRPr="009F2437">
        <w:rPr>
          <w:rFonts w:asciiTheme="majorHAnsi" w:hAnsiTheme="majorHAnsi" w:cs="Times New Roman"/>
          <w:b/>
          <w:iCs/>
          <w:color w:val="auto"/>
        </w:rPr>
        <w:t xml:space="preserve">d. </w:t>
      </w:r>
      <w:r w:rsidR="00C029CC" w:rsidRPr="009F2437">
        <w:rPr>
          <w:rFonts w:asciiTheme="majorHAnsi" w:hAnsiTheme="majorHAnsi" w:cs="Times New Roman"/>
          <w:b/>
          <w:iCs/>
          <w:color w:val="auto"/>
        </w:rPr>
        <w:t>09:</w:t>
      </w:r>
      <w:r w:rsidR="003950B6" w:rsidRPr="009F2437">
        <w:rPr>
          <w:rFonts w:asciiTheme="majorHAnsi" w:hAnsiTheme="majorHAnsi" w:cs="Times New Roman"/>
          <w:b/>
          <w:iCs/>
          <w:color w:val="auto"/>
        </w:rPr>
        <w:t>00</w:t>
      </w:r>
      <w:r w:rsidR="007A109C" w:rsidRPr="009F2437">
        <w:rPr>
          <w:rFonts w:asciiTheme="majorHAnsi" w:hAnsiTheme="majorHAnsi" w:cs="Times New Roman"/>
          <w:b/>
          <w:iCs/>
          <w:color w:val="auto"/>
        </w:rPr>
        <w:t xml:space="preserve"> val</w:t>
      </w:r>
      <w:r w:rsidR="007A109C" w:rsidRPr="009F2437">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37DD43A1"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lastRenderedPageBreak/>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F2437">
        <w:rPr>
          <w:rFonts w:asciiTheme="majorHAnsi" w:hAnsiTheme="majorHAnsi" w:cs="Times New Roman"/>
          <w:b/>
          <w:color w:val="auto"/>
          <w:lang w:val="lt-LT"/>
        </w:rPr>
        <w:t>202</w:t>
      </w:r>
      <w:r w:rsidR="00FF17CA" w:rsidRPr="009F2437">
        <w:rPr>
          <w:rFonts w:asciiTheme="majorHAnsi" w:hAnsiTheme="majorHAnsi" w:cs="Times New Roman"/>
          <w:b/>
          <w:color w:val="auto"/>
          <w:lang w:val="lt-LT"/>
        </w:rPr>
        <w:t>5</w:t>
      </w:r>
      <w:r w:rsidR="007A109C" w:rsidRPr="009F2437">
        <w:rPr>
          <w:rFonts w:asciiTheme="majorHAnsi" w:hAnsiTheme="majorHAnsi" w:cs="Times New Roman"/>
          <w:b/>
          <w:color w:val="auto"/>
          <w:lang w:val="lt-LT"/>
        </w:rPr>
        <w:t>-</w:t>
      </w:r>
      <w:r w:rsidR="009414F6" w:rsidRPr="009F2437">
        <w:rPr>
          <w:rFonts w:asciiTheme="majorHAnsi" w:hAnsiTheme="majorHAnsi" w:cs="Times New Roman"/>
          <w:b/>
          <w:color w:val="auto"/>
          <w:lang w:val="lt-LT"/>
        </w:rPr>
        <w:t>08</w:t>
      </w:r>
      <w:r w:rsidR="00992B0F" w:rsidRPr="009F2437">
        <w:rPr>
          <w:rFonts w:asciiTheme="majorHAnsi" w:hAnsiTheme="majorHAnsi" w:cs="Times New Roman"/>
          <w:b/>
          <w:color w:val="auto"/>
          <w:lang w:val="lt-LT"/>
        </w:rPr>
        <w:t>-</w:t>
      </w:r>
      <w:r w:rsidR="009414F6" w:rsidRPr="009F2437">
        <w:rPr>
          <w:rFonts w:asciiTheme="majorHAnsi" w:hAnsiTheme="majorHAnsi" w:cs="Times New Roman"/>
          <w:b/>
          <w:color w:val="auto"/>
          <w:lang w:val="lt-LT"/>
        </w:rPr>
        <w:t>1</w:t>
      </w:r>
      <w:r w:rsidR="009F2437" w:rsidRPr="009F2437">
        <w:rPr>
          <w:rFonts w:asciiTheme="majorHAnsi" w:hAnsiTheme="majorHAnsi" w:cs="Times New Roman"/>
          <w:b/>
          <w:color w:val="auto"/>
          <w:lang w:val="lt-LT"/>
        </w:rPr>
        <w:t>6</w:t>
      </w:r>
      <w:r w:rsidR="007A109C" w:rsidRPr="009F243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w:t>
      </w:r>
      <w:proofErr w:type="gramStart"/>
      <w:r w:rsidR="00B736A7" w:rsidRPr="00596ED1">
        <w:rPr>
          <w:rFonts w:asciiTheme="majorHAnsi" w:eastAsia="Calibri" w:hAnsiTheme="majorHAnsi" w:cs="Times New Roman"/>
          <w:color w:val="auto"/>
        </w:rPr>
        <w:t>dėl</w:t>
      </w:r>
      <w:proofErr w:type="gramEnd"/>
      <w:r w:rsidR="00B736A7" w:rsidRPr="00596ED1">
        <w:rPr>
          <w:rFonts w:asciiTheme="majorHAnsi" w:eastAsia="Calibri" w:hAnsiTheme="majorHAnsi" w:cs="Times New Roman"/>
          <w:color w:val="auto"/>
        </w:rPr>
        <w:t xml:space="preserve">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w:t>
      </w:r>
      <w:r w:rsidRPr="00596ED1">
        <w:rPr>
          <w:rFonts w:asciiTheme="majorHAnsi" w:hAnsiTheme="majorHAnsi" w:cs="Times New Roman"/>
        </w:rPr>
        <w:lastRenderedPageBreak/>
        <w:t xml:space="preserve">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18752326"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9414F6" w:rsidRPr="00596ED1">
        <w:rPr>
          <w:rFonts w:asciiTheme="majorHAnsi" w:hAnsiTheme="majorHAnsi"/>
          <w:b/>
          <w:bCs/>
          <w:sz w:val="22"/>
          <w:szCs w:val="22"/>
        </w:rPr>
        <w:t>gegužės mėn. 1</w:t>
      </w:r>
      <w:r w:rsidR="009F2437">
        <w:rPr>
          <w:rFonts w:asciiTheme="majorHAnsi" w:hAnsiTheme="majorHAnsi"/>
          <w:b/>
          <w:bCs/>
          <w:sz w:val="22"/>
          <w:szCs w:val="22"/>
        </w:rPr>
        <w:t>6</w:t>
      </w:r>
      <w:r w:rsidR="00C1068C" w:rsidRPr="00596ED1">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9414F6" w:rsidRPr="00596ED1">
        <w:rPr>
          <w:rFonts w:asciiTheme="majorHAnsi" w:hAnsiTheme="majorHAnsi"/>
          <w:b/>
          <w:bCs/>
          <w:sz w:val="22"/>
          <w:szCs w:val="22"/>
          <w:u w:val="single"/>
        </w:rPr>
        <w:t>gegužės</w:t>
      </w:r>
      <w:r w:rsidR="00992B0F" w:rsidRPr="00596ED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 xml:space="preserve">mėn. </w:t>
      </w:r>
      <w:r w:rsidR="009414F6" w:rsidRPr="00596ED1">
        <w:rPr>
          <w:rFonts w:asciiTheme="majorHAnsi" w:hAnsiTheme="majorHAnsi"/>
          <w:b/>
          <w:bCs/>
          <w:sz w:val="22"/>
          <w:szCs w:val="22"/>
          <w:u w:val="single"/>
        </w:rPr>
        <w:t>1</w:t>
      </w:r>
      <w:r w:rsidR="009F2437">
        <w:rPr>
          <w:rFonts w:asciiTheme="majorHAnsi" w:hAnsiTheme="majorHAnsi"/>
          <w:b/>
          <w:bCs/>
          <w:sz w:val="22"/>
          <w:szCs w:val="22"/>
          <w:u w:val="single"/>
        </w:rPr>
        <w:t>6</w:t>
      </w:r>
      <w:r w:rsidR="00C1068C" w:rsidRPr="00596ED1">
        <w:rPr>
          <w:rFonts w:asciiTheme="majorHAnsi" w:hAnsiTheme="majorHAnsi"/>
          <w:b/>
          <w:bCs/>
          <w:sz w:val="22"/>
          <w:szCs w:val="22"/>
          <w:u w:val="single"/>
        </w:rPr>
        <w:t xml:space="preserve"> 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w:t>
      </w:r>
      <w:r w:rsidRPr="00596ED1">
        <w:rPr>
          <w:rFonts w:asciiTheme="majorHAnsi" w:hAnsiTheme="majorHAnsi"/>
          <w:color w:val="000000"/>
          <w:sz w:val="22"/>
          <w:szCs w:val="22"/>
          <w:lang w:eastAsia="lt-LT"/>
        </w:rPr>
        <w:lastRenderedPageBreak/>
        <w:t>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B50198">
      <w:pPr>
        <w:pStyle w:val="Heading1"/>
        <w:numPr>
          <w:ilvl w:val="0"/>
          <w:numId w:val="25"/>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B50198">
      <w:pPr>
        <w:pStyle w:val="Heading1"/>
        <w:numPr>
          <w:ilvl w:val="0"/>
          <w:numId w:val="25"/>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 xml:space="preserve">ės </w:t>
      </w:r>
      <w:r w:rsidR="00FA6318" w:rsidRPr="00596ED1">
        <w:rPr>
          <w:rFonts w:asciiTheme="majorHAnsi" w:hAnsiTheme="majorHAnsi" w:cs="Times New Roman"/>
        </w:rPr>
        <w:lastRenderedPageBreak/>
        <w:t>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w:t>
      </w:r>
      <w:proofErr w:type="gramStart"/>
      <w:r w:rsidRPr="00596ED1">
        <w:rPr>
          <w:rFonts w:asciiTheme="majorHAnsi" w:hAnsiTheme="majorHAnsi"/>
          <w:sz w:val="22"/>
          <w:szCs w:val="22"/>
        </w:rPr>
        <w:t>_</w:t>
      </w:r>
      <w:r w:rsidR="00B50198" w:rsidRPr="00596ED1">
        <w:rPr>
          <w:rFonts w:asciiTheme="majorHAnsi" w:hAnsiTheme="majorHAnsi"/>
          <w:sz w:val="22"/>
          <w:szCs w:val="22"/>
        </w:rPr>
        <w:t>(</w:t>
      </w:r>
      <w:proofErr w:type="gramEnd"/>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1BACCFE5"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AF0917" w:rsidRPr="00596ED1">
        <w:rPr>
          <w:rFonts w:asciiTheme="majorHAnsi" w:hAnsiTheme="majorHAnsi"/>
          <w:b/>
          <w:bCs/>
          <w:sz w:val="22"/>
          <w:szCs w:val="22"/>
        </w:rPr>
        <w:t>TILAPIJOS</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596ED1">
        <w:rPr>
          <w:rFonts w:asciiTheme="majorHAnsi" w:hAnsiTheme="majorHAnsi"/>
          <w:sz w:val="22"/>
          <w:szCs w:val="22"/>
        </w:rPr>
        <w:t>kituose</w:t>
      </w:r>
      <w:proofErr w:type="gramEnd"/>
      <w:r w:rsidRPr="00596ED1">
        <w:rPr>
          <w:rFonts w:asciiTheme="majorHAnsi" w:hAnsiTheme="majorHAnsi"/>
          <w:sz w:val="22"/>
          <w:szCs w:val="22"/>
        </w:rPr>
        <w:t xml:space="preserv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Pr="00596ED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5"/>
        <w:gridCol w:w="1417"/>
        <w:gridCol w:w="705"/>
        <w:gridCol w:w="1417"/>
        <w:gridCol w:w="1134"/>
        <w:gridCol w:w="851"/>
        <w:gridCol w:w="992"/>
        <w:gridCol w:w="992"/>
        <w:gridCol w:w="1418"/>
      </w:tblGrid>
      <w:tr w:rsidR="00DA717D" w:rsidRPr="00596ED1" w14:paraId="05EAF540" w14:textId="77777777" w:rsidTr="00596ED1">
        <w:trPr>
          <w:trHeight w:val="772"/>
          <w:jc w:val="center"/>
        </w:trPr>
        <w:tc>
          <w:tcPr>
            <w:tcW w:w="425" w:type="dxa"/>
            <w:shd w:val="solid" w:color="FFFFFF" w:fill="auto"/>
            <w:vAlign w:val="center"/>
          </w:tcPr>
          <w:p w14:paraId="23842C00" w14:textId="4FB0563D" w:rsidR="00DA717D" w:rsidRPr="00596ED1" w:rsidRDefault="00B54D86" w:rsidP="00AF09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Eil. Nr.</w:t>
            </w:r>
            <w:r w:rsidR="00DA717D" w:rsidRPr="00596ED1">
              <w:rPr>
                <w:rFonts w:asciiTheme="majorHAnsi" w:eastAsia="Times New Roman" w:hAnsiTheme="majorHAnsi"/>
                <w:b/>
                <w:sz w:val="22"/>
                <w:szCs w:val="22"/>
                <w:bdr w:val="none" w:sz="0" w:space="0" w:color="auto"/>
                <w:lang w:val="lt-LT" w:eastAsia="lt-LT"/>
              </w:rPr>
              <w:t xml:space="preserve"> </w:t>
            </w:r>
          </w:p>
        </w:tc>
        <w:tc>
          <w:tcPr>
            <w:tcW w:w="1417" w:type="dxa"/>
            <w:shd w:val="solid" w:color="FFFFFF" w:fill="auto"/>
            <w:vAlign w:val="center"/>
          </w:tcPr>
          <w:p w14:paraId="2098BF5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Pavadinimas</w:t>
            </w:r>
          </w:p>
        </w:tc>
        <w:tc>
          <w:tcPr>
            <w:tcW w:w="705" w:type="dxa"/>
            <w:shd w:val="solid" w:color="FFFFFF" w:fill="auto"/>
            <w:vAlign w:val="center"/>
          </w:tcPr>
          <w:p w14:paraId="1EF2119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Mato vnt.</w:t>
            </w:r>
          </w:p>
        </w:tc>
        <w:tc>
          <w:tcPr>
            <w:tcW w:w="1417" w:type="dxa"/>
            <w:vAlign w:val="center"/>
          </w:tcPr>
          <w:p w14:paraId="4799167C"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Orientacinis kiekis</w:t>
            </w:r>
          </w:p>
        </w:tc>
        <w:tc>
          <w:tcPr>
            <w:tcW w:w="1134" w:type="dxa"/>
            <w:vAlign w:val="center"/>
          </w:tcPr>
          <w:p w14:paraId="570063F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už mato vienetą Eur</w:t>
            </w:r>
          </w:p>
          <w:p w14:paraId="45080187"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851" w:type="dxa"/>
            <w:vAlign w:val="center"/>
          </w:tcPr>
          <w:p w14:paraId="5F2F69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PVM tarifas</w:t>
            </w:r>
          </w:p>
        </w:tc>
        <w:tc>
          <w:tcPr>
            <w:tcW w:w="992" w:type="dxa"/>
            <w:vAlign w:val="center"/>
          </w:tcPr>
          <w:p w14:paraId="38E06BE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14986C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992" w:type="dxa"/>
            <w:vAlign w:val="center"/>
          </w:tcPr>
          <w:p w14:paraId="36785D4B"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429FC809"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(su PVM)</w:t>
            </w:r>
          </w:p>
        </w:tc>
        <w:tc>
          <w:tcPr>
            <w:tcW w:w="1418" w:type="dxa"/>
            <w:vAlign w:val="center"/>
          </w:tcPr>
          <w:p w14:paraId="74AF9F93" w14:textId="77777777" w:rsidR="00FF17CA"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r w:rsidRPr="00596ED1">
              <w:rPr>
                <w:rFonts w:asciiTheme="majorHAnsi" w:eastAsia="Times New Roman" w:hAnsiTheme="majorHAnsi"/>
                <w:b/>
                <w:sz w:val="22"/>
                <w:szCs w:val="22"/>
                <w:bdr w:val="none" w:sz="0" w:space="0" w:color="auto"/>
                <w:lang w:val="lt-LT" w:eastAsia="lt-LT"/>
              </w:rPr>
              <w:t>Gamintojas/</w:t>
            </w:r>
          </w:p>
          <w:p w14:paraId="06C9C72E" w14:textId="1089ADFC"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produkto pavadinimas</w:t>
            </w:r>
          </w:p>
        </w:tc>
      </w:tr>
      <w:tr w:rsidR="00DA717D" w:rsidRPr="00596ED1" w14:paraId="51C8CC2A" w14:textId="77777777" w:rsidTr="00596ED1">
        <w:trPr>
          <w:trHeight w:val="772"/>
          <w:jc w:val="center"/>
        </w:trPr>
        <w:tc>
          <w:tcPr>
            <w:tcW w:w="425" w:type="dxa"/>
            <w:shd w:val="solid" w:color="FFFFFF" w:fill="auto"/>
            <w:vAlign w:val="center"/>
          </w:tcPr>
          <w:p w14:paraId="10A8AC68" w14:textId="0955A492" w:rsidR="00DA717D" w:rsidRPr="00596ED1"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w:t>
            </w:r>
          </w:p>
        </w:tc>
        <w:tc>
          <w:tcPr>
            <w:tcW w:w="1417" w:type="dxa"/>
            <w:vAlign w:val="center"/>
          </w:tcPr>
          <w:p w14:paraId="31EAD8D1" w14:textId="37ACBCAB" w:rsidR="00DA717D" w:rsidRPr="00596ED1" w:rsidRDefault="00AF0917"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Tilapija</w:t>
            </w:r>
          </w:p>
        </w:tc>
        <w:tc>
          <w:tcPr>
            <w:tcW w:w="705" w:type="dxa"/>
            <w:vAlign w:val="center"/>
          </w:tcPr>
          <w:p w14:paraId="198C84E6" w14:textId="59B954B3" w:rsidR="00DA717D" w:rsidRPr="00596ED1"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3ED31D28" w14:textId="7A2CA71C" w:rsidR="00DA717D" w:rsidRPr="00596ED1" w:rsidRDefault="00AF0917"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18 000</w:t>
            </w:r>
          </w:p>
        </w:tc>
        <w:tc>
          <w:tcPr>
            <w:tcW w:w="1134" w:type="dxa"/>
            <w:vAlign w:val="center"/>
          </w:tcPr>
          <w:p w14:paraId="44126AD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11987AE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21AF41B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B77D40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F0D06C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bl>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77777777" w:rsidR="00410A05" w:rsidRPr="00596ED1"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36B77D39" w14:textId="77777777" w:rsidR="00324C17" w:rsidRDefault="00324C17" w:rsidP="00484FD2">
      <w:pPr>
        <w:ind w:firstLine="346"/>
        <w:jc w:val="both"/>
        <w:rPr>
          <w:rFonts w:asciiTheme="majorHAnsi" w:hAnsiTheme="majorHAnsi"/>
          <w:b/>
          <w:i/>
          <w:color w:val="000000"/>
          <w:sz w:val="22"/>
          <w:szCs w:val="22"/>
          <w:lang w:val="lt-LT"/>
        </w:rPr>
      </w:pPr>
    </w:p>
    <w:tbl>
      <w:tblPr>
        <w:tblStyle w:val="TableGrid"/>
        <w:tblW w:w="0" w:type="auto"/>
        <w:tblLook w:val="04A0" w:firstRow="1" w:lastRow="0" w:firstColumn="1" w:lastColumn="0" w:noHBand="0" w:noVBand="1"/>
      </w:tblPr>
      <w:tblGrid>
        <w:gridCol w:w="562"/>
        <w:gridCol w:w="4536"/>
        <w:gridCol w:w="4390"/>
      </w:tblGrid>
      <w:tr w:rsidR="00324C17" w14:paraId="29194CF6" w14:textId="77777777" w:rsidTr="000752C3">
        <w:tc>
          <w:tcPr>
            <w:tcW w:w="562" w:type="dxa"/>
          </w:tcPr>
          <w:p w14:paraId="38AE6EC9" w14:textId="4C4A4080" w:rsidR="00324C17" w:rsidRPr="000752C3" w:rsidRDefault="000752C3" w:rsidP="00484F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color w:val="000000"/>
                <w:sz w:val="22"/>
                <w:szCs w:val="22"/>
                <w:lang w:val="lt-LT"/>
              </w:rPr>
            </w:pPr>
            <w:r w:rsidRPr="000752C3">
              <w:rPr>
                <w:rFonts w:asciiTheme="majorHAnsi" w:hAnsiTheme="majorHAnsi"/>
                <w:b/>
                <w:color w:val="000000"/>
                <w:sz w:val="22"/>
                <w:szCs w:val="22"/>
                <w:lang w:val="lt-LT"/>
              </w:rPr>
              <w:t>Eil. Nr.</w:t>
            </w:r>
          </w:p>
        </w:tc>
        <w:tc>
          <w:tcPr>
            <w:tcW w:w="4536" w:type="dxa"/>
            <w:vAlign w:val="center"/>
          </w:tcPr>
          <w:p w14:paraId="16DCE199" w14:textId="51C8F641" w:rsidR="00324C17"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i/>
                <w:color w:val="000000"/>
                <w:sz w:val="22"/>
                <w:szCs w:val="22"/>
                <w:lang w:val="lt-LT"/>
              </w:rPr>
            </w:pPr>
            <w:r w:rsidRPr="00596ED1">
              <w:rPr>
                <w:rFonts w:asciiTheme="majorHAnsi" w:eastAsia="Calibri" w:hAnsiTheme="majorHAnsi"/>
                <w:b/>
                <w:sz w:val="22"/>
                <w:szCs w:val="22"/>
                <w:bdr w:val="none" w:sz="0" w:space="0" w:color="auto"/>
                <w:lang w:val="lt-LT"/>
              </w:rPr>
              <w:t>Reikalavimai produktams</w:t>
            </w:r>
          </w:p>
        </w:tc>
        <w:tc>
          <w:tcPr>
            <w:tcW w:w="4390" w:type="dxa"/>
            <w:vAlign w:val="center"/>
          </w:tcPr>
          <w:p w14:paraId="32C7767C" w14:textId="78C1FDF3" w:rsidR="00324C17"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i/>
                <w:color w:val="000000"/>
                <w:sz w:val="22"/>
                <w:szCs w:val="22"/>
                <w:lang w:val="lt-LT"/>
              </w:rPr>
            </w:pPr>
            <w:r w:rsidRPr="00596ED1">
              <w:rPr>
                <w:rFonts w:asciiTheme="majorHAnsi" w:eastAsia="Calibri" w:hAnsiTheme="majorHAnsi"/>
                <w:b/>
                <w:sz w:val="22"/>
                <w:szCs w:val="22"/>
                <w:bdr w:val="none" w:sz="0" w:space="0" w:color="auto"/>
                <w:lang w:val="lt-LT"/>
              </w:rPr>
              <w:t>Siūloma techninė charakteristika, gamintojas</w:t>
            </w:r>
          </w:p>
        </w:tc>
      </w:tr>
      <w:tr w:rsidR="00324C17" w14:paraId="386C4065" w14:textId="77777777" w:rsidTr="00324C17">
        <w:tc>
          <w:tcPr>
            <w:tcW w:w="562" w:type="dxa"/>
          </w:tcPr>
          <w:p w14:paraId="4AAA5202" w14:textId="77777777" w:rsidR="00324C17" w:rsidRDefault="00324C17" w:rsidP="00484F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i/>
                <w:color w:val="000000"/>
                <w:sz w:val="22"/>
                <w:szCs w:val="22"/>
                <w:lang w:val="lt-LT"/>
              </w:rPr>
            </w:pPr>
          </w:p>
        </w:tc>
        <w:tc>
          <w:tcPr>
            <w:tcW w:w="4536" w:type="dxa"/>
          </w:tcPr>
          <w:p w14:paraId="4681FDC7"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b/>
                <w:color w:val="000000"/>
                <w:sz w:val="22"/>
                <w:szCs w:val="22"/>
                <w:lang w:val="lt-LT"/>
              </w:rPr>
            </w:pPr>
            <w:r w:rsidRPr="000752C3">
              <w:rPr>
                <w:rFonts w:ascii="Cambria" w:hAnsi="Cambria"/>
                <w:b/>
                <w:color w:val="000000"/>
                <w:sz w:val="22"/>
                <w:szCs w:val="22"/>
                <w:lang w:val="lt-LT"/>
              </w:rPr>
              <w:t>1.</w:t>
            </w:r>
            <w:r w:rsidRPr="000752C3">
              <w:rPr>
                <w:rFonts w:ascii="Cambria" w:hAnsi="Cambria"/>
                <w:b/>
                <w:color w:val="000000"/>
                <w:sz w:val="22"/>
                <w:szCs w:val="22"/>
                <w:lang w:val="lt-LT"/>
              </w:rPr>
              <w:tab/>
              <w:t xml:space="preserve">Tilapijos filė be odos </w:t>
            </w:r>
          </w:p>
          <w:p w14:paraId="03F18B8C"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b/>
                <w:color w:val="000000"/>
                <w:sz w:val="22"/>
                <w:szCs w:val="22"/>
                <w:lang w:val="lt-LT"/>
              </w:rPr>
              <w:t>1.1.</w:t>
            </w:r>
            <w:r w:rsidRPr="000752C3">
              <w:rPr>
                <w:rFonts w:ascii="Cambria" w:hAnsi="Cambria"/>
                <w:b/>
                <w:color w:val="000000"/>
                <w:sz w:val="22"/>
                <w:szCs w:val="22"/>
                <w:lang w:val="lt-LT"/>
              </w:rPr>
              <w:tab/>
              <w:t>Tilapijos filė be odos</w:t>
            </w:r>
            <w:r w:rsidRPr="000752C3">
              <w:rPr>
                <w:rFonts w:ascii="Cambria" w:hAnsi="Cambria"/>
                <w:color w:val="000000"/>
                <w:sz w:val="22"/>
                <w:szCs w:val="22"/>
                <w:lang w:val="lt-LT"/>
              </w:rPr>
              <w:t xml:space="preserve"> turi atitikti 2005 m. gruodžio 30 d. Nr. B1-738 įsakymą, Europos Parlamento ir Tarybos reglamento (EB) Nr. 853/2004 reikalavimus, Komisijos reglamento (ES) Nr. 16/2012 reikalavimus;</w:t>
            </w:r>
          </w:p>
          <w:p w14:paraId="6483270A"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1.2.</w:t>
            </w:r>
            <w:r w:rsidRPr="000752C3">
              <w:rPr>
                <w:rFonts w:ascii="Cambria" w:hAnsi="Cambria"/>
                <w:color w:val="000000"/>
                <w:sz w:val="22"/>
                <w:szCs w:val="22"/>
                <w:lang w:val="lt-LT"/>
              </w:rPr>
              <w:tab/>
              <w:t>Tilapijos filė be odos užšaldyta atskirais gabaliukais, glazūra gali būti iki 30 %;</w:t>
            </w:r>
          </w:p>
          <w:p w14:paraId="167D98C8"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1.3.</w:t>
            </w:r>
            <w:r w:rsidRPr="000752C3">
              <w:rPr>
                <w:rFonts w:ascii="Cambria" w:hAnsi="Cambria"/>
                <w:color w:val="000000"/>
                <w:sz w:val="22"/>
                <w:szCs w:val="22"/>
                <w:lang w:val="lt-LT"/>
              </w:rPr>
              <w:tab/>
              <w:t xml:space="preserve">Vieno gabaliuko svoris 150-200 g; </w:t>
            </w:r>
          </w:p>
          <w:p w14:paraId="6B5AE494"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1.4.</w:t>
            </w:r>
            <w:r w:rsidRPr="000752C3">
              <w:rPr>
                <w:rFonts w:ascii="Cambria" w:hAnsi="Cambria"/>
                <w:color w:val="000000"/>
                <w:sz w:val="22"/>
                <w:szCs w:val="22"/>
                <w:lang w:val="lt-LT"/>
              </w:rPr>
              <w:tab/>
              <w:t>Tilapijos filė be odos paviršius švarus, nepageltęs, natūralios spalvos, krašteliai neapdžiuvę, kietos konsistencijos, be mechaninių pažeidimų;</w:t>
            </w:r>
          </w:p>
          <w:p w14:paraId="18FFFD40"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1.5.</w:t>
            </w:r>
            <w:r w:rsidRPr="000752C3">
              <w:rPr>
                <w:rFonts w:ascii="Cambria" w:hAnsi="Cambria"/>
                <w:color w:val="000000"/>
                <w:sz w:val="22"/>
                <w:szCs w:val="22"/>
                <w:lang w:val="lt-LT"/>
              </w:rPr>
              <w:tab/>
              <w:t>Tilapijos filė be odos tiekiama pakuotėje nuo 2 iki 5  kg;</w:t>
            </w:r>
          </w:p>
          <w:p w14:paraId="2FA340EA"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1.6.</w:t>
            </w:r>
            <w:r w:rsidRPr="000752C3">
              <w:rPr>
                <w:rFonts w:ascii="Cambria" w:hAnsi="Cambria"/>
                <w:color w:val="000000"/>
                <w:sz w:val="22"/>
                <w:szCs w:val="22"/>
                <w:lang w:val="lt-LT"/>
              </w:rPr>
              <w:tab/>
              <w:t>Tilapijos filė be odos kvapas – būdingas šviežiai žuviai, be parūdijimo ar kito pašalinio kvapo;</w:t>
            </w:r>
          </w:p>
          <w:p w14:paraId="24FE217C"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1.7.</w:t>
            </w:r>
            <w:r w:rsidRPr="000752C3">
              <w:rPr>
                <w:rFonts w:ascii="Cambria" w:hAnsi="Cambria"/>
                <w:color w:val="000000"/>
                <w:sz w:val="22"/>
                <w:szCs w:val="22"/>
                <w:lang w:val="lt-LT"/>
              </w:rPr>
              <w:tab/>
              <w:t>Pakavimo medžiagos ir bendroji pakuotė turi atitikti HN 16:2011 ir (EB) Nr. 1935/2004 dėl žaliavų ir   gaminių, skirtų liestis su maistu, reikalavimus;</w:t>
            </w:r>
          </w:p>
          <w:p w14:paraId="445748AB"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1.8.</w:t>
            </w:r>
            <w:r w:rsidRPr="000752C3">
              <w:rPr>
                <w:rFonts w:ascii="Cambria" w:hAnsi="Cambria"/>
                <w:color w:val="000000"/>
                <w:sz w:val="22"/>
                <w:szCs w:val="22"/>
                <w:lang w:val="lt-LT"/>
              </w:rPr>
              <w:tab/>
              <w:t>Produktų ženklinimas turi atitikti Reglamento (ES) Nr. 1169/2011, HN 119:2002 reikalavimus;</w:t>
            </w:r>
          </w:p>
          <w:p w14:paraId="638BB1EB"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1.9.</w:t>
            </w:r>
            <w:r w:rsidRPr="000752C3">
              <w:rPr>
                <w:rFonts w:ascii="Cambria" w:hAnsi="Cambria"/>
                <w:color w:val="000000"/>
                <w:sz w:val="22"/>
                <w:szCs w:val="22"/>
                <w:lang w:val="lt-LT"/>
              </w:rPr>
              <w:tab/>
              <w:t>Tara turi būti paženklinta etikete, kurioje lietuvių kalba turi būti nurodyta: gamintojo bei tiekėjo rekvizitai, pilnas produkto pavadinimas, gaminio standartai, produkto kokybiniai rodikliai gramais (baltymai, riebalai, angliavandeniai, energinė vertė kcal, (kJ)), technologinio apdorojimo būdas, laikymo sąlygos, (grynasis svoris (neto, kg)), įpakavimo masė (kg), informacija apie kilmės vietą, užrašas „Tinka vartoti iki (data)“;</w:t>
            </w:r>
          </w:p>
          <w:p w14:paraId="0135707F"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lastRenderedPageBreak/>
              <w:t>1.10.</w:t>
            </w:r>
            <w:r w:rsidRPr="000752C3">
              <w:rPr>
                <w:rFonts w:ascii="Cambria" w:hAnsi="Cambria"/>
                <w:color w:val="000000"/>
                <w:sz w:val="22"/>
                <w:szCs w:val="22"/>
                <w:lang w:val="lt-LT"/>
              </w:rPr>
              <w:tab/>
              <w:t>Gabenama ir laikoma pagal HN 15:2021, (EB) Nr. 37/2005 reikalavimus;</w:t>
            </w:r>
          </w:p>
          <w:p w14:paraId="7A296FBB"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1.11.</w:t>
            </w:r>
            <w:r w:rsidRPr="000752C3">
              <w:rPr>
                <w:rFonts w:ascii="Cambria" w:hAnsi="Cambria"/>
                <w:color w:val="000000"/>
                <w:sz w:val="22"/>
                <w:szCs w:val="22"/>
                <w:lang w:val="lt-LT"/>
              </w:rPr>
              <w:tab/>
              <w:t>Tilapijos filė be odos pristatoma ne su trumpesniu kaip 2/3 tinkamumo vartoti terminu;</w:t>
            </w:r>
          </w:p>
          <w:p w14:paraId="22B05099"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1.12.</w:t>
            </w:r>
            <w:r w:rsidRPr="000752C3">
              <w:rPr>
                <w:rFonts w:ascii="Cambria" w:hAnsi="Cambria"/>
                <w:color w:val="000000"/>
                <w:sz w:val="22"/>
                <w:szCs w:val="22"/>
                <w:lang w:val="lt-LT"/>
              </w:rPr>
              <w:tab/>
              <w:t>Tilapijos filė be odos turi būti tiekiama pagal poreikį, per 2 darbo dienas nuo užsakymo perdavimo;</w:t>
            </w:r>
          </w:p>
          <w:p w14:paraId="6110BFBE" w14:textId="77777777" w:rsidR="000752C3" w:rsidRPr="000752C3"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val="lt-LT"/>
              </w:rPr>
            </w:pPr>
            <w:r w:rsidRPr="000752C3">
              <w:rPr>
                <w:rFonts w:ascii="Cambria" w:hAnsi="Cambria"/>
                <w:color w:val="000000"/>
                <w:sz w:val="22"/>
                <w:szCs w:val="22"/>
                <w:lang w:val="lt-LT"/>
              </w:rPr>
              <w:t>1.13.</w:t>
            </w:r>
            <w:r w:rsidRPr="000752C3">
              <w:rPr>
                <w:rFonts w:ascii="Cambria" w:hAnsi="Cambria"/>
                <w:color w:val="000000"/>
                <w:sz w:val="22"/>
                <w:szCs w:val="22"/>
                <w:lang w:val="lt-LT"/>
              </w:rPr>
              <w:tab/>
              <w:t xml:space="preserve">Tiekėjas privalo pateikti gamintojo kokybės pažymėjimą arba lygiavertį dokumentą originalia kalba (jei importuojama) kartu su lietuvišku vertimu, </w:t>
            </w:r>
            <w:r w:rsidRPr="000752C3">
              <w:rPr>
                <w:rFonts w:ascii="Cambria" w:hAnsi="Cambria"/>
                <w:b/>
                <w:color w:val="000000"/>
                <w:sz w:val="22"/>
                <w:szCs w:val="22"/>
                <w:u w:val="single"/>
                <w:lang w:val="lt-LT"/>
              </w:rPr>
              <w:t>teikiant pasiūlymą</w:t>
            </w:r>
            <w:r w:rsidRPr="000752C3">
              <w:rPr>
                <w:rFonts w:ascii="Cambria" w:hAnsi="Cambria"/>
                <w:color w:val="000000"/>
                <w:sz w:val="22"/>
                <w:szCs w:val="22"/>
                <w:lang w:val="lt-LT"/>
              </w:rPr>
              <w:t>, pirmai siuntai bei tuo atveju, kai pareiškiamos pretenzijos dėl produkcijos kokybės;</w:t>
            </w:r>
          </w:p>
          <w:p w14:paraId="0318EC00" w14:textId="5A98C4C6" w:rsidR="00324C17" w:rsidRDefault="000752C3" w:rsidP="000752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i/>
                <w:color w:val="000000"/>
                <w:sz w:val="22"/>
                <w:szCs w:val="22"/>
                <w:lang w:val="lt-LT"/>
              </w:rPr>
            </w:pPr>
            <w:r w:rsidRPr="000752C3">
              <w:rPr>
                <w:rFonts w:ascii="Cambria" w:hAnsi="Cambria"/>
                <w:color w:val="000000"/>
                <w:sz w:val="22"/>
                <w:szCs w:val="22"/>
                <w:lang w:val="lt-LT"/>
              </w:rPr>
              <w:t>1.14.</w:t>
            </w:r>
            <w:r w:rsidRPr="000752C3">
              <w:rPr>
                <w:rFonts w:ascii="Cambria" w:hAnsi="Cambria"/>
                <w:color w:val="000000"/>
                <w:sz w:val="22"/>
                <w:szCs w:val="22"/>
                <w:lang w:val="lt-LT"/>
              </w:rPr>
              <w:tab/>
              <w:t>LSMU ligoninė Kauno klinikos yra kontroliuojama VMVT, dėl to VMVT prašymu (raštišku) tiekėjas privalo pateikti reikiamą informaciją apie pristatomą produkciją.</w:t>
            </w:r>
          </w:p>
        </w:tc>
        <w:tc>
          <w:tcPr>
            <w:tcW w:w="4390" w:type="dxa"/>
          </w:tcPr>
          <w:p w14:paraId="6E22643C" w14:textId="77777777" w:rsidR="00324C17" w:rsidRDefault="00324C17" w:rsidP="00484F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i/>
                <w:color w:val="000000"/>
                <w:sz w:val="22"/>
                <w:szCs w:val="22"/>
                <w:lang w:val="lt-LT"/>
              </w:rPr>
            </w:pPr>
          </w:p>
        </w:tc>
      </w:tr>
    </w:tbl>
    <w:p w14:paraId="5D1EAEE1" w14:textId="77777777" w:rsidR="00C25529" w:rsidRDefault="00C25529" w:rsidP="00484FD2">
      <w:pPr>
        <w:ind w:firstLine="346"/>
        <w:jc w:val="both"/>
        <w:rPr>
          <w:rFonts w:asciiTheme="majorHAnsi" w:hAnsiTheme="majorHAnsi"/>
          <w:b/>
          <w:i/>
          <w:color w:val="000000"/>
          <w:sz w:val="22"/>
          <w:szCs w:val="22"/>
          <w:lang w:val="lt-LT"/>
        </w:rPr>
      </w:pPr>
    </w:p>
    <w:p w14:paraId="48B0EE51" w14:textId="77777777" w:rsidR="00F04E81" w:rsidRPr="00596ED1" w:rsidRDefault="00F04E81" w:rsidP="00484FD2">
      <w:pPr>
        <w:ind w:firstLine="346"/>
        <w:jc w:val="both"/>
        <w:rPr>
          <w:rFonts w:asciiTheme="majorHAnsi" w:hAnsiTheme="majorHAnsi"/>
          <w:b/>
          <w:i/>
          <w:color w:val="000000"/>
          <w:sz w:val="22"/>
          <w:szCs w:val="22"/>
          <w:lang w:val="lt-LT"/>
        </w:rPr>
      </w:pPr>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3AC14E97" w14:textId="454990EC" w:rsidR="008643E1" w:rsidRPr="00596ED1" w:rsidRDefault="0061598C" w:rsidP="008643E1">
      <w:pPr>
        <w:jc w:val="both"/>
        <w:rPr>
          <w:rFonts w:asciiTheme="majorHAnsi" w:hAnsiTheme="majorHAnsi"/>
          <w:b/>
          <w:sz w:val="22"/>
          <w:szCs w:val="22"/>
          <w:lang w:eastAsia="lt-LT"/>
        </w:rPr>
      </w:pPr>
      <w:r w:rsidRPr="00596ED1">
        <w:rPr>
          <w:rFonts w:asciiTheme="majorHAnsi" w:hAnsiTheme="majorHAnsi"/>
          <w:b/>
          <w:i/>
          <w:color w:val="000000"/>
          <w:sz w:val="22"/>
          <w:szCs w:val="22"/>
          <w:lang w:val="lt-LT"/>
        </w:rPr>
        <w:t>1.</w:t>
      </w:r>
      <w:r w:rsidR="008643E1" w:rsidRPr="00596ED1">
        <w:rPr>
          <w:rFonts w:asciiTheme="majorHAnsi" w:hAnsiTheme="majorHAnsi"/>
          <w:b/>
          <w:sz w:val="22"/>
          <w:szCs w:val="22"/>
          <w:lang w:eastAsia="lt-LT"/>
        </w:rPr>
        <w:t xml:space="preserve"> Gaminiai pristatomi specializuotu (su šaldymo įranga) transportu, atitinkančiu sanitarijos reikalavimus ir užtikrinančiu prekių kokybę.</w:t>
      </w:r>
    </w:p>
    <w:p w14:paraId="24F0CF33" w14:textId="312EE5B9" w:rsidR="008643E1" w:rsidRPr="00596ED1" w:rsidRDefault="008643E1" w:rsidP="008643E1">
      <w:pPr>
        <w:jc w:val="both"/>
        <w:rPr>
          <w:rFonts w:asciiTheme="majorHAnsi" w:hAnsiTheme="majorHAnsi"/>
          <w:b/>
          <w:sz w:val="22"/>
          <w:szCs w:val="22"/>
        </w:rPr>
      </w:pPr>
      <w:r w:rsidRPr="00596ED1">
        <w:rPr>
          <w:rFonts w:asciiTheme="majorHAnsi" w:hAnsiTheme="majorHAnsi"/>
          <w:b/>
          <w:i/>
          <w:sz w:val="22"/>
          <w:szCs w:val="22"/>
        </w:rPr>
        <w:t xml:space="preserve">2.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04FFE178" w14:textId="43B7D01B" w:rsidR="00A322B1" w:rsidRPr="00596ED1" w:rsidRDefault="00A322B1"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_____________________________________</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lastRenderedPageBreak/>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28890E43" w14:textId="44397DB1" w:rsidR="00E2515B" w:rsidRPr="00596ED1" w:rsidRDefault="00E2515B" w:rsidP="007C2D67">
      <w:pPr>
        <w:jc w:val="both"/>
        <w:rPr>
          <w:rFonts w:asciiTheme="majorHAnsi" w:hAnsiTheme="majorHAnsi"/>
          <w:bCs/>
          <w:sz w:val="22"/>
          <w:szCs w:val="22"/>
        </w:rPr>
      </w:pPr>
    </w:p>
    <w:p w14:paraId="54AF4CB3" w14:textId="77777777" w:rsidR="003A333D" w:rsidRPr="00596ED1" w:rsidRDefault="003A333D">
      <w:pPr>
        <w:jc w:val="both"/>
        <w:rPr>
          <w:rFonts w:asciiTheme="majorHAnsi" w:hAnsiTheme="majorHAnsi"/>
          <w:bCs/>
          <w:sz w:val="22"/>
          <w:szCs w:val="22"/>
        </w:rPr>
      </w:pPr>
    </w:p>
    <w:sectPr w:rsidR="003A333D" w:rsidRPr="00596ED1"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6DA51" w14:textId="77777777" w:rsidR="00F50DF5" w:rsidRDefault="00F50DF5" w:rsidP="00922417">
      <w:r>
        <w:separator/>
      </w:r>
    </w:p>
  </w:endnote>
  <w:endnote w:type="continuationSeparator" w:id="0">
    <w:p w14:paraId="4056874C" w14:textId="77777777" w:rsidR="00F50DF5" w:rsidRDefault="00F50DF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3A333D" w:rsidRDefault="003A3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BC6376" w:rsidRPr="00596ED1" w:rsidRDefault="00BC6376"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BC6376" w:rsidRDefault="00BC6376">
    <w:pPr>
      <w:pStyle w:val="Footer"/>
      <w:jc w:val="right"/>
    </w:pPr>
  </w:p>
  <w:p w14:paraId="28890E4D" w14:textId="77777777" w:rsidR="00BC6376" w:rsidRDefault="00BC6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6836" w14:textId="77777777" w:rsidR="00F50DF5" w:rsidRDefault="00F50DF5" w:rsidP="00922417">
      <w:r>
        <w:separator/>
      </w:r>
    </w:p>
  </w:footnote>
  <w:footnote w:type="continuationSeparator" w:id="0">
    <w:p w14:paraId="3B0C9342" w14:textId="77777777" w:rsidR="00F50DF5" w:rsidRDefault="00F50DF5" w:rsidP="00922417">
      <w:r>
        <w:continuationSeparator/>
      </w:r>
    </w:p>
  </w:footnote>
  <w:footnote w:id="1">
    <w:p w14:paraId="28890E4E" w14:textId="77777777" w:rsidR="00BC6376" w:rsidRPr="00C54A7B" w:rsidRDefault="00BC6376"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BC6376" w:rsidRPr="00C54A7B" w:rsidRDefault="00BC6376" w:rsidP="00BE2EA3">
      <w:pPr>
        <w:pStyle w:val="FootnoteText"/>
        <w:numPr>
          <w:ilvl w:val="0"/>
          <w:numId w:val="34"/>
        </w:numPr>
        <w:rPr>
          <w:rFonts w:eastAsia="Yu Mincho"/>
          <w:i/>
          <w:iCs/>
        </w:rPr>
      </w:pPr>
      <w:r w:rsidRPr="00C54A7B">
        <w:rPr>
          <w:rFonts w:eastAsia="Yu Mincho"/>
          <w:i/>
          <w:iCs/>
        </w:rPr>
        <w:t xml:space="preserve">priesaikos deklaracija; </w:t>
      </w:r>
    </w:p>
    <w:p w14:paraId="28890E50" w14:textId="77777777" w:rsidR="00BC6376" w:rsidRDefault="00BC6376"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BC6376" w:rsidRPr="00551FCA" w:rsidRDefault="00BC6376"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3A333D" w:rsidRDefault="003A3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3A333D" w:rsidRPr="003E3C91" w:rsidRDefault="003A333D"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3A333D" w:rsidRDefault="003A3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8DF4FDE"/>
    <w:multiLevelType w:val="multilevel"/>
    <w:tmpl w:val="4C826ADA"/>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22"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4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0"/>
  </w:num>
  <w:num w:numId="7">
    <w:abstractNumId w:val="20"/>
  </w:num>
  <w:num w:numId="8">
    <w:abstractNumId w:val="10"/>
  </w:num>
  <w:num w:numId="9">
    <w:abstractNumId w:val="24"/>
  </w:num>
  <w:num w:numId="10">
    <w:abstractNumId w:val="37"/>
  </w:num>
  <w:num w:numId="11">
    <w:abstractNumId w:val="16"/>
  </w:num>
  <w:num w:numId="12">
    <w:abstractNumId w:val="0"/>
  </w:num>
  <w:num w:numId="13">
    <w:abstractNumId w:val="26"/>
  </w:num>
  <w:num w:numId="14">
    <w:abstractNumId w:val="22"/>
  </w:num>
  <w:num w:numId="15">
    <w:abstractNumId w:val="9"/>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0"/>
  </w:num>
  <w:num w:numId="25">
    <w:abstractNumId w:val="35"/>
  </w:num>
  <w:num w:numId="26">
    <w:abstractNumId w:val="13"/>
  </w:num>
  <w:num w:numId="27">
    <w:abstractNumId w:val="5"/>
  </w:num>
  <w:num w:numId="28">
    <w:abstractNumId w:val="6"/>
  </w:num>
  <w:num w:numId="29">
    <w:abstractNumId w:val="36"/>
  </w:num>
  <w:num w:numId="30">
    <w:abstractNumId w:val="31"/>
  </w:num>
  <w:num w:numId="31">
    <w:abstractNumId w:val="18"/>
  </w:num>
  <w:num w:numId="32">
    <w:abstractNumId w:val="25"/>
  </w:num>
  <w:num w:numId="33">
    <w:abstractNumId w:val="2"/>
  </w:num>
  <w:num w:numId="34">
    <w:abstractNumId w:val="27"/>
  </w:num>
  <w:num w:numId="35">
    <w:abstractNumId w:val="32"/>
  </w:num>
  <w:num w:numId="36">
    <w:abstractNumId w:val="1"/>
  </w:num>
  <w:num w:numId="37">
    <w:abstractNumId w:val="11"/>
  </w:num>
  <w:num w:numId="38">
    <w:abstractNumId w:val="4"/>
  </w:num>
  <w:num w:numId="39">
    <w:abstractNumId w:val="7"/>
  </w:num>
  <w:num w:numId="40">
    <w:abstractNumId w:val="15"/>
  </w:num>
  <w:num w:numId="41">
    <w:abstractNumId w:val="34"/>
  </w:num>
  <w:num w:numId="42">
    <w:abstractNumId w:val="28"/>
  </w:num>
  <w:num w:numId="43">
    <w:abstractNumId w:val="29"/>
  </w:num>
  <w:num w:numId="44">
    <w:abstractNumId w:val="12"/>
  </w:num>
  <w:num w:numId="45">
    <w:abstractNumId w:val="3"/>
  </w:num>
  <w:num w:numId="46">
    <w:abstractNumId w:val="21"/>
  </w:num>
  <w:num w:numId="47">
    <w:abstractNumId w:val="3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B0468"/>
    <w:rsid w:val="002B122D"/>
    <w:rsid w:val="002B1FBC"/>
    <w:rsid w:val="002B2256"/>
    <w:rsid w:val="002B3F44"/>
    <w:rsid w:val="002B7410"/>
    <w:rsid w:val="002C0615"/>
    <w:rsid w:val="002C6887"/>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D6"/>
    <w:rsid w:val="00C35E7B"/>
    <w:rsid w:val="00C447B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65C8"/>
    <w:rsid w:val="00E76F7A"/>
    <w:rsid w:val="00E77CCB"/>
    <w:rsid w:val="00E80520"/>
    <w:rsid w:val="00E8111A"/>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2.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A16095-E326-4F52-B9E7-CACC60C6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24</Pages>
  <Words>46218</Words>
  <Characters>26345</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16</cp:revision>
  <cp:lastPrinted>2024-04-11T04:04:00Z</cp:lastPrinted>
  <dcterms:created xsi:type="dcterms:W3CDTF">2024-05-24T11:15:00Z</dcterms:created>
  <dcterms:modified xsi:type="dcterms:W3CDTF">2025-04-09T09:23:00Z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