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353BD" w14:textId="77777777" w:rsidR="00A6626C" w:rsidRPr="004835C0" w:rsidRDefault="00AF7B39">
      <w:pPr>
        <w:pStyle w:val="Body2"/>
        <w:jc w:val="right"/>
        <w:rPr>
          <w:sz w:val="24"/>
          <w:szCs w:val="24"/>
          <w:lang w:val="en-GB"/>
        </w:rPr>
      </w:pPr>
      <w:r w:rsidRPr="004835C0">
        <w:rPr>
          <w:sz w:val="24"/>
          <w:szCs w:val="24"/>
          <w:lang w:val="en-GB"/>
        </w:rPr>
        <w:t xml:space="preserve">Annex </w:t>
      </w:r>
      <w:proofErr w:type="gramStart"/>
      <w:r w:rsidRPr="004835C0">
        <w:rPr>
          <w:sz w:val="24"/>
          <w:szCs w:val="24"/>
          <w:lang w:val="en-GB"/>
        </w:rPr>
        <w:t>4</w:t>
      </w:r>
      <w:proofErr w:type="gramEnd"/>
      <w:r w:rsidRPr="004835C0">
        <w:rPr>
          <w:sz w:val="24"/>
          <w:szCs w:val="24"/>
          <w:lang w:val="en-GB"/>
        </w:rPr>
        <w:t xml:space="preserve"> </w:t>
      </w:r>
    </w:p>
    <w:p w14:paraId="14207A77" w14:textId="77777777" w:rsidR="00A6626C" w:rsidRPr="004835C0" w:rsidRDefault="00AF7B39">
      <w:pPr>
        <w:pStyle w:val="Body2"/>
        <w:jc w:val="right"/>
        <w:rPr>
          <w:rFonts w:cs="Times New Roman"/>
          <w:sz w:val="24"/>
          <w:szCs w:val="24"/>
          <w:lang w:val="en-GB"/>
        </w:rPr>
      </w:pPr>
      <w:proofErr w:type="gramStart"/>
      <w:r w:rsidRPr="004835C0">
        <w:rPr>
          <w:sz w:val="24"/>
          <w:szCs w:val="24"/>
          <w:lang w:val="en-GB"/>
        </w:rPr>
        <w:t>to</w:t>
      </w:r>
      <w:proofErr w:type="gramEnd"/>
      <w:r w:rsidRPr="004835C0">
        <w:rPr>
          <w:sz w:val="24"/>
          <w:szCs w:val="24"/>
          <w:lang w:val="en-GB"/>
        </w:rPr>
        <w:t xml:space="preserve"> the Procurement Terms and Conditions</w:t>
      </w:r>
    </w:p>
    <w:p w14:paraId="3D06E3EC" w14:textId="77777777" w:rsidR="00A6626C" w:rsidRPr="004835C0" w:rsidRDefault="00A6626C">
      <w:pPr>
        <w:pStyle w:val="Heading"/>
        <w:jc w:val="right"/>
        <w:rPr>
          <w:rFonts w:cs="Times New Roman"/>
          <w:sz w:val="24"/>
          <w:szCs w:val="24"/>
          <w:lang w:val="en-GB"/>
        </w:rPr>
      </w:pPr>
    </w:p>
    <w:p w14:paraId="4C62B385" w14:textId="77777777" w:rsidR="00A6626C" w:rsidRPr="004835C0" w:rsidRDefault="00AF7B39">
      <w:pPr>
        <w:pStyle w:val="Heading"/>
        <w:jc w:val="right"/>
        <w:rPr>
          <w:rFonts w:cs="Times New Roman"/>
          <w:sz w:val="24"/>
          <w:szCs w:val="24"/>
          <w:lang w:val="en-GB"/>
        </w:rPr>
      </w:pPr>
      <w:r w:rsidRPr="004835C0">
        <w:rPr>
          <w:rFonts w:cs="Times New Roman"/>
          <w:sz w:val="24"/>
          <w:szCs w:val="24"/>
          <w:lang w:val="en-GB"/>
        </w:rPr>
        <w:t>“</w:t>
      </w:r>
      <w:r w:rsidRPr="004835C0">
        <w:rPr>
          <w:sz w:val="24"/>
          <w:szCs w:val="24"/>
          <w:lang w:val="en-GB"/>
        </w:rPr>
        <w:t>Conditions prohibiting and restricting the participation of suppliers and qualification requirements</w:t>
      </w:r>
      <w:r w:rsidRPr="004835C0">
        <w:rPr>
          <w:rFonts w:cs="Times New Roman"/>
          <w:sz w:val="24"/>
          <w:szCs w:val="24"/>
          <w:lang w:val="en-GB"/>
        </w:rPr>
        <w:t>”</w:t>
      </w:r>
    </w:p>
    <w:p w14:paraId="018DC68B" w14:textId="77777777" w:rsidR="00A6626C" w:rsidRPr="004835C0" w:rsidRDefault="00A6626C">
      <w:pPr>
        <w:pStyle w:val="Body2"/>
        <w:rPr>
          <w:rFonts w:cs="Times New Roman"/>
          <w:sz w:val="24"/>
          <w:szCs w:val="24"/>
          <w:lang w:val="en-GB"/>
        </w:rPr>
      </w:pPr>
    </w:p>
    <w:p w14:paraId="37067214" w14:textId="77777777" w:rsidR="00A6626C" w:rsidRPr="004835C0" w:rsidRDefault="00AF7B39">
      <w:pPr>
        <w:pStyle w:val="Body2"/>
        <w:jc w:val="center"/>
        <w:rPr>
          <w:rFonts w:cs="Times New Roman"/>
          <w:b/>
          <w:sz w:val="24"/>
          <w:szCs w:val="24"/>
          <w:lang w:val="en-GB"/>
        </w:rPr>
      </w:pPr>
      <w:r w:rsidRPr="004835C0">
        <w:rPr>
          <w:rFonts w:cs="Times New Roman"/>
          <w:b/>
          <w:sz w:val="24"/>
          <w:szCs w:val="24"/>
          <w:lang w:val="en-GB"/>
        </w:rPr>
        <w:t xml:space="preserve">I. </w:t>
      </w:r>
      <w:r w:rsidRPr="004835C0">
        <w:rPr>
          <w:b/>
          <w:sz w:val="24"/>
          <w:szCs w:val="24"/>
          <w:lang w:val="en-GB"/>
        </w:rPr>
        <w:t xml:space="preserve">CONDITIONS PROHIBITING AND RESTRICTING THE PARTICIPATION OF SUPPLIERS </w:t>
      </w:r>
    </w:p>
    <w:p w14:paraId="0D5329DC" w14:textId="77777777" w:rsidR="00A6626C" w:rsidRPr="004835C0" w:rsidRDefault="00A6626C">
      <w:pPr>
        <w:pStyle w:val="Body2"/>
        <w:jc w:val="right"/>
        <w:rPr>
          <w:rFonts w:cs="Times New Roman"/>
          <w:sz w:val="24"/>
          <w:szCs w:val="24"/>
          <w:lang w:val="en-GB"/>
        </w:rPr>
      </w:pPr>
    </w:p>
    <w:tbl>
      <w:tblPr>
        <w:tblStyle w:val="TableGrid"/>
        <w:tblW w:w="14569" w:type="dxa"/>
        <w:tblInd w:w="-658" w:type="dxa"/>
        <w:tblLayout w:type="fixed"/>
        <w:tblLook w:val="04A0" w:firstRow="1" w:lastRow="0" w:firstColumn="1" w:lastColumn="0" w:noHBand="0" w:noVBand="1"/>
      </w:tblPr>
      <w:tblGrid>
        <w:gridCol w:w="618"/>
        <w:gridCol w:w="4288"/>
        <w:gridCol w:w="1559"/>
        <w:gridCol w:w="6095"/>
        <w:gridCol w:w="2009"/>
      </w:tblGrid>
      <w:tr w:rsidR="00A6626C" w:rsidRPr="004835C0" w14:paraId="3F4E8E84" w14:textId="77777777">
        <w:tc>
          <w:tcPr>
            <w:tcW w:w="618" w:type="dxa"/>
          </w:tcPr>
          <w:p w14:paraId="4A798B87" w14:textId="77777777" w:rsidR="00A6626C" w:rsidRPr="004835C0" w:rsidRDefault="00AF7B39">
            <w:pPr>
              <w:pStyle w:val="BodyA"/>
              <w:jc w:val="right"/>
              <w:rPr>
                <w:rFonts w:ascii="Times New Roman" w:eastAsia="Times New Roman" w:hAnsi="Times New Roman" w:cs="Times New Roman"/>
                <w:b/>
                <w:bCs/>
                <w:color w:val="404040" w:themeColor="text1" w:themeTint="BF"/>
                <w:sz w:val="24"/>
                <w:szCs w:val="24"/>
                <w:lang w:val="en-GB"/>
              </w:rPr>
            </w:pPr>
            <w:r w:rsidRPr="004835C0">
              <w:rPr>
                <w:rFonts w:ascii="Times New Roman" w:eastAsia="Times New Roman" w:hAnsi="Times New Roman" w:cs="Times New Roman"/>
                <w:b/>
                <w:bCs/>
                <w:color w:val="404040" w:themeColor="text1" w:themeTint="BF"/>
                <w:sz w:val="24"/>
                <w:szCs w:val="24"/>
                <w:lang w:val="en-GB"/>
              </w:rPr>
              <w:t>No.</w:t>
            </w:r>
          </w:p>
        </w:tc>
        <w:tc>
          <w:tcPr>
            <w:tcW w:w="4288" w:type="dxa"/>
            <w:vAlign w:val="center"/>
          </w:tcPr>
          <w:p w14:paraId="33EA9322" w14:textId="77777777" w:rsidR="00A6626C" w:rsidRPr="004835C0" w:rsidRDefault="00AF7B39">
            <w:pPr>
              <w:jc w:val="center"/>
              <w:rPr>
                <w:b/>
                <w:bCs/>
                <w:color w:val="404040" w:themeColor="text1" w:themeTint="BF"/>
                <w:sz w:val="24"/>
                <w:szCs w:val="24"/>
                <w:lang w:val="en-GB"/>
              </w:rPr>
            </w:pPr>
            <w:r w:rsidRPr="004835C0">
              <w:rPr>
                <w:b/>
                <w:bCs/>
                <w:color w:val="404040" w:themeColor="text1" w:themeTint="BF"/>
                <w:sz w:val="24"/>
                <w:szCs w:val="24"/>
                <w:lang w:val="en-GB"/>
              </w:rPr>
              <w:t>Requirement</w:t>
            </w:r>
          </w:p>
        </w:tc>
        <w:tc>
          <w:tcPr>
            <w:tcW w:w="1559" w:type="dxa"/>
            <w:vAlign w:val="center"/>
          </w:tcPr>
          <w:p w14:paraId="491B5811" w14:textId="77777777" w:rsidR="00A6626C" w:rsidRPr="004835C0" w:rsidRDefault="00AF7B39">
            <w:pPr>
              <w:jc w:val="center"/>
              <w:rPr>
                <w:b/>
                <w:bCs/>
                <w:color w:val="404040" w:themeColor="text1" w:themeTint="BF"/>
                <w:sz w:val="24"/>
                <w:szCs w:val="24"/>
                <w:lang w:val="en-GB"/>
              </w:rPr>
            </w:pPr>
            <w:r w:rsidRPr="004835C0">
              <w:rPr>
                <w:b/>
                <w:bCs/>
                <w:color w:val="404040" w:themeColor="text1" w:themeTint="BF"/>
                <w:sz w:val="24"/>
                <w:szCs w:val="24"/>
                <w:lang w:val="en-GB"/>
              </w:rPr>
              <w:t>Reference to the Law</w:t>
            </w:r>
          </w:p>
        </w:tc>
        <w:tc>
          <w:tcPr>
            <w:tcW w:w="6095" w:type="dxa"/>
            <w:vAlign w:val="center"/>
          </w:tcPr>
          <w:p w14:paraId="390E606A" w14:textId="77777777" w:rsidR="00A6626C" w:rsidRPr="004835C0" w:rsidRDefault="00AF7B39">
            <w:pPr>
              <w:jc w:val="center"/>
              <w:rPr>
                <w:rFonts w:eastAsia="Times New Roman"/>
                <w:b/>
                <w:bCs/>
                <w:color w:val="404040" w:themeColor="text1" w:themeTint="BF"/>
                <w:sz w:val="24"/>
                <w:szCs w:val="24"/>
                <w:lang w:val="en-GB"/>
              </w:rPr>
            </w:pPr>
            <w:r w:rsidRPr="004835C0">
              <w:rPr>
                <w:b/>
                <w:bCs/>
                <w:color w:val="404040" w:themeColor="text1" w:themeTint="BF"/>
                <w:sz w:val="24"/>
                <w:szCs w:val="24"/>
                <w:lang w:val="en-GB"/>
              </w:rPr>
              <w:t>Documents in support of compliance</w:t>
            </w:r>
          </w:p>
        </w:tc>
        <w:tc>
          <w:tcPr>
            <w:tcW w:w="2009" w:type="dxa"/>
          </w:tcPr>
          <w:p w14:paraId="77958CFC" w14:textId="77777777" w:rsidR="00A6626C" w:rsidRPr="004835C0" w:rsidRDefault="00AF7B39">
            <w:pPr>
              <w:jc w:val="center"/>
              <w:rPr>
                <w:rFonts w:eastAsia="Times New Roman"/>
                <w:b/>
                <w:bCs/>
                <w:color w:val="404040" w:themeColor="text1" w:themeTint="BF"/>
                <w:sz w:val="24"/>
                <w:szCs w:val="24"/>
                <w:lang w:val="en-GB"/>
              </w:rPr>
            </w:pPr>
            <w:r w:rsidRPr="004835C0">
              <w:rPr>
                <w:b/>
                <w:bCs/>
                <w:color w:val="404040" w:themeColor="text1" w:themeTint="BF"/>
                <w:sz w:val="24"/>
                <w:szCs w:val="24"/>
                <w:lang w:val="en-GB"/>
              </w:rPr>
              <w:t>Entity that must comply with the requirement</w:t>
            </w:r>
          </w:p>
        </w:tc>
      </w:tr>
      <w:tr w:rsidR="00A6626C" w:rsidRPr="004835C0" w14:paraId="5D14AB44" w14:textId="77777777">
        <w:tc>
          <w:tcPr>
            <w:tcW w:w="618" w:type="dxa"/>
            <w:vAlign w:val="center"/>
          </w:tcPr>
          <w:p w14:paraId="43BE383E" w14:textId="77777777" w:rsidR="00A6626C" w:rsidRPr="004835C0" w:rsidRDefault="00AF7B39">
            <w:pPr>
              <w:pStyle w:val="BodyA"/>
              <w:jc w:val="center"/>
              <w:rPr>
                <w:rFonts w:ascii="Times New Roman" w:eastAsia="Times New Roman" w:hAnsi="Times New Roman" w:cs="Times New Roman"/>
                <w:bCs/>
                <w:i/>
                <w:color w:val="404040" w:themeColor="text1" w:themeTint="BF"/>
                <w:sz w:val="24"/>
                <w:szCs w:val="24"/>
                <w:lang w:val="en-GB"/>
              </w:rPr>
            </w:pPr>
            <w:r w:rsidRPr="004835C0">
              <w:rPr>
                <w:rFonts w:ascii="Times New Roman" w:eastAsia="Times New Roman" w:hAnsi="Times New Roman" w:cs="Times New Roman"/>
                <w:bCs/>
                <w:i/>
                <w:color w:val="404040" w:themeColor="text1" w:themeTint="BF"/>
                <w:sz w:val="24"/>
                <w:szCs w:val="24"/>
                <w:lang w:val="en-GB"/>
              </w:rPr>
              <w:t>1.</w:t>
            </w:r>
          </w:p>
        </w:tc>
        <w:tc>
          <w:tcPr>
            <w:tcW w:w="4288" w:type="dxa"/>
            <w:vAlign w:val="center"/>
          </w:tcPr>
          <w:p w14:paraId="738077A4" w14:textId="77777777" w:rsidR="00A6626C" w:rsidRPr="004835C0" w:rsidRDefault="00AF7B39">
            <w:pPr>
              <w:jc w:val="center"/>
              <w:rPr>
                <w:bCs/>
                <w:i/>
                <w:color w:val="404040" w:themeColor="text1" w:themeTint="BF"/>
                <w:sz w:val="24"/>
                <w:szCs w:val="24"/>
                <w:lang w:val="en-GB"/>
              </w:rPr>
            </w:pPr>
            <w:r w:rsidRPr="004835C0">
              <w:rPr>
                <w:bCs/>
                <w:i/>
                <w:color w:val="404040" w:themeColor="text1" w:themeTint="BF"/>
                <w:sz w:val="24"/>
                <w:szCs w:val="24"/>
                <w:lang w:val="en-GB"/>
              </w:rPr>
              <w:t>2.</w:t>
            </w:r>
          </w:p>
        </w:tc>
        <w:tc>
          <w:tcPr>
            <w:tcW w:w="1559" w:type="dxa"/>
            <w:vAlign w:val="center"/>
          </w:tcPr>
          <w:p w14:paraId="227AB59B" w14:textId="77777777" w:rsidR="00A6626C" w:rsidRPr="004835C0" w:rsidRDefault="00AF7B39">
            <w:pPr>
              <w:jc w:val="center"/>
              <w:rPr>
                <w:bCs/>
                <w:i/>
                <w:color w:val="404040" w:themeColor="text1" w:themeTint="BF"/>
                <w:sz w:val="24"/>
                <w:szCs w:val="24"/>
                <w:lang w:val="en-GB"/>
              </w:rPr>
            </w:pPr>
            <w:r w:rsidRPr="004835C0">
              <w:rPr>
                <w:bCs/>
                <w:i/>
                <w:color w:val="404040" w:themeColor="text1" w:themeTint="BF"/>
                <w:sz w:val="24"/>
                <w:szCs w:val="24"/>
                <w:lang w:val="en-GB"/>
              </w:rPr>
              <w:t>3.</w:t>
            </w:r>
          </w:p>
        </w:tc>
        <w:tc>
          <w:tcPr>
            <w:tcW w:w="6095" w:type="dxa"/>
            <w:vAlign w:val="center"/>
          </w:tcPr>
          <w:p w14:paraId="5895CBDB" w14:textId="77777777" w:rsidR="00A6626C" w:rsidRPr="004835C0" w:rsidRDefault="00AF7B39">
            <w:pPr>
              <w:jc w:val="center"/>
              <w:rPr>
                <w:bCs/>
                <w:i/>
                <w:color w:val="404040" w:themeColor="text1" w:themeTint="BF"/>
                <w:sz w:val="24"/>
                <w:szCs w:val="24"/>
                <w:lang w:val="en-GB"/>
              </w:rPr>
            </w:pPr>
            <w:r w:rsidRPr="004835C0">
              <w:rPr>
                <w:bCs/>
                <w:i/>
                <w:color w:val="404040" w:themeColor="text1" w:themeTint="BF"/>
                <w:sz w:val="24"/>
                <w:szCs w:val="24"/>
                <w:lang w:val="en-GB"/>
              </w:rPr>
              <w:t>4.</w:t>
            </w:r>
          </w:p>
        </w:tc>
        <w:tc>
          <w:tcPr>
            <w:tcW w:w="2009" w:type="dxa"/>
            <w:vAlign w:val="center"/>
          </w:tcPr>
          <w:p w14:paraId="05BA7484" w14:textId="77777777" w:rsidR="00A6626C" w:rsidRPr="004835C0" w:rsidRDefault="00AF7B39">
            <w:pPr>
              <w:jc w:val="center"/>
              <w:rPr>
                <w:bCs/>
                <w:i/>
                <w:color w:val="404040" w:themeColor="text1" w:themeTint="BF"/>
                <w:sz w:val="24"/>
                <w:szCs w:val="24"/>
                <w:lang w:val="en-GB"/>
              </w:rPr>
            </w:pPr>
            <w:r w:rsidRPr="004835C0">
              <w:rPr>
                <w:bCs/>
                <w:i/>
                <w:color w:val="404040" w:themeColor="text1" w:themeTint="BF"/>
                <w:sz w:val="24"/>
                <w:szCs w:val="24"/>
                <w:lang w:val="en-GB"/>
              </w:rPr>
              <w:t>5.</w:t>
            </w:r>
          </w:p>
        </w:tc>
      </w:tr>
      <w:tr w:rsidR="00A6626C" w:rsidRPr="004835C0" w14:paraId="70553D67" w14:textId="77777777">
        <w:tc>
          <w:tcPr>
            <w:tcW w:w="618" w:type="dxa"/>
          </w:tcPr>
          <w:p w14:paraId="7CFB3C32" w14:textId="77777777" w:rsidR="00A6626C" w:rsidRPr="004835C0" w:rsidRDefault="00AF7B39">
            <w:pPr>
              <w:rPr>
                <w:sz w:val="24"/>
                <w:szCs w:val="24"/>
                <w:lang w:val="en-GB"/>
              </w:rPr>
            </w:pPr>
            <w:r w:rsidRPr="004835C0">
              <w:rPr>
                <w:sz w:val="24"/>
                <w:szCs w:val="24"/>
                <w:lang w:val="en-GB"/>
              </w:rPr>
              <w:t>1.</w:t>
            </w:r>
          </w:p>
        </w:tc>
        <w:tc>
          <w:tcPr>
            <w:tcW w:w="4288" w:type="dxa"/>
          </w:tcPr>
          <w:p w14:paraId="4D414AF7" w14:textId="77777777" w:rsidR="00A6626C" w:rsidRPr="004835C0" w:rsidRDefault="00AF7B39">
            <w:pPr>
              <w:rPr>
                <w:sz w:val="24"/>
                <w:szCs w:val="24"/>
                <w:lang w:val="en-GB"/>
              </w:rPr>
            </w:pPr>
            <w:r w:rsidRPr="004835C0">
              <w:rPr>
                <w:sz w:val="24"/>
                <w:szCs w:val="24"/>
                <w:lang w:val="en-GB"/>
              </w:rPr>
              <w:t xml:space="preserve">1) the supplier, who is a natural person, the supplier, who is a legal person, another organisation or a subdivision thereof, the head, other member of the management or supervisory body or other person(s) having the right to represent or control the supplier, to take a decision on its behalf, to conclude a transaction, the person(s) having the right to draw up and sign the supplier’s financial accounting documents, has </w:t>
            </w:r>
            <w:r w:rsidRPr="004835C0">
              <w:rPr>
                <w:b/>
                <w:bCs/>
                <w:sz w:val="24"/>
                <w:szCs w:val="24"/>
                <w:lang w:val="en-GB"/>
              </w:rPr>
              <w:t>not been</w:t>
            </w:r>
            <w:r w:rsidRPr="004835C0">
              <w:rPr>
                <w:sz w:val="24"/>
                <w:szCs w:val="24"/>
                <w:lang w:val="en-GB"/>
              </w:rPr>
              <w:t xml:space="preserve"> the subject of a conviction by a court of competent jurisdiction in the preceding 5 years and has </w:t>
            </w:r>
            <w:r w:rsidRPr="004835C0">
              <w:rPr>
                <w:b/>
                <w:bCs/>
                <w:sz w:val="24"/>
                <w:szCs w:val="24"/>
                <w:lang w:val="en-GB"/>
              </w:rPr>
              <w:t>no criminal</w:t>
            </w:r>
            <w:r w:rsidRPr="004835C0">
              <w:rPr>
                <w:sz w:val="24"/>
                <w:szCs w:val="24"/>
                <w:lang w:val="en-GB"/>
              </w:rPr>
              <w:t xml:space="preserve"> record that has not been expunged or revoked for:</w:t>
            </w:r>
          </w:p>
          <w:p w14:paraId="5CE5C8DC" w14:textId="669C94F3" w:rsidR="00A6626C" w:rsidRPr="004835C0" w:rsidRDefault="00AF7B39">
            <w:pPr>
              <w:rPr>
                <w:sz w:val="24"/>
                <w:szCs w:val="24"/>
                <w:lang w:val="en-GB"/>
              </w:rPr>
            </w:pPr>
            <w:r w:rsidRPr="004835C0">
              <w:rPr>
                <w:sz w:val="24"/>
                <w:szCs w:val="24"/>
                <w:lang w:val="en-GB"/>
              </w:rPr>
              <w:t xml:space="preserve">a) participating in, </w:t>
            </w:r>
            <w:r w:rsidR="004835C0" w:rsidRPr="004835C0">
              <w:rPr>
                <w:sz w:val="24"/>
                <w:szCs w:val="24"/>
                <w:lang w:val="en-GB"/>
              </w:rPr>
              <w:t>organising,</w:t>
            </w:r>
            <w:r w:rsidRPr="004835C0">
              <w:rPr>
                <w:sz w:val="24"/>
                <w:szCs w:val="24"/>
                <w:lang w:val="en-GB"/>
              </w:rPr>
              <w:t xml:space="preserve"> or directing a criminal organisation;</w:t>
            </w:r>
          </w:p>
          <w:p w14:paraId="765785AC" w14:textId="77777777" w:rsidR="00A6626C" w:rsidRPr="004835C0" w:rsidRDefault="00AF7B39">
            <w:pPr>
              <w:rPr>
                <w:sz w:val="24"/>
                <w:szCs w:val="24"/>
                <w:lang w:val="en-GB"/>
              </w:rPr>
            </w:pPr>
            <w:r w:rsidRPr="004835C0">
              <w:rPr>
                <w:sz w:val="24"/>
                <w:szCs w:val="24"/>
                <w:lang w:val="en-GB"/>
              </w:rPr>
              <w:t>b) committing a terrorist offence or an offence related to terrorist activities, or disclosing or losing a state secret;</w:t>
            </w:r>
          </w:p>
          <w:p w14:paraId="16B00AF4" w14:textId="77777777" w:rsidR="00A6626C" w:rsidRPr="004835C0" w:rsidRDefault="00AF7B39">
            <w:pPr>
              <w:rPr>
                <w:sz w:val="24"/>
                <w:szCs w:val="24"/>
                <w:lang w:val="en-GB"/>
              </w:rPr>
            </w:pPr>
            <w:r w:rsidRPr="004835C0">
              <w:rPr>
                <w:sz w:val="24"/>
                <w:szCs w:val="24"/>
                <w:lang w:val="en-GB"/>
              </w:rPr>
              <w:lastRenderedPageBreak/>
              <w:t>c) bribery, influence peddling and corruption;</w:t>
            </w:r>
          </w:p>
          <w:p w14:paraId="7AA0E2AB" w14:textId="77777777" w:rsidR="00A6626C" w:rsidRPr="004835C0" w:rsidRDefault="00AF7B39">
            <w:pPr>
              <w:rPr>
                <w:sz w:val="24"/>
                <w:szCs w:val="24"/>
                <w:lang w:val="en-GB"/>
              </w:rPr>
            </w:pPr>
            <w:r w:rsidRPr="004835C0">
              <w:rPr>
                <w:sz w:val="24"/>
                <w:szCs w:val="24"/>
                <w:lang w:val="en-GB"/>
              </w:rPr>
              <w:t>d) fraud, embezzlement, misappropriation, false declaration of the activities of a legal person, use of a credit, loan, grant, subsidy or subsidy not for its intended purpose or in accordance with the procedure laid down, credit fraud, misrepresentation of income, profits or assets, or failure to submit a declaration, statement, report or other document, fraudulent management and/or organisation of financial accounting or abuse, where these offences are directed against the financial interests of the European Union within the meaning of Article 1 of the Convention on the protection of the European Communities’ financial interests drawn up in accordance with Article K.3 of the Treaty on the Functioning of the European Union;</w:t>
            </w:r>
          </w:p>
          <w:p w14:paraId="0924A486" w14:textId="77777777" w:rsidR="00A6626C" w:rsidRPr="004835C0" w:rsidRDefault="00AF7B39">
            <w:pPr>
              <w:rPr>
                <w:sz w:val="24"/>
                <w:szCs w:val="24"/>
                <w:lang w:val="en-GB"/>
              </w:rPr>
            </w:pPr>
            <w:r w:rsidRPr="004835C0">
              <w:rPr>
                <w:sz w:val="24"/>
                <w:szCs w:val="24"/>
                <w:lang w:val="en-GB"/>
              </w:rPr>
              <w:t>e) money laundering;</w:t>
            </w:r>
          </w:p>
          <w:p w14:paraId="5DC85975" w14:textId="77777777" w:rsidR="00A6626C" w:rsidRPr="004835C0" w:rsidRDefault="00AF7B39">
            <w:pPr>
              <w:rPr>
                <w:sz w:val="24"/>
                <w:szCs w:val="24"/>
                <w:lang w:val="en-GB"/>
              </w:rPr>
            </w:pPr>
            <w:r w:rsidRPr="004835C0">
              <w:rPr>
                <w:sz w:val="24"/>
                <w:szCs w:val="24"/>
                <w:lang w:val="en-GB"/>
              </w:rPr>
              <w:t xml:space="preserve">f) </w:t>
            </w:r>
            <w:proofErr w:type="gramStart"/>
            <w:r w:rsidRPr="004835C0">
              <w:rPr>
                <w:sz w:val="24"/>
                <w:szCs w:val="24"/>
                <w:lang w:val="en-GB"/>
              </w:rPr>
              <w:t>an</w:t>
            </w:r>
            <w:proofErr w:type="gramEnd"/>
            <w:r w:rsidRPr="004835C0">
              <w:rPr>
                <w:sz w:val="24"/>
                <w:szCs w:val="24"/>
                <w:lang w:val="en-GB"/>
              </w:rPr>
              <w:t xml:space="preserve"> offence committed in other countries as defined in the criminal laws of other countries implementing the European Union legislation listed in Article 39(1) of Directive 2009/81/EC.</w:t>
            </w:r>
          </w:p>
        </w:tc>
        <w:tc>
          <w:tcPr>
            <w:tcW w:w="1559" w:type="dxa"/>
          </w:tcPr>
          <w:p w14:paraId="6A1CC0DB" w14:textId="77777777" w:rsidR="00A6626C" w:rsidRPr="004835C0" w:rsidRDefault="00AF7B39">
            <w:pPr>
              <w:rPr>
                <w:sz w:val="24"/>
                <w:szCs w:val="24"/>
                <w:lang w:val="en-GB"/>
              </w:rPr>
            </w:pPr>
            <w:r w:rsidRPr="004835C0">
              <w:rPr>
                <w:sz w:val="24"/>
                <w:szCs w:val="24"/>
                <w:lang w:val="en-GB"/>
              </w:rPr>
              <w:lastRenderedPageBreak/>
              <w:t xml:space="preserve">Article 34 (1)(1) of </w:t>
            </w:r>
            <w:r w:rsidRPr="004835C0">
              <w:rPr>
                <w:color w:val="000000"/>
                <w:lang w:val="en-GB"/>
              </w:rPr>
              <w:t xml:space="preserve">LPPDS </w:t>
            </w:r>
          </w:p>
        </w:tc>
        <w:tc>
          <w:tcPr>
            <w:tcW w:w="6095" w:type="dxa"/>
          </w:tcPr>
          <w:p w14:paraId="6C1F8C37" w14:textId="77777777" w:rsidR="00A6626C" w:rsidRPr="004835C0" w:rsidRDefault="00AF7B39">
            <w:pPr>
              <w:rPr>
                <w:sz w:val="24"/>
                <w:szCs w:val="24"/>
                <w:lang w:val="en-GB"/>
              </w:rPr>
            </w:pPr>
            <w:r w:rsidRPr="004835C0">
              <w:rPr>
                <w:sz w:val="24"/>
                <w:szCs w:val="24"/>
                <w:lang w:val="en-GB"/>
              </w:rPr>
              <w:t>Extract from a court decision</w:t>
            </w:r>
          </w:p>
          <w:p w14:paraId="11530116" w14:textId="77777777" w:rsidR="00A6626C" w:rsidRPr="004835C0" w:rsidRDefault="00AF7B39">
            <w:pPr>
              <w:rPr>
                <w:sz w:val="24"/>
                <w:szCs w:val="24"/>
                <w:lang w:val="en-GB"/>
              </w:rPr>
            </w:pPr>
            <w:proofErr w:type="gramStart"/>
            <w:r w:rsidRPr="004835C0">
              <w:rPr>
                <w:sz w:val="24"/>
                <w:szCs w:val="24"/>
                <w:lang w:val="en-GB"/>
              </w:rPr>
              <w:t>or</w:t>
            </w:r>
            <w:proofErr w:type="gramEnd"/>
            <w:r w:rsidRPr="004835C0">
              <w:rPr>
                <w:sz w:val="24"/>
                <w:szCs w:val="24"/>
                <w:lang w:val="en-GB"/>
              </w:rPr>
              <w:t xml:space="preserve"> </w:t>
            </w:r>
            <w:r w:rsidRPr="004835C0">
              <w:rPr>
                <w:sz w:val="24"/>
                <w:szCs w:val="24"/>
                <w:lang w:val="en-GB"/>
              </w:rPr>
              <w:br/>
              <w:t xml:space="preserve">Certificate from the Information Technology and Communications Department under the Ministry of the Interior (in accordance with Article 34(1)(1) of the </w:t>
            </w:r>
            <w:r w:rsidRPr="004835C0">
              <w:rPr>
                <w:color w:val="000000"/>
                <w:lang w:val="en-GB"/>
              </w:rPr>
              <w:t>LPPDS</w:t>
            </w:r>
            <w:r w:rsidRPr="004835C0">
              <w:rPr>
                <w:sz w:val="24"/>
                <w:szCs w:val="24"/>
                <w:lang w:val="en-GB"/>
              </w:rPr>
              <w:t xml:space="preserve">) or </w:t>
            </w:r>
            <w:r w:rsidRPr="004835C0">
              <w:rPr>
                <w:sz w:val="24"/>
                <w:szCs w:val="24"/>
                <w:lang w:val="en-GB"/>
              </w:rPr>
              <w:br/>
              <w:t>a document from the relevant foreign authority.</w:t>
            </w:r>
            <w:r w:rsidRPr="004835C0">
              <w:rPr>
                <w:sz w:val="24"/>
                <w:szCs w:val="24"/>
                <w:lang w:val="en-GB"/>
              </w:rPr>
              <w:br/>
              <w:t xml:space="preserve">The document to </w:t>
            </w:r>
            <w:proofErr w:type="gramStart"/>
            <w:r w:rsidRPr="004835C0">
              <w:rPr>
                <w:sz w:val="24"/>
                <w:szCs w:val="24"/>
                <w:lang w:val="en-GB"/>
              </w:rPr>
              <w:t>be submitted</w:t>
            </w:r>
            <w:proofErr w:type="gramEnd"/>
            <w:r w:rsidRPr="004835C0">
              <w:rPr>
                <w:sz w:val="24"/>
                <w:szCs w:val="24"/>
                <w:lang w:val="en-GB"/>
              </w:rPr>
              <w:t xml:space="preserve"> must have been issued no earlier than 120 days before the deadline for applications. If the document </w:t>
            </w:r>
            <w:proofErr w:type="gramStart"/>
            <w:r w:rsidRPr="004835C0">
              <w:rPr>
                <w:sz w:val="24"/>
                <w:szCs w:val="24"/>
                <w:lang w:val="en-GB"/>
              </w:rPr>
              <w:t>is issued</w:t>
            </w:r>
            <w:proofErr w:type="gramEnd"/>
            <w:r w:rsidRPr="004835C0">
              <w:rPr>
                <w:sz w:val="24"/>
                <w:szCs w:val="24"/>
                <w:lang w:val="en-GB"/>
              </w:rPr>
              <w:t xml:space="preserve"> earlier but its validity extends beyond the deadline for the receipt of applications, it shall be admissible for the duration of its validity. </w:t>
            </w:r>
          </w:p>
        </w:tc>
        <w:tc>
          <w:tcPr>
            <w:tcW w:w="2009" w:type="dxa"/>
          </w:tcPr>
          <w:p w14:paraId="385D5A12" w14:textId="77777777" w:rsidR="00A6626C" w:rsidRPr="004835C0" w:rsidRDefault="00AF7B39">
            <w:pPr>
              <w:rPr>
                <w:sz w:val="24"/>
                <w:szCs w:val="24"/>
                <w:lang w:val="en-GB"/>
              </w:rPr>
            </w:pPr>
            <w:r w:rsidRPr="004835C0">
              <w:rPr>
                <w:sz w:val="24"/>
                <w:szCs w:val="24"/>
                <w:lang w:val="en-GB"/>
              </w:rPr>
              <w:t>The supplier, each member of the group of economic operators and the subcontractors on whose behalf the supplier relies in order to meet the qualification requirements set out in the procurement conditions</w:t>
            </w:r>
          </w:p>
        </w:tc>
      </w:tr>
      <w:tr w:rsidR="00A6626C" w:rsidRPr="004835C0" w14:paraId="7F8F1F28" w14:textId="77777777">
        <w:tc>
          <w:tcPr>
            <w:tcW w:w="618" w:type="dxa"/>
          </w:tcPr>
          <w:p w14:paraId="11218298" w14:textId="77777777" w:rsidR="00A6626C" w:rsidRPr="004835C0" w:rsidRDefault="00AF7B39">
            <w:pPr>
              <w:rPr>
                <w:sz w:val="24"/>
                <w:szCs w:val="24"/>
                <w:lang w:val="en-GB"/>
              </w:rPr>
            </w:pPr>
            <w:r w:rsidRPr="004835C0">
              <w:rPr>
                <w:sz w:val="24"/>
                <w:szCs w:val="24"/>
                <w:lang w:val="en-GB"/>
              </w:rPr>
              <w:t xml:space="preserve">2. </w:t>
            </w:r>
          </w:p>
        </w:tc>
        <w:tc>
          <w:tcPr>
            <w:tcW w:w="4288" w:type="dxa"/>
          </w:tcPr>
          <w:p w14:paraId="4D9BC388" w14:textId="77777777" w:rsidR="00A6626C" w:rsidRPr="004835C0" w:rsidRDefault="00AF7B39">
            <w:pPr>
              <w:rPr>
                <w:sz w:val="24"/>
                <w:szCs w:val="24"/>
                <w:lang w:val="en-GB"/>
              </w:rPr>
            </w:pPr>
            <w:proofErr w:type="gramStart"/>
            <w:r w:rsidRPr="004835C0">
              <w:rPr>
                <w:sz w:val="24"/>
                <w:szCs w:val="24"/>
                <w:lang w:val="en-GB"/>
              </w:rPr>
              <w:t>the</w:t>
            </w:r>
            <w:proofErr w:type="gramEnd"/>
            <w:r w:rsidRPr="004835C0">
              <w:rPr>
                <w:sz w:val="24"/>
                <w:szCs w:val="24"/>
                <w:lang w:val="en-GB"/>
              </w:rPr>
              <w:t xml:space="preserve"> supplier (legal entity) has not been the subject of a criminal conviction for the offences referred to in </w:t>
            </w:r>
            <w:proofErr w:type="spellStart"/>
            <w:r w:rsidRPr="004835C0">
              <w:rPr>
                <w:sz w:val="24"/>
                <w:szCs w:val="24"/>
                <w:lang w:val="en-GB"/>
              </w:rPr>
              <w:t>subclauses</w:t>
            </w:r>
            <w:proofErr w:type="spellEnd"/>
            <w:r w:rsidRPr="004835C0">
              <w:rPr>
                <w:sz w:val="24"/>
                <w:szCs w:val="24"/>
                <w:lang w:val="en-GB"/>
              </w:rPr>
              <w:t xml:space="preserve"> 1(a) to (f) within the last 5 years.</w:t>
            </w:r>
          </w:p>
        </w:tc>
        <w:tc>
          <w:tcPr>
            <w:tcW w:w="1559" w:type="dxa"/>
          </w:tcPr>
          <w:p w14:paraId="6BA908BA" w14:textId="77777777" w:rsidR="00A6626C" w:rsidRPr="004835C0" w:rsidRDefault="00AF7B39">
            <w:pPr>
              <w:rPr>
                <w:sz w:val="24"/>
                <w:szCs w:val="24"/>
                <w:lang w:val="en-GB"/>
              </w:rPr>
            </w:pPr>
            <w:r w:rsidRPr="004835C0">
              <w:rPr>
                <w:sz w:val="24"/>
                <w:szCs w:val="24"/>
                <w:lang w:val="en-GB"/>
              </w:rPr>
              <w:t xml:space="preserve">Article 34 (1)(2) of </w:t>
            </w:r>
            <w:r w:rsidRPr="004835C0">
              <w:rPr>
                <w:color w:val="000000"/>
                <w:lang w:val="en-GB"/>
              </w:rPr>
              <w:t>LPPDS</w:t>
            </w:r>
          </w:p>
        </w:tc>
        <w:tc>
          <w:tcPr>
            <w:tcW w:w="6095" w:type="dxa"/>
          </w:tcPr>
          <w:p w14:paraId="4EC0BCFB" w14:textId="77777777" w:rsidR="00A6626C" w:rsidRPr="004835C0" w:rsidRDefault="00AF7B39">
            <w:pPr>
              <w:rPr>
                <w:sz w:val="24"/>
                <w:szCs w:val="24"/>
                <w:lang w:val="en-GB"/>
              </w:rPr>
            </w:pPr>
            <w:r w:rsidRPr="004835C0">
              <w:rPr>
                <w:sz w:val="24"/>
                <w:szCs w:val="24"/>
                <w:lang w:val="en-GB"/>
              </w:rPr>
              <w:t>Extract from a court decision</w:t>
            </w:r>
          </w:p>
          <w:p w14:paraId="531EDB4C" w14:textId="77777777" w:rsidR="00A6626C" w:rsidRPr="004835C0" w:rsidRDefault="00AF7B39">
            <w:pPr>
              <w:rPr>
                <w:sz w:val="24"/>
                <w:szCs w:val="24"/>
                <w:lang w:val="en-GB"/>
              </w:rPr>
            </w:pPr>
            <w:proofErr w:type="gramStart"/>
            <w:r w:rsidRPr="004835C0">
              <w:rPr>
                <w:sz w:val="24"/>
                <w:szCs w:val="24"/>
                <w:lang w:val="en-GB"/>
              </w:rPr>
              <w:t>or</w:t>
            </w:r>
            <w:proofErr w:type="gramEnd"/>
            <w:r w:rsidRPr="004835C0">
              <w:rPr>
                <w:sz w:val="24"/>
                <w:szCs w:val="24"/>
                <w:lang w:val="en-GB"/>
              </w:rPr>
              <w:t xml:space="preserve"> </w:t>
            </w:r>
            <w:r w:rsidRPr="004835C0">
              <w:rPr>
                <w:sz w:val="24"/>
                <w:szCs w:val="24"/>
                <w:lang w:val="en-GB"/>
              </w:rPr>
              <w:br/>
              <w:t xml:space="preserve">Certificate from the Information Technology and Communications Department under the Ministry of the Interior (in accordance with Article 34(1)(1) of the </w:t>
            </w:r>
            <w:r w:rsidRPr="004835C0">
              <w:rPr>
                <w:color w:val="000000"/>
                <w:lang w:val="en-GB"/>
              </w:rPr>
              <w:t>LPPDS</w:t>
            </w:r>
            <w:r w:rsidRPr="004835C0">
              <w:rPr>
                <w:sz w:val="24"/>
                <w:szCs w:val="24"/>
                <w:lang w:val="en-GB"/>
              </w:rPr>
              <w:t xml:space="preserve">) or </w:t>
            </w:r>
            <w:r w:rsidRPr="004835C0">
              <w:rPr>
                <w:sz w:val="24"/>
                <w:szCs w:val="24"/>
                <w:lang w:val="en-GB"/>
              </w:rPr>
              <w:br/>
              <w:t>a document from the relevant foreign authority.</w:t>
            </w:r>
            <w:r w:rsidRPr="004835C0">
              <w:rPr>
                <w:sz w:val="24"/>
                <w:szCs w:val="24"/>
                <w:lang w:val="en-GB"/>
              </w:rPr>
              <w:br/>
              <w:t xml:space="preserve">The document to </w:t>
            </w:r>
            <w:proofErr w:type="gramStart"/>
            <w:r w:rsidRPr="004835C0">
              <w:rPr>
                <w:sz w:val="24"/>
                <w:szCs w:val="24"/>
                <w:lang w:val="en-GB"/>
              </w:rPr>
              <w:t>be submitted</w:t>
            </w:r>
            <w:proofErr w:type="gramEnd"/>
            <w:r w:rsidRPr="004835C0">
              <w:rPr>
                <w:sz w:val="24"/>
                <w:szCs w:val="24"/>
                <w:lang w:val="en-GB"/>
              </w:rPr>
              <w:t xml:space="preserve"> must have been issued no earlier than 120 days before the deadline for applications. If </w:t>
            </w:r>
            <w:r w:rsidRPr="004835C0">
              <w:rPr>
                <w:sz w:val="24"/>
                <w:szCs w:val="24"/>
                <w:lang w:val="en-GB"/>
              </w:rPr>
              <w:lastRenderedPageBreak/>
              <w:t xml:space="preserve">the document </w:t>
            </w:r>
            <w:proofErr w:type="gramStart"/>
            <w:r w:rsidRPr="004835C0">
              <w:rPr>
                <w:sz w:val="24"/>
                <w:szCs w:val="24"/>
                <w:lang w:val="en-GB"/>
              </w:rPr>
              <w:t>is issued</w:t>
            </w:r>
            <w:proofErr w:type="gramEnd"/>
            <w:r w:rsidRPr="004835C0">
              <w:rPr>
                <w:sz w:val="24"/>
                <w:szCs w:val="24"/>
                <w:lang w:val="en-GB"/>
              </w:rPr>
              <w:t xml:space="preserve"> earlier but its validity extends beyond the deadline for the receipt of applications, it shall be admissible for the duration of its validity. </w:t>
            </w:r>
          </w:p>
        </w:tc>
        <w:tc>
          <w:tcPr>
            <w:tcW w:w="2009" w:type="dxa"/>
          </w:tcPr>
          <w:p w14:paraId="61CFE4F3" w14:textId="77777777" w:rsidR="00A6626C" w:rsidRPr="004835C0" w:rsidRDefault="00AF7B39">
            <w:pPr>
              <w:rPr>
                <w:sz w:val="24"/>
                <w:szCs w:val="24"/>
                <w:lang w:val="en-GB"/>
              </w:rPr>
            </w:pPr>
            <w:r w:rsidRPr="004835C0">
              <w:rPr>
                <w:sz w:val="24"/>
                <w:szCs w:val="24"/>
                <w:lang w:val="en-GB"/>
              </w:rPr>
              <w:lastRenderedPageBreak/>
              <w:t xml:space="preserve">The supplier, each member of the group of economic operators and the subcontractors on whose behalf the supplier relies in order to meet the </w:t>
            </w:r>
            <w:r w:rsidRPr="004835C0">
              <w:rPr>
                <w:sz w:val="24"/>
                <w:szCs w:val="24"/>
                <w:lang w:val="en-GB"/>
              </w:rPr>
              <w:lastRenderedPageBreak/>
              <w:t>qualification requirements set out in the procurement conditions</w:t>
            </w:r>
          </w:p>
        </w:tc>
      </w:tr>
      <w:tr w:rsidR="00A6626C" w:rsidRPr="004835C0" w14:paraId="65DFE8A3" w14:textId="77777777">
        <w:tc>
          <w:tcPr>
            <w:tcW w:w="618" w:type="dxa"/>
          </w:tcPr>
          <w:p w14:paraId="30AB3C6A" w14:textId="77777777" w:rsidR="00A6626C" w:rsidRPr="004835C0" w:rsidRDefault="00AF7B39">
            <w:pPr>
              <w:rPr>
                <w:sz w:val="24"/>
                <w:szCs w:val="24"/>
                <w:lang w:val="en-GB"/>
              </w:rPr>
            </w:pPr>
            <w:r w:rsidRPr="004835C0">
              <w:rPr>
                <w:sz w:val="24"/>
                <w:szCs w:val="24"/>
                <w:lang w:val="en-GB"/>
              </w:rPr>
              <w:lastRenderedPageBreak/>
              <w:t>3.</w:t>
            </w:r>
          </w:p>
        </w:tc>
        <w:tc>
          <w:tcPr>
            <w:tcW w:w="4288" w:type="dxa"/>
          </w:tcPr>
          <w:p w14:paraId="34398427" w14:textId="77777777" w:rsidR="00A6626C" w:rsidRPr="004835C0" w:rsidRDefault="00AF7B39">
            <w:pPr>
              <w:rPr>
                <w:sz w:val="24"/>
                <w:szCs w:val="24"/>
                <w:lang w:val="en-GB"/>
              </w:rPr>
            </w:pPr>
            <w:r w:rsidRPr="004835C0">
              <w:rPr>
                <w:sz w:val="24"/>
                <w:szCs w:val="24"/>
                <w:lang w:val="en-GB"/>
              </w:rPr>
              <w:t>The supplier has not failed to comply with the criminal sanction imposed on him - a ban on participation in public procurement by a legal person.</w:t>
            </w:r>
          </w:p>
        </w:tc>
        <w:tc>
          <w:tcPr>
            <w:tcW w:w="1559" w:type="dxa"/>
          </w:tcPr>
          <w:p w14:paraId="1D8F9740" w14:textId="77777777" w:rsidR="00A6626C" w:rsidRPr="004835C0" w:rsidRDefault="00AF7B39">
            <w:pPr>
              <w:rPr>
                <w:sz w:val="24"/>
                <w:szCs w:val="24"/>
                <w:lang w:val="en-GB"/>
              </w:rPr>
            </w:pPr>
            <w:r w:rsidRPr="004835C0">
              <w:rPr>
                <w:sz w:val="24"/>
                <w:szCs w:val="24"/>
                <w:lang w:val="en-GB"/>
              </w:rPr>
              <w:t>Article 34 (1)(</w:t>
            </w:r>
            <w:r w:rsidRPr="004835C0">
              <w:rPr>
                <w:lang w:val="en-GB"/>
              </w:rPr>
              <w:t>2</w:t>
            </w:r>
            <w:r w:rsidRPr="004835C0">
              <w:rPr>
                <w:vertAlign w:val="superscript"/>
                <w:lang w:val="en-GB"/>
              </w:rPr>
              <w:t>1</w:t>
            </w:r>
            <w:r w:rsidRPr="004835C0">
              <w:rPr>
                <w:sz w:val="24"/>
                <w:szCs w:val="24"/>
                <w:lang w:val="en-GB"/>
              </w:rPr>
              <w:t xml:space="preserve">) of </w:t>
            </w:r>
            <w:r w:rsidRPr="004835C0">
              <w:rPr>
                <w:color w:val="000000"/>
                <w:lang w:val="en-GB"/>
              </w:rPr>
              <w:t>LPPDS</w:t>
            </w:r>
          </w:p>
        </w:tc>
        <w:tc>
          <w:tcPr>
            <w:tcW w:w="6095" w:type="dxa"/>
          </w:tcPr>
          <w:p w14:paraId="28AA25E1" w14:textId="77777777" w:rsidR="00A6626C" w:rsidRPr="004835C0" w:rsidRDefault="00AF7B39">
            <w:pPr>
              <w:rPr>
                <w:sz w:val="24"/>
                <w:szCs w:val="24"/>
                <w:lang w:val="en-GB"/>
              </w:rPr>
            </w:pPr>
            <w:r w:rsidRPr="004835C0">
              <w:rPr>
                <w:sz w:val="24"/>
                <w:szCs w:val="24"/>
                <w:lang w:val="en-GB"/>
              </w:rPr>
              <w:t>3.1. Extract from a court decision</w:t>
            </w:r>
          </w:p>
          <w:p w14:paraId="0E8EBE5E" w14:textId="77777777" w:rsidR="00A6626C" w:rsidRDefault="00AF7B39">
            <w:pPr>
              <w:rPr>
                <w:sz w:val="24"/>
                <w:szCs w:val="24"/>
                <w:lang w:val="en-GB"/>
              </w:rPr>
            </w:pPr>
            <w:proofErr w:type="gramStart"/>
            <w:r w:rsidRPr="004835C0">
              <w:rPr>
                <w:sz w:val="24"/>
                <w:szCs w:val="24"/>
                <w:lang w:val="en-GB"/>
              </w:rPr>
              <w:t>or</w:t>
            </w:r>
            <w:proofErr w:type="gramEnd"/>
            <w:r w:rsidRPr="004835C0">
              <w:rPr>
                <w:sz w:val="24"/>
                <w:szCs w:val="24"/>
                <w:lang w:val="en-GB"/>
              </w:rPr>
              <w:t xml:space="preserve"> </w:t>
            </w:r>
            <w:r w:rsidRPr="004835C0">
              <w:rPr>
                <w:sz w:val="24"/>
                <w:szCs w:val="24"/>
                <w:lang w:val="en-GB"/>
              </w:rPr>
              <w:br/>
              <w:t xml:space="preserve">Certificate from the Information Technology and Communications Department under the Ministry of the Interior (in accordance with Article 34(1)(1) of the </w:t>
            </w:r>
            <w:r w:rsidRPr="004835C0">
              <w:rPr>
                <w:color w:val="000000"/>
                <w:lang w:val="en-GB"/>
              </w:rPr>
              <w:t>LPPDS</w:t>
            </w:r>
            <w:r w:rsidRPr="004835C0">
              <w:rPr>
                <w:sz w:val="24"/>
                <w:szCs w:val="24"/>
                <w:lang w:val="en-GB"/>
              </w:rPr>
              <w:t xml:space="preserve">) or </w:t>
            </w:r>
            <w:r w:rsidRPr="004835C0">
              <w:rPr>
                <w:sz w:val="24"/>
                <w:szCs w:val="24"/>
                <w:lang w:val="en-GB"/>
              </w:rPr>
              <w:br/>
              <w:t>a document from the relevant foreign authority.</w:t>
            </w:r>
            <w:r w:rsidRPr="004835C0">
              <w:rPr>
                <w:sz w:val="24"/>
                <w:szCs w:val="24"/>
                <w:lang w:val="en-GB"/>
              </w:rPr>
              <w:br/>
              <w:t xml:space="preserve">The document to </w:t>
            </w:r>
            <w:proofErr w:type="gramStart"/>
            <w:r w:rsidRPr="004835C0">
              <w:rPr>
                <w:sz w:val="24"/>
                <w:szCs w:val="24"/>
                <w:lang w:val="en-GB"/>
              </w:rPr>
              <w:t>be submitted</w:t>
            </w:r>
            <w:proofErr w:type="gramEnd"/>
            <w:r w:rsidRPr="004835C0">
              <w:rPr>
                <w:sz w:val="24"/>
                <w:szCs w:val="24"/>
                <w:lang w:val="en-GB"/>
              </w:rPr>
              <w:t xml:space="preserve"> must have been issued no earlier than 120 days before the deadline for applications. If the document </w:t>
            </w:r>
            <w:proofErr w:type="gramStart"/>
            <w:r w:rsidRPr="004835C0">
              <w:rPr>
                <w:sz w:val="24"/>
                <w:szCs w:val="24"/>
                <w:lang w:val="en-GB"/>
              </w:rPr>
              <w:t>is issued</w:t>
            </w:r>
            <w:proofErr w:type="gramEnd"/>
            <w:r w:rsidRPr="004835C0">
              <w:rPr>
                <w:sz w:val="24"/>
                <w:szCs w:val="24"/>
                <w:lang w:val="en-GB"/>
              </w:rPr>
              <w:t xml:space="preserve"> earlier but its validity extends beyond the deadline for the receipt of applications, it shall be admissible for the duration of its validity. </w:t>
            </w:r>
          </w:p>
          <w:p w14:paraId="227BE1FC" w14:textId="31C72AD0" w:rsidR="00CE35B1" w:rsidRPr="004835C0" w:rsidRDefault="00CE35B1">
            <w:pPr>
              <w:rPr>
                <w:sz w:val="24"/>
                <w:szCs w:val="24"/>
                <w:lang w:val="en-GB"/>
              </w:rPr>
            </w:pPr>
            <w:r w:rsidRPr="00CE35B1">
              <w:rPr>
                <w:sz w:val="24"/>
                <w:szCs w:val="24"/>
                <w:lang w:val="en-GB"/>
              </w:rPr>
              <w:t>The Contracting Authority shall check the information on the documents to be submitted by foreign suppliers in „e-</w:t>
            </w:r>
            <w:proofErr w:type="spellStart"/>
            <w:r w:rsidRPr="00CE35B1">
              <w:rPr>
                <w:sz w:val="24"/>
                <w:szCs w:val="24"/>
                <w:lang w:val="en-GB"/>
              </w:rPr>
              <w:t>Certis</w:t>
            </w:r>
            <w:proofErr w:type="spellEnd"/>
            <w:r w:rsidRPr="00CE35B1">
              <w:rPr>
                <w:sz w:val="24"/>
                <w:szCs w:val="24"/>
                <w:lang w:val="en-GB"/>
              </w:rPr>
              <w:t>“ at https://ec.europa.eu/tools/ecertis/</w:t>
            </w:r>
            <w:r>
              <w:rPr>
                <w:sz w:val="24"/>
                <w:szCs w:val="24"/>
                <w:lang w:val="en-GB"/>
              </w:rPr>
              <w:t xml:space="preserve"> </w:t>
            </w:r>
          </w:p>
        </w:tc>
        <w:tc>
          <w:tcPr>
            <w:tcW w:w="2009" w:type="dxa"/>
          </w:tcPr>
          <w:p w14:paraId="059951B3" w14:textId="77777777" w:rsidR="00A6626C" w:rsidRPr="004835C0" w:rsidRDefault="00AF7B39">
            <w:pPr>
              <w:rPr>
                <w:sz w:val="24"/>
                <w:szCs w:val="24"/>
                <w:lang w:val="en-GB"/>
              </w:rPr>
            </w:pPr>
            <w:r w:rsidRPr="004835C0">
              <w:rPr>
                <w:sz w:val="24"/>
                <w:szCs w:val="24"/>
                <w:lang w:val="en-GB"/>
              </w:rPr>
              <w:t>The supplier, each member of the group of economic operators and the subcontractors on whose behalf the supplier relies in order to meet the qualification requirements set out in the procurement conditions</w:t>
            </w:r>
          </w:p>
        </w:tc>
      </w:tr>
      <w:tr w:rsidR="00A6626C" w:rsidRPr="004835C0" w14:paraId="3D4C7BE6" w14:textId="77777777">
        <w:tc>
          <w:tcPr>
            <w:tcW w:w="618" w:type="dxa"/>
          </w:tcPr>
          <w:p w14:paraId="59ECA049" w14:textId="77777777" w:rsidR="00A6626C" w:rsidRPr="004835C0" w:rsidRDefault="00AF7B39">
            <w:pPr>
              <w:rPr>
                <w:sz w:val="24"/>
                <w:szCs w:val="24"/>
                <w:lang w:val="en-GB"/>
              </w:rPr>
            </w:pPr>
            <w:r w:rsidRPr="004835C0">
              <w:rPr>
                <w:sz w:val="24"/>
                <w:szCs w:val="24"/>
                <w:lang w:val="en-GB"/>
              </w:rPr>
              <w:t>4.</w:t>
            </w:r>
          </w:p>
        </w:tc>
        <w:tc>
          <w:tcPr>
            <w:tcW w:w="4288" w:type="dxa"/>
          </w:tcPr>
          <w:p w14:paraId="65CE0003" w14:textId="77777777" w:rsidR="00A6626C" w:rsidRPr="004835C0" w:rsidRDefault="00AF7B39">
            <w:pPr>
              <w:rPr>
                <w:sz w:val="24"/>
                <w:szCs w:val="24"/>
                <w:lang w:val="en-GB"/>
              </w:rPr>
            </w:pPr>
            <w:r w:rsidRPr="004835C0">
              <w:rPr>
                <w:sz w:val="24"/>
                <w:szCs w:val="24"/>
                <w:lang w:val="en-GB"/>
              </w:rPr>
              <w:t xml:space="preserve">the supplier </w:t>
            </w:r>
            <w:r w:rsidRPr="004835C0">
              <w:rPr>
                <w:b/>
                <w:bCs/>
                <w:sz w:val="24"/>
                <w:szCs w:val="24"/>
                <w:lang w:val="en-GB"/>
              </w:rPr>
              <w:t>has not</w:t>
            </w:r>
            <w:r w:rsidRPr="004835C0">
              <w:rPr>
                <w:sz w:val="24"/>
                <w:szCs w:val="24"/>
                <w:lang w:val="en-GB"/>
              </w:rPr>
              <w:t xml:space="preserve"> committed a serious professional misconduct* which leads the contracting authority to doubt the supplier’s integrity, the supplier shall be considered to have committed a serious professional misconduct when:</w:t>
            </w:r>
          </w:p>
          <w:p w14:paraId="2AE357B8" w14:textId="77777777" w:rsidR="00A6626C" w:rsidRPr="004835C0" w:rsidRDefault="00AF7B39">
            <w:pPr>
              <w:rPr>
                <w:sz w:val="24"/>
                <w:szCs w:val="24"/>
                <w:lang w:val="en-GB"/>
              </w:rPr>
            </w:pPr>
            <w:r w:rsidRPr="004835C0">
              <w:rPr>
                <w:sz w:val="24"/>
                <w:szCs w:val="24"/>
                <w:lang w:val="en-GB"/>
              </w:rPr>
              <w:t>a) has committed an infringement of financial reporting and auditing legislation less than one year after the date of the infringement;</w:t>
            </w:r>
          </w:p>
          <w:p w14:paraId="6EA90582" w14:textId="687171BA" w:rsidR="00A6626C" w:rsidRPr="004835C0" w:rsidRDefault="00AF7B39">
            <w:pPr>
              <w:rPr>
                <w:sz w:val="24"/>
                <w:szCs w:val="24"/>
                <w:lang w:val="en-GB"/>
              </w:rPr>
            </w:pPr>
            <w:r w:rsidRPr="004835C0">
              <w:rPr>
                <w:sz w:val="24"/>
                <w:szCs w:val="24"/>
                <w:lang w:val="en-GB"/>
              </w:rPr>
              <w:t xml:space="preserve">b) </w:t>
            </w:r>
            <w:proofErr w:type="gramStart"/>
            <w:r w:rsidRPr="004835C0">
              <w:rPr>
                <w:sz w:val="24"/>
                <w:szCs w:val="24"/>
                <w:lang w:val="en-GB"/>
              </w:rPr>
              <w:t>does</w:t>
            </w:r>
            <w:proofErr w:type="gramEnd"/>
            <w:r w:rsidRPr="004835C0">
              <w:rPr>
                <w:sz w:val="24"/>
                <w:szCs w:val="24"/>
                <w:lang w:val="en-GB"/>
              </w:rPr>
              <w:t xml:space="preserve"> not meet the minimum criteria of a reliable taxpayer set out in Article 40</w:t>
            </w:r>
            <w:r w:rsidRPr="004835C0">
              <w:rPr>
                <w:sz w:val="24"/>
                <w:szCs w:val="24"/>
                <w:vertAlign w:val="superscript"/>
                <w:lang w:val="en-GB"/>
              </w:rPr>
              <w:t>1</w:t>
            </w:r>
            <w:r w:rsidRPr="004835C0">
              <w:rPr>
                <w:sz w:val="24"/>
                <w:szCs w:val="24"/>
                <w:lang w:val="en-GB"/>
              </w:rPr>
              <w:t xml:space="preserve">(1) of the Law on Tax Administration of the Republic of Lithuania. For the purpose of applying this ground for the exclusion of a </w:t>
            </w:r>
            <w:r w:rsidRPr="004835C0">
              <w:rPr>
                <w:sz w:val="24"/>
                <w:szCs w:val="24"/>
                <w:lang w:val="en-GB"/>
              </w:rPr>
              <w:lastRenderedPageBreak/>
              <w:t>tenderer, the time limits laid down in Article 40</w:t>
            </w:r>
            <w:r w:rsidRPr="004835C0">
              <w:rPr>
                <w:sz w:val="24"/>
                <w:szCs w:val="24"/>
                <w:vertAlign w:val="superscript"/>
                <w:lang w:val="en-GB"/>
              </w:rPr>
              <w:t>1</w:t>
            </w:r>
            <w:r w:rsidRPr="004835C0">
              <w:rPr>
                <w:sz w:val="24"/>
                <w:szCs w:val="24"/>
                <w:lang w:val="en-GB"/>
              </w:rPr>
              <w:t>(1) of the Law on Tax Administration shall be applied, counting from the date of commission of the infringements referred to in Article 40</w:t>
            </w:r>
            <w:r w:rsidRPr="004835C0">
              <w:rPr>
                <w:sz w:val="24"/>
                <w:szCs w:val="24"/>
                <w:vertAlign w:val="superscript"/>
                <w:lang w:val="en-GB"/>
              </w:rPr>
              <w:t>1</w:t>
            </w:r>
            <w:r w:rsidRPr="004835C0">
              <w:rPr>
                <w:sz w:val="24"/>
                <w:szCs w:val="24"/>
                <w:lang w:val="en-GB"/>
              </w:rPr>
              <w:t xml:space="preserve">(1) of the Law on Tax Administration, </w:t>
            </w:r>
            <w:r w:rsidR="004835C0" w:rsidRPr="004835C0">
              <w:rPr>
                <w:sz w:val="24"/>
                <w:szCs w:val="24"/>
                <w:lang w:val="en-GB"/>
              </w:rPr>
              <w:t xml:space="preserve">but in any case, </w:t>
            </w:r>
            <w:r w:rsidRPr="004835C0">
              <w:rPr>
                <w:sz w:val="24"/>
                <w:szCs w:val="24"/>
                <w:lang w:val="en-GB"/>
              </w:rPr>
              <w:t xml:space="preserve">these time limits shall not exceed 3 years; </w:t>
            </w:r>
          </w:p>
          <w:p w14:paraId="654539FF" w14:textId="77777777" w:rsidR="00A6626C" w:rsidRPr="004835C0" w:rsidRDefault="00AF7B39">
            <w:pPr>
              <w:rPr>
                <w:sz w:val="24"/>
                <w:szCs w:val="24"/>
                <w:lang w:val="en-GB"/>
              </w:rPr>
            </w:pPr>
            <w:r w:rsidRPr="004835C0">
              <w:rPr>
                <w:sz w:val="24"/>
                <w:szCs w:val="24"/>
                <w:lang w:val="en-GB"/>
              </w:rPr>
              <w:t>c) has committed an infringement of the prohibition on prohibited agreements laid down in Article 5 of the Law on Competition of the Republic of Lithuania or in a similar legislation of another country and less than 3 years have elapsed since the date of the infringement;</w:t>
            </w:r>
          </w:p>
          <w:p w14:paraId="2BCEC986" w14:textId="77777777" w:rsidR="00A6626C" w:rsidRPr="004835C0" w:rsidRDefault="00AF7B39">
            <w:pPr>
              <w:rPr>
                <w:sz w:val="24"/>
                <w:szCs w:val="24"/>
                <w:lang w:val="en-GB"/>
              </w:rPr>
            </w:pPr>
            <w:proofErr w:type="gramStart"/>
            <w:r w:rsidRPr="004835C0">
              <w:rPr>
                <w:sz w:val="24"/>
                <w:szCs w:val="24"/>
                <w:lang w:val="en-GB"/>
              </w:rPr>
              <w:t xml:space="preserve">d) the supplier has failed to perform or has performed improperly a procurement contract concluded in accordance with the LPPDS, the Public Procurement Law or the Law on Procurement by Procuring Entities in the Field of Water Management, Energy, Transport or Postal Services, or a concession contract, which has constituted a material breach of contract, as defined in Article 6.217 of the Civil Code (hereinafter referred to as material breach of the contract), which has led to the termination of the contract within the last 3 years or to a final court decision within the last 3 years, granting the contracting authority, the contracting entity or the contracting authority’s claim for compensation for damages suffered as a result of the supplier’s performance of an </w:t>
            </w:r>
            <w:r w:rsidRPr="004835C0">
              <w:rPr>
                <w:sz w:val="24"/>
                <w:szCs w:val="24"/>
                <w:lang w:val="en-GB"/>
              </w:rPr>
              <w:lastRenderedPageBreak/>
              <w:t>essential term of the contract with serious or persistent deficiencies, or a decision of the contracting authority within the last 3 years that the supplier’s performance of an essential term of the contract was seriously or persistently deficient, leading to the imposition of a contractual sanction.</w:t>
            </w:r>
            <w:proofErr w:type="gramEnd"/>
            <w:r w:rsidRPr="004835C0">
              <w:rPr>
                <w:sz w:val="24"/>
                <w:szCs w:val="24"/>
                <w:lang w:val="en-GB"/>
              </w:rPr>
              <w:t xml:space="preserve"> </w:t>
            </w:r>
            <w:proofErr w:type="gramStart"/>
            <w:r w:rsidRPr="004835C0">
              <w:rPr>
                <w:sz w:val="24"/>
                <w:szCs w:val="24"/>
                <w:lang w:val="en-GB"/>
              </w:rPr>
              <w:t>This ground also excludes a supplier from a procurement procedure where it has been established, in accordance with the legislation of other countries, within the last 3 years, that, in the context of a previous procurement or concession contract, it has fulfilled an essential requirement set out in the contract with serious or persistent deficiencies, which have led to the premature termination of the previous contract, to the imposition of a claim for damages, or to the imposition of any other similar sanction.</w:t>
            </w:r>
            <w:proofErr w:type="gramEnd"/>
            <w:r w:rsidRPr="004835C0">
              <w:rPr>
                <w:sz w:val="24"/>
                <w:szCs w:val="24"/>
                <w:lang w:val="en-GB"/>
              </w:rPr>
              <w:t xml:space="preserve"> </w:t>
            </w:r>
          </w:p>
          <w:p w14:paraId="3715E402" w14:textId="77777777" w:rsidR="00A6626C" w:rsidRPr="004835C0" w:rsidRDefault="00AF7B39">
            <w:pPr>
              <w:rPr>
                <w:b/>
                <w:sz w:val="24"/>
                <w:szCs w:val="24"/>
                <w:lang w:val="en-GB"/>
              </w:rPr>
            </w:pPr>
            <w:r w:rsidRPr="004835C0">
              <w:rPr>
                <w:sz w:val="24"/>
                <w:szCs w:val="24"/>
                <w:lang w:val="en-GB"/>
              </w:rPr>
              <w:t>*the contracting authority may prove the professional misconduct of the supplier by any appropriate means</w:t>
            </w:r>
          </w:p>
        </w:tc>
        <w:tc>
          <w:tcPr>
            <w:tcW w:w="1559" w:type="dxa"/>
          </w:tcPr>
          <w:p w14:paraId="5DD901C2" w14:textId="77777777" w:rsidR="00A6626C" w:rsidRPr="004835C0" w:rsidRDefault="00AF7B39">
            <w:pPr>
              <w:rPr>
                <w:sz w:val="24"/>
                <w:szCs w:val="24"/>
                <w:lang w:val="en-GB"/>
              </w:rPr>
            </w:pPr>
            <w:r w:rsidRPr="004835C0">
              <w:rPr>
                <w:sz w:val="24"/>
                <w:szCs w:val="24"/>
                <w:lang w:val="en-GB"/>
              </w:rPr>
              <w:lastRenderedPageBreak/>
              <w:t xml:space="preserve">Article 34 (1)(3) of </w:t>
            </w:r>
            <w:r w:rsidRPr="004835C0">
              <w:rPr>
                <w:color w:val="000000"/>
                <w:lang w:val="en-GB"/>
              </w:rPr>
              <w:t>LPPDS</w:t>
            </w:r>
          </w:p>
        </w:tc>
        <w:tc>
          <w:tcPr>
            <w:tcW w:w="6095" w:type="dxa"/>
          </w:tcPr>
          <w:p w14:paraId="692551EE" w14:textId="77777777" w:rsidR="00A6626C" w:rsidRPr="004835C0" w:rsidRDefault="00AF7B39">
            <w:pPr>
              <w:rPr>
                <w:sz w:val="24"/>
                <w:szCs w:val="24"/>
                <w:lang w:val="en-GB"/>
              </w:rPr>
            </w:pPr>
            <w:r w:rsidRPr="004835C0">
              <w:rPr>
                <w:sz w:val="24"/>
                <w:szCs w:val="24"/>
                <w:lang w:val="en-GB"/>
              </w:rPr>
              <w:t>Supplier’s declaration (Annex 6 to the Procurement Terms and Conditions).</w:t>
            </w:r>
          </w:p>
        </w:tc>
        <w:tc>
          <w:tcPr>
            <w:tcW w:w="2009" w:type="dxa"/>
          </w:tcPr>
          <w:p w14:paraId="57C50B39" w14:textId="77777777" w:rsidR="00A6626C" w:rsidRPr="004835C0" w:rsidRDefault="00AF7B39">
            <w:pPr>
              <w:rPr>
                <w:sz w:val="24"/>
                <w:szCs w:val="24"/>
                <w:lang w:val="en-GB"/>
              </w:rPr>
            </w:pPr>
            <w:r w:rsidRPr="004835C0">
              <w:rPr>
                <w:sz w:val="24"/>
                <w:szCs w:val="24"/>
                <w:lang w:val="en-GB"/>
              </w:rPr>
              <w:t>The supplier, each member of the group of economic operators and the subcontractors on whose behalf the supplier relies in order to meet the qualification requirements set out in the procurement conditions</w:t>
            </w:r>
          </w:p>
        </w:tc>
      </w:tr>
      <w:tr w:rsidR="00A6626C" w:rsidRPr="004835C0" w14:paraId="5529DE35" w14:textId="77777777">
        <w:trPr>
          <w:trHeight w:val="489"/>
        </w:trPr>
        <w:tc>
          <w:tcPr>
            <w:tcW w:w="14569" w:type="dxa"/>
            <w:gridSpan w:val="5"/>
          </w:tcPr>
          <w:p w14:paraId="3A39F980" w14:textId="77777777" w:rsidR="00A6626C" w:rsidRPr="004835C0" w:rsidRDefault="00A6626C">
            <w:pPr>
              <w:rPr>
                <w:sz w:val="24"/>
                <w:szCs w:val="24"/>
                <w:lang w:val="en-GB"/>
              </w:rPr>
            </w:pPr>
          </w:p>
          <w:p w14:paraId="5D258043" w14:textId="77777777" w:rsidR="00A6626C" w:rsidRPr="004835C0" w:rsidRDefault="00AF7B39">
            <w:pPr>
              <w:jc w:val="center"/>
              <w:rPr>
                <w:b/>
                <w:sz w:val="24"/>
                <w:szCs w:val="24"/>
                <w:lang w:val="en-GB"/>
              </w:rPr>
            </w:pPr>
            <w:r w:rsidRPr="004835C0">
              <w:rPr>
                <w:b/>
                <w:sz w:val="24"/>
                <w:szCs w:val="24"/>
                <w:lang w:val="en-GB"/>
              </w:rPr>
              <w:t>II. QUALIFICATION REQUIREMENTS</w:t>
            </w:r>
          </w:p>
          <w:p w14:paraId="02B65F3D" w14:textId="77777777" w:rsidR="00A6626C" w:rsidRPr="004835C0" w:rsidRDefault="00AF7B39">
            <w:pPr>
              <w:jc w:val="center"/>
              <w:rPr>
                <w:b/>
                <w:sz w:val="24"/>
                <w:szCs w:val="24"/>
                <w:lang w:val="en-GB"/>
              </w:rPr>
            </w:pPr>
            <w:r w:rsidRPr="004835C0">
              <w:rPr>
                <w:b/>
                <w:sz w:val="24"/>
                <w:szCs w:val="24"/>
                <w:lang w:val="en-GB"/>
              </w:rPr>
              <w:t xml:space="preserve">Technical and/or professional capacity requirements </w:t>
            </w:r>
          </w:p>
          <w:p w14:paraId="297052EC" w14:textId="77777777" w:rsidR="00A6626C" w:rsidRPr="004835C0" w:rsidRDefault="00A6626C">
            <w:pPr>
              <w:rPr>
                <w:sz w:val="24"/>
                <w:szCs w:val="24"/>
                <w:lang w:val="en-GB"/>
              </w:rPr>
            </w:pPr>
          </w:p>
        </w:tc>
      </w:tr>
      <w:tr w:rsidR="00A6626C" w:rsidRPr="004835C0" w14:paraId="13A18EAB" w14:textId="77777777">
        <w:tc>
          <w:tcPr>
            <w:tcW w:w="618" w:type="dxa"/>
          </w:tcPr>
          <w:p w14:paraId="423E8A1F" w14:textId="77777777" w:rsidR="00A6626C" w:rsidRPr="004835C0" w:rsidRDefault="00AF7B39">
            <w:pPr>
              <w:rPr>
                <w:sz w:val="24"/>
                <w:szCs w:val="24"/>
                <w:lang w:val="en-GB"/>
              </w:rPr>
            </w:pPr>
            <w:r w:rsidRPr="004835C0">
              <w:rPr>
                <w:sz w:val="24"/>
                <w:szCs w:val="24"/>
                <w:lang w:val="en-GB"/>
              </w:rPr>
              <w:t>1.</w:t>
            </w:r>
          </w:p>
        </w:tc>
        <w:tc>
          <w:tcPr>
            <w:tcW w:w="4288" w:type="dxa"/>
          </w:tcPr>
          <w:p w14:paraId="74458C31" w14:textId="77777777" w:rsidR="00A6626C" w:rsidRPr="004835C0" w:rsidRDefault="00AF7B39">
            <w:pPr>
              <w:rPr>
                <w:b/>
                <w:bCs/>
                <w:sz w:val="24"/>
                <w:szCs w:val="24"/>
                <w:lang w:val="en-GB"/>
              </w:rPr>
            </w:pPr>
            <w:proofErr w:type="gramStart"/>
            <w:r w:rsidRPr="004835C0">
              <w:rPr>
                <w:sz w:val="24"/>
                <w:szCs w:val="24"/>
                <w:lang w:val="en-GB"/>
              </w:rPr>
              <w:t xml:space="preserve">Within the last 5 years, or within the period from the date of registration of the supplier (if the supplier has been in business for less than 5 years, until the closing date for the receipt of tenders), the supplier must have duly completed and/or must have performed at least 1 (one) or more Air </w:t>
            </w:r>
            <w:r w:rsidRPr="004835C0">
              <w:rPr>
                <w:sz w:val="24"/>
                <w:szCs w:val="24"/>
                <w:lang w:val="en-GB"/>
              </w:rPr>
              <w:lastRenderedPageBreak/>
              <w:t xml:space="preserve">Target Launch Service Contract(s), with a total value of </w:t>
            </w:r>
            <w:r w:rsidRPr="004835C0">
              <w:rPr>
                <w:b/>
                <w:bCs/>
                <w:sz w:val="24"/>
                <w:szCs w:val="24"/>
                <w:lang w:val="en-GB"/>
              </w:rPr>
              <w:t>at least EUR 40 000 excluding VAT.</w:t>
            </w:r>
            <w:proofErr w:type="gramEnd"/>
          </w:p>
          <w:p w14:paraId="2B203833" w14:textId="77777777" w:rsidR="00A6626C" w:rsidRPr="004835C0" w:rsidRDefault="00A6626C">
            <w:pPr>
              <w:rPr>
                <w:sz w:val="24"/>
                <w:szCs w:val="24"/>
                <w:lang w:val="en-GB"/>
              </w:rPr>
            </w:pPr>
          </w:p>
          <w:p w14:paraId="0E18D4DF" w14:textId="77777777" w:rsidR="00A6626C" w:rsidRPr="004835C0" w:rsidRDefault="00AF7B39">
            <w:pPr>
              <w:rPr>
                <w:sz w:val="24"/>
                <w:szCs w:val="24"/>
                <w:lang w:val="en-GB"/>
              </w:rPr>
            </w:pPr>
            <w:r w:rsidRPr="004835C0">
              <w:rPr>
                <w:sz w:val="24"/>
                <w:szCs w:val="24"/>
                <w:lang w:val="en-GB"/>
              </w:rPr>
              <w:t xml:space="preserve">If the contract is still in progress, at least the amount indicated </w:t>
            </w:r>
            <w:proofErr w:type="gramStart"/>
            <w:r w:rsidRPr="004835C0">
              <w:rPr>
                <w:sz w:val="24"/>
                <w:szCs w:val="24"/>
                <w:lang w:val="en-GB"/>
              </w:rPr>
              <w:t>must be delivered</w:t>
            </w:r>
            <w:proofErr w:type="gramEnd"/>
            <w:r w:rsidRPr="004835C0">
              <w:rPr>
                <w:sz w:val="24"/>
                <w:szCs w:val="24"/>
                <w:lang w:val="en-GB"/>
              </w:rPr>
              <w:t xml:space="preserve"> before the closing date for receipt of tenders.</w:t>
            </w:r>
          </w:p>
          <w:p w14:paraId="69AB2868" w14:textId="77777777" w:rsidR="00A6626C" w:rsidRPr="004835C0" w:rsidRDefault="00AF7B39">
            <w:pPr>
              <w:rPr>
                <w:sz w:val="24"/>
                <w:szCs w:val="24"/>
                <w:lang w:val="en-GB"/>
              </w:rPr>
            </w:pPr>
            <w:r w:rsidRPr="004835C0">
              <w:rPr>
                <w:sz w:val="24"/>
                <w:szCs w:val="24"/>
                <w:lang w:val="en-GB"/>
              </w:rPr>
              <w:t xml:space="preserve">If the contract </w:t>
            </w:r>
            <w:proofErr w:type="gramStart"/>
            <w:r w:rsidRPr="004835C0">
              <w:rPr>
                <w:sz w:val="24"/>
                <w:szCs w:val="24"/>
                <w:lang w:val="en-GB"/>
              </w:rPr>
              <w:t>was started before the last 5 years but completed within the last 5 years,</w:t>
            </w:r>
            <w:proofErr w:type="gramEnd"/>
            <w:r w:rsidRPr="004835C0">
              <w:rPr>
                <w:sz w:val="24"/>
                <w:szCs w:val="24"/>
                <w:lang w:val="en-GB"/>
              </w:rPr>
              <w:t xml:space="preserve"> the full value of the contract is taken into account. </w:t>
            </w:r>
          </w:p>
        </w:tc>
        <w:tc>
          <w:tcPr>
            <w:tcW w:w="1559" w:type="dxa"/>
          </w:tcPr>
          <w:p w14:paraId="6639FCDD" w14:textId="77777777" w:rsidR="00A6626C" w:rsidRPr="004835C0" w:rsidRDefault="00A6626C">
            <w:pPr>
              <w:rPr>
                <w:sz w:val="24"/>
                <w:szCs w:val="24"/>
                <w:lang w:val="en-GB"/>
              </w:rPr>
            </w:pPr>
          </w:p>
        </w:tc>
        <w:tc>
          <w:tcPr>
            <w:tcW w:w="6095" w:type="dxa"/>
          </w:tcPr>
          <w:p w14:paraId="59A69761" w14:textId="77777777" w:rsidR="00A6626C" w:rsidRPr="004835C0" w:rsidRDefault="00AF7B39">
            <w:pPr>
              <w:rPr>
                <w:sz w:val="24"/>
                <w:szCs w:val="24"/>
                <w:lang w:val="en-GB"/>
              </w:rPr>
            </w:pPr>
            <w:r w:rsidRPr="004835C0">
              <w:rPr>
                <w:sz w:val="24"/>
                <w:szCs w:val="24"/>
                <w:lang w:val="en-GB"/>
              </w:rPr>
              <w:t>Enclosed:</w:t>
            </w:r>
          </w:p>
          <w:p w14:paraId="670A500F" w14:textId="77777777" w:rsidR="00A6626C" w:rsidRPr="004835C0" w:rsidRDefault="00AF7B39">
            <w:pPr>
              <w:rPr>
                <w:sz w:val="24"/>
                <w:szCs w:val="24"/>
                <w:lang w:val="en-GB"/>
              </w:rPr>
            </w:pPr>
            <w:proofErr w:type="gramStart"/>
            <w:r w:rsidRPr="004835C0">
              <w:rPr>
                <w:sz w:val="24"/>
                <w:szCs w:val="24"/>
                <w:lang w:val="en-GB"/>
              </w:rPr>
              <w:t>1) A list of services rendered in the last 5 years, indicating the total amounts of the services, the dates of the services and the recipients of the services (both public and private), in accordance with the Appendix to Annex 4 to the Procurement Terms and Conditions, “List of services duly rendered in the last 5 years in relation to the object of the procurement”.</w:t>
            </w:r>
            <w:proofErr w:type="gramEnd"/>
            <w:r w:rsidRPr="004835C0">
              <w:rPr>
                <w:sz w:val="24"/>
                <w:szCs w:val="24"/>
                <w:lang w:val="en-GB"/>
              </w:rPr>
              <w:t xml:space="preserve">  </w:t>
            </w:r>
          </w:p>
          <w:p w14:paraId="11AE37E7" w14:textId="77777777" w:rsidR="00A6626C" w:rsidRPr="004835C0" w:rsidRDefault="00AF7B39">
            <w:pPr>
              <w:rPr>
                <w:sz w:val="24"/>
                <w:szCs w:val="24"/>
                <w:lang w:val="en-GB"/>
              </w:rPr>
            </w:pPr>
            <w:proofErr w:type="gramStart"/>
            <w:r w:rsidRPr="004835C0">
              <w:rPr>
                <w:sz w:val="24"/>
                <w:szCs w:val="24"/>
                <w:lang w:val="en-GB"/>
              </w:rPr>
              <w:lastRenderedPageBreak/>
              <w:t>2) A statement(s) from the recipient of the service(s) on the satisfactory performance of the contractual obligations in respect of each contract/contract lot referred to in Appendix 1 of Annex 4 to the Procurement Terms and Conditions (the statement must indicate the contract number, the date of conclusion of the contract, the period of performance of the contract and the amount of the completed contract lot in EUR excluding VAT).</w:t>
            </w:r>
            <w:proofErr w:type="gramEnd"/>
            <w:r w:rsidRPr="004835C0">
              <w:rPr>
                <w:sz w:val="24"/>
                <w:szCs w:val="24"/>
                <w:lang w:val="en-GB"/>
              </w:rPr>
              <w:t xml:space="preserve"> </w:t>
            </w:r>
          </w:p>
          <w:p w14:paraId="63A35456" w14:textId="77777777" w:rsidR="00A6626C" w:rsidRPr="004835C0" w:rsidRDefault="00A6626C">
            <w:pPr>
              <w:rPr>
                <w:sz w:val="24"/>
                <w:szCs w:val="24"/>
                <w:lang w:val="en-GB"/>
              </w:rPr>
            </w:pPr>
          </w:p>
          <w:p w14:paraId="0BE742A9" w14:textId="77777777" w:rsidR="00A6626C" w:rsidRPr="004835C0" w:rsidRDefault="00AF7B39">
            <w:pPr>
              <w:rPr>
                <w:sz w:val="24"/>
                <w:szCs w:val="24"/>
                <w:lang w:val="en-GB"/>
              </w:rPr>
            </w:pPr>
            <w:r w:rsidRPr="004835C0">
              <w:rPr>
                <w:sz w:val="24"/>
                <w:szCs w:val="24"/>
                <w:lang w:val="en-GB"/>
              </w:rPr>
              <w:t>If the supplier provides information on an ongoing contract/lot of a contract, its experience shall be deemed to satisfy the requirement if the part of the ongoing contract is at least the amount required by the contract documents, i.e. EUR 40 000 excluding VAT.</w:t>
            </w:r>
          </w:p>
          <w:p w14:paraId="41F4F196" w14:textId="77777777" w:rsidR="00A6626C" w:rsidRPr="004835C0" w:rsidRDefault="00A6626C">
            <w:pPr>
              <w:rPr>
                <w:sz w:val="24"/>
                <w:szCs w:val="24"/>
                <w:lang w:val="en-GB"/>
              </w:rPr>
            </w:pPr>
          </w:p>
          <w:p w14:paraId="6CE4D710" w14:textId="77777777" w:rsidR="00A6626C" w:rsidRPr="004835C0" w:rsidRDefault="00AF7B39">
            <w:pPr>
              <w:rPr>
                <w:sz w:val="24"/>
                <w:szCs w:val="24"/>
                <w:lang w:val="en-GB"/>
              </w:rPr>
            </w:pPr>
            <w:r w:rsidRPr="004835C0">
              <w:rPr>
                <w:sz w:val="24"/>
                <w:szCs w:val="24"/>
                <w:lang w:val="en-GB"/>
              </w:rPr>
              <w:t>The contracting authority reserves the right to contact, without prior notice, the persons listed in Appendix 1 of Annex 4 to verify the tenderer’s compliance with this qualification requirement.</w:t>
            </w:r>
          </w:p>
        </w:tc>
        <w:tc>
          <w:tcPr>
            <w:tcW w:w="2009" w:type="dxa"/>
          </w:tcPr>
          <w:p w14:paraId="221B7D45" w14:textId="77777777" w:rsidR="00A6626C" w:rsidRPr="004835C0" w:rsidRDefault="00AF7B39">
            <w:pPr>
              <w:rPr>
                <w:sz w:val="24"/>
                <w:szCs w:val="24"/>
                <w:lang w:val="en-GB"/>
              </w:rPr>
            </w:pPr>
            <w:r w:rsidRPr="004835C0">
              <w:rPr>
                <w:sz w:val="24"/>
                <w:szCs w:val="24"/>
                <w:lang w:val="en-GB"/>
              </w:rPr>
              <w:lastRenderedPageBreak/>
              <w:t xml:space="preserve">The supplier or at least one member of the group of economic operators, as appropriate, in accordance with </w:t>
            </w:r>
            <w:r w:rsidRPr="004835C0">
              <w:rPr>
                <w:sz w:val="24"/>
                <w:szCs w:val="24"/>
                <w:lang w:val="en-GB"/>
              </w:rPr>
              <w:lastRenderedPageBreak/>
              <w:t xml:space="preserve">the commitments entered into, or the subcontractor, as appropriate, in accordance with the commitments entered into </w:t>
            </w:r>
          </w:p>
        </w:tc>
      </w:tr>
    </w:tbl>
    <w:p w14:paraId="37EAFE5A" w14:textId="77777777" w:rsidR="00A6626C" w:rsidRPr="004835C0" w:rsidRDefault="00A6626C">
      <w:pPr>
        <w:pStyle w:val="BodyA"/>
        <w:rPr>
          <w:rFonts w:ascii="Times New Roman" w:eastAsia="Times New Roman" w:hAnsi="Times New Roman" w:cs="Times New Roman"/>
          <w:sz w:val="24"/>
          <w:szCs w:val="24"/>
          <w:lang w:val="en-GB"/>
        </w:rPr>
      </w:pPr>
    </w:p>
    <w:p w14:paraId="4D2CA06E" w14:textId="77777777" w:rsidR="00A6626C" w:rsidRPr="004835C0" w:rsidRDefault="00AF7B39">
      <w:pPr>
        <w:pStyle w:val="Body2"/>
        <w:rPr>
          <w:rFonts w:cs="Times New Roman"/>
          <w:sz w:val="24"/>
          <w:szCs w:val="24"/>
          <w:lang w:val="en-GB"/>
        </w:rPr>
      </w:pPr>
      <w:r w:rsidRPr="004835C0">
        <w:rPr>
          <w:rFonts w:cs="Times New Roman"/>
          <w:sz w:val="24"/>
          <w:szCs w:val="24"/>
          <w:lang w:val="en-GB"/>
        </w:rPr>
        <w:tab/>
        <w:t xml:space="preserve">1. </w:t>
      </w:r>
      <w:r w:rsidRPr="004835C0">
        <w:rPr>
          <w:sz w:val="24"/>
          <w:szCs w:val="24"/>
          <w:lang w:val="en-GB"/>
        </w:rPr>
        <w:t>where the supplier/ subcontractor is unable to produce the documents referred to in clauses 1, 2 and 3 of the table “Conditions prohibiting and restricting participation by suppliers” because the relevant State does not issue such documents or because the documents issued in that State do not cover all the circumstances referred to, they may be produced:</w:t>
      </w:r>
    </w:p>
    <w:p w14:paraId="44137EB7" w14:textId="77777777" w:rsidR="00A6626C" w:rsidRPr="004835C0" w:rsidRDefault="00AF7B39">
      <w:pPr>
        <w:pStyle w:val="Footer"/>
        <w:ind w:firstLine="720"/>
        <w:jc w:val="both"/>
        <w:rPr>
          <w:szCs w:val="24"/>
          <w:lang w:val="en-GB"/>
        </w:rPr>
      </w:pPr>
      <w:r w:rsidRPr="004835C0">
        <w:rPr>
          <w:szCs w:val="24"/>
          <w:lang w:val="en-GB"/>
        </w:rPr>
        <w:t xml:space="preserve">1.1. </w:t>
      </w:r>
      <w:proofErr w:type="gramStart"/>
      <w:r w:rsidRPr="004835C0">
        <w:rPr>
          <w:szCs w:val="24"/>
          <w:lang w:val="en-GB"/>
        </w:rPr>
        <w:t>declaration</w:t>
      </w:r>
      <w:proofErr w:type="gramEnd"/>
      <w:r w:rsidRPr="004835C0">
        <w:rPr>
          <w:szCs w:val="24"/>
          <w:lang w:val="en-GB"/>
        </w:rPr>
        <w:t xml:space="preserve"> of oath;</w:t>
      </w:r>
    </w:p>
    <w:p w14:paraId="3AF11BC1" w14:textId="77777777" w:rsidR="00A6626C" w:rsidRPr="004835C0" w:rsidRDefault="00AF7B39">
      <w:pPr>
        <w:pStyle w:val="Footer"/>
        <w:ind w:firstLine="720"/>
        <w:jc w:val="both"/>
        <w:rPr>
          <w:b/>
          <w:szCs w:val="24"/>
          <w:lang w:val="en-GB"/>
        </w:rPr>
      </w:pPr>
      <w:r w:rsidRPr="004835C0">
        <w:rPr>
          <w:szCs w:val="24"/>
          <w:lang w:val="en-GB"/>
        </w:rPr>
        <w:t xml:space="preserve">1.2. </w:t>
      </w:r>
      <w:proofErr w:type="gramStart"/>
      <w:r w:rsidRPr="004835C0">
        <w:rPr>
          <w:szCs w:val="24"/>
          <w:lang w:val="en-GB"/>
        </w:rPr>
        <w:t>an</w:t>
      </w:r>
      <w:proofErr w:type="gramEnd"/>
      <w:r w:rsidRPr="004835C0">
        <w:rPr>
          <w:szCs w:val="24"/>
          <w:lang w:val="en-GB"/>
        </w:rPr>
        <w:t xml:space="preserve"> official declaration by the supplier/ subcontractor, if the country does not use a declaration of oath. The official declaration </w:t>
      </w:r>
      <w:proofErr w:type="gramStart"/>
      <w:r w:rsidRPr="004835C0">
        <w:rPr>
          <w:szCs w:val="24"/>
          <w:lang w:val="en-GB"/>
        </w:rPr>
        <w:t>must be certified</w:t>
      </w:r>
      <w:proofErr w:type="gramEnd"/>
      <w:r w:rsidRPr="004835C0">
        <w:rPr>
          <w:szCs w:val="24"/>
          <w:lang w:val="en-GB"/>
        </w:rPr>
        <w:t xml:space="preserve"> by a Member State or by a competent legal or administrative authority, notary or competent professional or trade organisation in the country of origin of the supplier/ subcontractor or in the country in which it is registered; </w:t>
      </w:r>
    </w:p>
    <w:p w14:paraId="4EC29CD2" w14:textId="16F70F5D" w:rsidR="00A6626C" w:rsidRPr="004835C0" w:rsidRDefault="00AF7B39">
      <w:pPr>
        <w:pStyle w:val="Footer"/>
        <w:ind w:firstLine="720"/>
        <w:jc w:val="both"/>
        <w:rPr>
          <w:szCs w:val="24"/>
          <w:lang w:val="en-GB"/>
        </w:rPr>
      </w:pPr>
      <w:r w:rsidRPr="004835C0">
        <w:rPr>
          <w:szCs w:val="24"/>
          <w:lang w:val="en-GB"/>
        </w:rPr>
        <w:t xml:space="preserve">2. </w:t>
      </w:r>
      <w:r w:rsidR="000479C6" w:rsidRPr="002F2CF0">
        <w:rPr>
          <w:szCs w:val="24"/>
          <w:lang w:val="en-GB"/>
        </w:rPr>
        <w:t xml:space="preserve">During the evaluation of tenders, the Contracting Authority shall have the right to require the </w:t>
      </w:r>
      <w:r w:rsidR="000479C6">
        <w:rPr>
          <w:szCs w:val="24"/>
          <w:lang w:val="en-GB"/>
        </w:rPr>
        <w:t>supplier/ subcontractor</w:t>
      </w:r>
      <w:r w:rsidR="000479C6" w:rsidRPr="002F2CF0">
        <w:rPr>
          <w:szCs w:val="24"/>
          <w:lang w:val="en-GB"/>
        </w:rPr>
        <w:t xml:space="preserve"> to provide documents legalized by Apostille, as specified in the</w:t>
      </w:r>
      <w:r w:rsidR="000479C6" w:rsidRPr="004835C0">
        <w:rPr>
          <w:szCs w:val="24"/>
          <w:lang w:val="en-GB"/>
        </w:rPr>
        <w:t xml:space="preserve"> </w:t>
      </w:r>
      <w:r w:rsidR="000479C6" w:rsidRPr="004835C0">
        <w:rPr>
          <w:szCs w:val="24"/>
          <w:lang w:val="en-GB"/>
        </w:rPr>
        <w:t>clauses 1, 2 and 3 of the table “Conditions prohibiting and restricting the participation of suppliers”</w:t>
      </w:r>
      <w:r w:rsidR="000479C6">
        <w:rPr>
          <w:szCs w:val="24"/>
          <w:lang w:val="en-GB"/>
        </w:rPr>
        <w:t xml:space="preserve">. </w:t>
      </w:r>
      <w:proofErr w:type="gramStart"/>
      <w:r w:rsidR="000479C6">
        <w:rPr>
          <w:szCs w:val="24"/>
          <w:lang w:val="en-GB"/>
        </w:rPr>
        <w:t>D</w:t>
      </w:r>
      <w:bookmarkStart w:id="0" w:name="_GoBack"/>
      <w:bookmarkEnd w:id="0"/>
      <w:r w:rsidRPr="004835C0">
        <w:rPr>
          <w:szCs w:val="24"/>
          <w:lang w:val="en-GB"/>
        </w:rPr>
        <w:t xml:space="preserve">ocuments proving clauses 1, 2 and 3 of the table “Conditions prohibiting and restricting the participation of suppliers” shall be legalised in accordance with the declaration of oath in accordance with the Resolution of the Government of the Republic of Lithuania of 30 October 2006 No. 1079 “On the Approval of the Description of the Procedure for Legalisation of the Documents and Approval of the Certificate (Apostille)” and the Hague Convention of 5 October 1961 on the Abolition of Legalisation of Documents Issued in Foreign Countries, unless the </w:t>
      </w:r>
      <w:r w:rsidRPr="004835C0">
        <w:rPr>
          <w:szCs w:val="24"/>
          <w:lang w:val="en-GB"/>
        </w:rPr>
        <w:lastRenderedPageBreak/>
        <w:t>document is exempted from legalisation and/or certification under international treaties of the Republic of Lithuania or the European Union legislation.</w:t>
      </w:r>
      <w:proofErr w:type="gramEnd"/>
    </w:p>
    <w:p w14:paraId="1B06F8BC" w14:textId="77777777" w:rsidR="00A6626C" w:rsidRPr="004835C0" w:rsidRDefault="00AF7B39">
      <w:pPr>
        <w:pStyle w:val="Footer"/>
        <w:ind w:firstLine="720"/>
        <w:jc w:val="both"/>
        <w:rPr>
          <w:bCs/>
          <w:szCs w:val="24"/>
          <w:lang w:val="en-GB"/>
        </w:rPr>
      </w:pPr>
      <w:proofErr w:type="gramStart"/>
      <w:r w:rsidRPr="004835C0">
        <w:rPr>
          <w:szCs w:val="24"/>
          <w:lang w:val="en-GB"/>
        </w:rPr>
        <w:t xml:space="preserve">3. </w:t>
      </w:r>
      <w:r w:rsidRPr="004835C0">
        <w:rPr>
          <w:bCs/>
          <w:szCs w:val="24"/>
          <w:lang w:val="en-GB"/>
        </w:rPr>
        <w:t>The contracting authority shall exclude a supplier/subcontractor from the procurement procedure on the grounds for exclusion referred to in Article 34(1)(2) and (2) of the LPPDS also in the case where it has conclusive evidence that the supplier/subcontractor, in order to avoid the application of the grounds for exclusion referred to in Article 34(1)(2)(2) of the LPPDS, is established by, or is participating in the procurement in place of, another person.</w:t>
      </w:r>
      <w:proofErr w:type="gramEnd"/>
    </w:p>
    <w:p w14:paraId="758112F8" w14:textId="77777777" w:rsidR="00A6626C" w:rsidRPr="004835C0" w:rsidRDefault="00AF7B39">
      <w:pPr>
        <w:pStyle w:val="Footer"/>
        <w:ind w:firstLine="720"/>
        <w:jc w:val="both"/>
        <w:rPr>
          <w:szCs w:val="24"/>
          <w:lang w:val="en-GB"/>
        </w:rPr>
      </w:pPr>
      <w:r w:rsidRPr="004835C0">
        <w:rPr>
          <w:bCs/>
          <w:szCs w:val="24"/>
          <w:lang w:val="en-GB"/>
        </w:rPr>
        <w:t xml:space="preserve">4. If the contracting authority has doubts about the suitability of the supplier/subcontractor, it shall have the right to contact the competent authorities in order to obtain all relevant information. If the information required concerns a supplier/subcontractor from a Member State other than the contracting authority, it may contact the relevant competent authorities of that Member State. </w:t>
      </w:r>
    </w:p>
    <w:sectPr w:rsidR="00A6626C" w:rsidRPr="004835C0">
      <w:headerReference w:type="default" r:id="rId8"/>
      <w:footerReference w:type="default" r:id="rId9"/>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A0096" w14:textId="77777777" w:rsidR="0040058E" w:rsidRDefault="0040058E">
      <w:r>
        <w:separator/>
      </w:r>
    </w:p>
  </w:endnote>
  <w:endnote w:type="continuationSeparator" w:id="0">
    <w:p w14:paraId="6FD3BC82" w14:textId="77777777" w:rsidR="0040058E" w:rsidRDefault="0040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F7F5" w14:textId="35DE857C" w:rsidR="00A6626C" w:rsidRDefault="00AF7B39">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lang w:val="lt-LT"/>
      </w:rPr>
      <w:t>Page</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479C6">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lang w:val="lt-LT"/>
      </w:rPr>
      <w:t>of</w:t>
    </w:r>
    <w:proofErr w:type="spellEnd"/>
    <w:r>
      <w:rPr>
        <w:rFonts w:ascii="Times New Roman" w:hAnsi="Times New Roman"/>
        <w:sz w:val="18"/>
        <w:szCs w:val="18"/>
        <w:lang w:val="lt-LT"/>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479C6">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9293" w14:textId="77777777" w:rsidR="0040058E" w:rsidRDefault="0040058E">
      <w:r>
        <w:separator/>
      </w:r>
    </w:p>
  </w:footnote>
  <w:footnote w:type="continuationSeparator" w:id="0">
    <w:p w14:paraId="6930930C" w14:textId="77777777" w:rsidR="0040058E" w:rsidRDefault="0040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EE126" w14:textId="77777777" w:rsidR="00A6626C" w:rsidRDefault="00AF7B39">
    <w:pPr>
      <w:pStyle w:val="Body"/>
    </w:pPr>
    <w:r>
      <w:rPr>
        <w:noProof/>
        <w:lang w:eastAsia="en-US"/>
      </w:rPr>
      <mc:AlternateContent>
        <mc:Choice Requires="wps">
          <w:drawing>
            <wp:anchor distT="152400" distB="152400" distL="152400" distR="152400" simplePos="0" relativeHeight="251659264" behindDoc="1" locked="0" layoutInCell="1" allowOverlap="1" wp14:anchorId="6AAD99B7" wp14:editId="20EEF10D">
              <wp:simplePos x="0" y="0"/>
              <wp:positionH relativeFrom="page">
                <wp:posOffset>762000</wp:posOffset>
              </wp:positionH>
              <wp:positionV relativeFrom="page">
                <wp:posOffset>723265</wp:posOffset>
              </wp:positionV>
              <wp:extent cx="6029960"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officeArt object" o:spid="_x0000_s1026" o:spt="20" alt="officeArt object" style="position:absolute;left:0pt;flip:y;margin-left:60pt;margin-top:56.95pt;height:0pt;width:474.8pt;mso-position-horizontal-relative:page;mso-position-vertical-relative:page;z-index:-251657216;mso-width-relative:page;mso-height-relative:page;" filled="f" stroked="t" coordsize="21600,21600" o:gfxdata="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L2q6tYAAAAM&#10;AQAADwAAAAAAAAABACAAAAAiAAAAZHJzL2Rvd25yZXYueG1sUEsBAhQAFAAAAAgAh07iQHSl7JTl&#10;AQAA1gMAAA4AAAAAAAAAAQAgAAAAJQEAAGRycy9lMm9Eb2MueG1sUEsFBgAAAAAGAAYAWQEAAHwF&#10;AAAAAA==&#10;">
              <v:fill on="f" focussize="0,0"/>
              <v:stroke weight="2pt" color="#535F65" miterlimit="4"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76E1"/>
    <w:rsid w:val="000479C6"/>
    <w:rsid w:val="00087448"/>
    <w:rsid w:val="0009319A"/>
    <w:rsid w:val="0009563B"/>
    <w:rsid w:val="00095AA5"/>
    <w:rsid w:val="000A79BB"/>
    <w:rsid w:val="000B0AD9"/>
    <w:rsid w:val="000D0159"/>
    <w:rsid w:val="000F43C0"/>
    <w:rsid w:val="000F5A4D"/>
    <w:rsid w:val="001037E3"/>
    <w:rsid w:val="001346A0"/>
    <w:rsid w:val="00136C09"/>
    <w:rsid w:val="00153567"/>
    <w:rsid w:val="001566AA"/>
    <w:rsid w:val="00170DB3"/>
    <w:rsid w:val="001921ED"/>
    <w:rsid w:val="001A2AAC"/>
    <w:rsid w:val="001C2D81"/>
    <w:rsid w:val="001C339F"/>
    <w:rsid w:val="001F3FE1"/>
    <w:rsid w:val="001F51C2"/>
    <w:rsid w:val="00211EAF"/>
    <w:rsid w:val="00216EF4"/>
    <w:rsid w:val="002239AC"/>
    <w:rsid w:val="0023606A"/>
    <w:rsid w:val="00252242"/>
    <w:rsid w:val="0026528F"/>
    <w:rsid w:val="00270E62"/>
    <w:rsid w:val="002800F0"/>
    <w:rsid w:val="00280A92"/>
    <w:rsid w:val="002859D9"/>
    <w:rsid w:val="00293A16"/>
    <w:rsid w:val="00296403"/>
    <w:rsid w:val="002B06F7"/>
    <w:rsid w:val="002B0741"/>
    <w:rsid w:val="002B70CC"/>
    <w:rsid w:val="002D2C14"/>
    <w:rsid w:val="002D6488"/>
    <w:rsid w:val="002F0B83"/>
    <w:rsid w:val="00324427"/>
    <w:rsid w:val="00350081"/>
    <w:rsid w:val="003A66EA"/>
    <w:rsid w:val="0040058E"/>
    <w:rsid w:val="00446407"/>
    <w:rsid w:val="0047293C"/>
    <w:rsid w:val="00476146"/>
    <w:rsid w:val="004835C0"/>
    <w:rsid w:val="00493BD3"/>
    <w:rsid w:val="004D0740"/>
    <w:rsid w:val="004E2938"/>
    <w:rsid w:val="004E4FE7"/>
    <w:rsid w:val="004F0B5C"/>
    <w:rsid w:val="004F6002"/>
    <w:rsid w:val="005311D4"/>
    <w:rsid w:val="00546B58"/>
    <w:rsid w:val="0057083E"/>
    <w:rsid w:val="00584B1E"/>
    <w:rsid w:val="00591F90"/>
    <w:rsid w:val="005A6CD7"/>
    <w:rsid w:val="005C54A1"/>
    <w:rsid w:val="005E066B"/>
    <w:rsid w:val="005E2595"/>
    <w:rsid w:val="00605512"/>
    <w:rsid w:val="00634C31"/>
    <w:rsid w:val="0064080E"/>
    <w:rsid w:val="00641B70"/>
    <w:rsid w:val="00646EDC"/>
    <w:rsid w:val="00655D2E"/>
    <w:rsid w:val="006917C7"/>
    <w:rsid w:val="006B1B6D"/>
    <w:rsid w:val="006D114C"/>
    <w:rsid w:val="00701EB0"/>
    <w:rsid w:val="00705704"/>
    <w:rsid w:val="0072123C"/>
    <w:rsid w:val="00757FEC"/>
    <w:rsid w:val="00781195"/>
    <w:rsid w:val="007915CE"/>
    <w:rsid w:val="00794137"/>
    <w:rsid w:val="007B198A"/>
    <w:rsid w:val="007E09EA"/>
    <w:rsid w:val="007F398C"/>
    <w:rsid w:val="00805393"/>
    <w:rsid w:val="008107C7"/>
    <w:rsid w:val="008740A0"/>
    <w:rsid w:val="008804B1"/>
    <w:rsid w:val="00886352"/>
    <w:rsid w:val="008A7380"/>
    <w:rsid w:val="008C5B2F"/>
    <w:rsid w:val="00926C7B"/>
    <w:rsid w:val="00927667"/>
    <w:rsid w:val="009327F2"/>
    <w:rsid w:val="0093747B"/>
    <w:rsid w:val="009446F7"/>
    <w:rsid w:val="00953558"/>
    <w:rsid w:val="00977D9C"/>
    <w:rsid w:val="0098584D"/>
    <w:rsid w:val="0099191E"/>
    <w:rsid w:val="00992543"/>
    <w:rsid w:val="009C317B"/>
    <w:rsid w:val="009C344C"/>
    <w:rsid w:val="009C3889"/>
    <w:rsid w:val="009D2809"/>
    <w:rsid w:val="009D72E0"/>
    <w:rsid w:val="009D7CBA"/>
    <w:rsid w:val="009E7B32"/>
    <w:rsid w:val="009F091C"/>
    <w:rsid w:val="00A25FBC"/>
    <w:rsid w:val="00A266B0"/>
    <w:rsid w:val="00A519D8"/>
    <w:rsid w:val="00A538B3"/>
    <w:rsid w:val="00A57AD6"/>
    <w:rsid w:val="00A6626C"/>
    <w:rsid w:val="00A741EF"/>
    <w:rsid w:val="00A7676D"/>
    <w:rsid w:val="00A80257"/>
    <w:rsid w:val="00A82A9E"/>
    <w:rsid w:val="00A85BB1"/>
    <w:rsid w:val="00A92268"/>
    <w:rsid w:val="00AC34BD"/>
    <w:rsid w:val="00AC5B93"/>
    <w:rsid w:val="00AF7B39"/>
    <w:rsid w:val="00B16FEC"/>
    <w:rsid w:val="00B46134"/>
    <w:rsid w:val="00B508C2"/>
    <w:rsid w:val="00B56621"/>
    <w:rsid w:val="00B75A63"/>
    <w:rsid w:val="00BB2E8F"/>
    <w:rsid w:val="00BB36F0"/>
    <w:rsid w:val="00BB3FE6"/>
    <w:rsid w:val="00BE32EC"/>
    <w:rsid w:val="00BF1E61"/>
    <w:rsid w:val="00BF66E2"/>
    <w:rsid w:val="00C02A55"/>
    <w:rsid w:val="00C127E5"/>
    <w:rsid w:val="00C730A9"/>
    <w:rsid w:val="00C96ADF"/>
    <w:rsid w:val="00CC0B86"/>
    <w:rsid w:val="00CD1574"/>
    <w:rsid w:val="00CE1220"/>
    <w:rsid w:val="00CE35B1"/>
    <w:rsid w:val="00CE61DA"/>
    <w:rsid w:val="00D146E4"/>
    <w:rsid w:val="00D149C9"/>
    <w:rsid w:val="00D2475E"/>
    <w:rsid w:val="00D30CC7"/>
    <w:rsid w:val="00D37018"/>
    <w:rsid w:val="00D464A5"/>
    <w:rsid w:val="00D553F9"/>
    <w:rsid w:val="00D838E0"/>
    <w:rsid w:val="00D906BF"/>
    <w:rsid w:val="00D9086E"/>
    <w:rsid w:val="00D95617"/>
    <w:rsid w:val="00DB5BAA"/>
    <w:rsid w:val="00DC22C8"/>
    <w:rsid w:val="00DC372A"/>
    <w:rsid w:val="00DC4CE3"/>
    <w:rsid w:val="00DE6965"/>
    <w:rsid w:val="00E16AE4"/>
    <w:rsid w:val="00E17E88"/>
    <w:rsid w:val="00E228D1"/>
    <w:rsid w:val="00E44118"/>
    <w:rsid w:val="00E555C3"/>
    <w:rsid w:val="00E71A5A"/>
    <w:rsid w:val="00EB2BE2"/>
    <w:rsid w:val="00EB57E2"/>
    <w:rsid w:val="00EE0C7D"/>
    <w:rsid w:val="00F1026A"/>
    <w:rsid w:val="00F1720C"/>
    <w:rsid w:val="00F25491"/>
    <w:rsid w:val="00F32BE5"/>
    <w:rsid w:val="00F359BC"/>
    <w:rsid w:val="00F42E73"/>
    <w:rsid w:val="00FB6924"/>
    <w:rsid w:val="00FE10FD"/>
    <w:rsid w:val="5ADF5F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3E8D"/>
  <w15:docId w15:val="{3FCA0737-EC29-479D-8F0C-C7ED60A0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qFormat/>
    <w:pPr>
      <w:tabs>
        <w:tab w:val="center" w:pos="4320"/>
        <w:tab w:val="right" w:pos="8640"/>
      </w:tabs>
      <w:jc w:val="left"/>
    </w:pPr>
    <w:rPr>
      <w:rFonts w:eastAsia="Times New Roman"/>
      <w:sz w:val="24"/>
      <w:szCs w:val="20"/>
      <w:lang w:eastAsia="lt-LT"/>
    </w:rPr>
  </w:style>
  <w:style w:type="character" w:styleId="Hyperlink">
    <w:name w:val="Hyperlink"/>
    <w:rPr>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Pr>
      <w:rFonts w:cs="Arial Unicode MS"/>
      <w:color w:val="000000"/>
      <w:sz w:val="24"/>
      <w:szCs w:val="24"/>
      <w:u w:color="000000"/>
      <w:lang w:eastAsia="en-GB"/>
    </w:rPr>
  </w:style>
  <w:style w:type="paragraph" w:customStyle="1" w:styleId="HeaderFooterA">
    <w:name w:val="Header &amp; Footer A"/>
    <w:qFormat/>
    <w:pPr>
      <w:tabs>
        <w:tab w:val="right" w:pos="9020"/>
      </w:tabs>
      <w:spacing w:line="288" w:lineRule="auto"/>
    </w:pPr>
    <w:rPr>
      <w:rFonts w:ascii="Helvetica Neue Medium" w:hAnsi="Helvetica Neue Medium" w:cs="Arial Unicode MS"/>
      <w:color w:val="606060"/>
      <w:u w:color="606060"/>
      <w:lang w:eastAsia="en-GB"/>
    </w:rPr>
  </w:style>
  <w:style w:type="paragraph" w:customStyle="1" w:styleId="Heading">
    <w:name w:val="Heading"/>
    <w:next w:val="Body2"/>
    <w:pPr>
      <w:outlineLvl w:val="0"/>
    </w:pPr>
    <w:rPr>
      <w:rFonts w:cs="Arial Unicode MS"/>
      <w:b/>
      <w:bCs/>
      <w:caps/>
      <w:color w:val="444444"/>
      <w:spacing w:val="3"/>
      <w:sz w:val="22"/>
      <w:szCs w:val="22"/>
      <w:u w:color="444444"/>
      <w:lang w:eastAsia="en-GB"/>
    </w:rPr>
  </w:style>
  <w:style w:type="paragraph" w:customStyle="1" w:styleId="Body2">
    <w:name w:val="Body 2"/>
    <w:qFormat/>
    <w:pPr>
      <w:suppressAutoHyphens/>
      <w:spacing w:after="40"/>
      <w:jc w:val="both"/>
    </w:pPr>
    <w:rPr>
      <w:rFonts w:cs="Arial Unicode MS"/>
      <w:color w:val="000000"/>
      <w:sz w:val="22"/>
      <w:szCs w:val="22"/>
      <w:u w:color="000000"/>
      <w:lang w:eastAsia="en-GB"/>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eastAsia="en-GB"/>
    </w:rPr>
  </w:style>
  <w:style w:type="character" w:customStyle="1" w:styleId="FooterChar">
    <w:name w:val="Footer Char"/>
    <w:basedOn w:val="DefaultParagraphFont"/>
    <w:link w:val="Footer"/>
    <w:uiPriority w:val="99"/>
    <w:qFormat/>
    <w:rPr>
      <w:rFonts w:eastAsia="Times New Roman"/>
      <w:sz w:val="24"/>
      <w:lang w:val="lt-LT" w:eastAsia="lt-LT"/>
    </w:rPr>
  </w:style>
  <w:style w:type="character" w:customStyle="1" w:styleId="BalloonTextChar">
    <w:name w:val="Balloon Text Char"/>
    <w:basedOn w:val="DefaultParagraphFont"/>
    <w:link w:val="BalloonText"/>
    <w:uiPriority w:val="99"/>
    <w:semiHidden/>
    <w:rPr>
      <w:rFonts w:ascii="Segoe UI" w:hAnsi="Segoe UI" w:cs="Segoe UI"/>
      <w:sz w:val="18"/>
      <w:szCs w:val="18"/>
      <w:lang w:val="lt-LT" w:eastAsia="en-US"/>
    </w:rPr>
  </w:style>
  <w:style w:type="character" w:customStyle="1" w:styleId="CommentTextChar">
    <w:name w:val="Comment Text Char"/>
    <w:basedOn w:val="DefaultParagraphFont"/>
    <w:link w:val="CommentText"/>
    <w:uiPriority w:val="99"/>
    <w:semiHidden/>
    <w:rPr>
      <w:lang w:val="lt-LT" w:eastAsia="en-US"/>
    </w:rPr>
  </w:style>
  <w:style w:type="character" w:customStyle="1" w:styleId="CommentSubjectChar">
    <w:name w:val="Comment Subject Char"/>
    <w:basedOn w:val="CommentTextChar"/>
    <w:link w:val="CommentSubject"/>
    <w:uiPriority w:val="99"/>
    <w:semiHidden/>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4CA358-3AE4-4214-8D0E-961D593B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Tatolyte</dc:creator>
  <cp:lastModifiedBy>Eligijus</cp:lastModifiedBy>
  <cp:revision>5</cp:revision>
  <cp:lastPrinted>2023-02-15T12:37:00Z</cp:lastPrinted>
  <dcterms:created xsi:type="dcterms:W3CDTF">2025-04-08T13:38:00Z</dcterms:created>
  <dcterms:modified xsi:type="dcterms:W3CDTF">2025-04-09T11:36:00Z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BCA9C02BCEAF44D491942F2E86F79AED_12</vt:lpwstr>
  </property>
</Properties>
</file>