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63BFCFF"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3475B6">
        <w:rPr>
          <w:rFonts w:ascii="Times New Roman" w:hAnsi="Times New Roman"/>
          <w:b/>
          <w:color w:val="000000" w:themeColor="text1"/>
          <w:sz w:val="24"/>
          <w:szCs w:val="24"/>
        </w:rPr>
        <w:t>B</w:t>
      </w:r>
      <w:r w:rsidR="0074533C">
        <w:rPr>
          <w:rFonts w:ascii="Times New Roman" w:hAnsi="Times New Roman"/>
          <w:b/>
          <w:color w:val="000000" w:themeColor="text1"/>
          <w:sz w:val="24"/>
          <w:szCs w:val="24"/>
        </w:rPr>
        <w:t>EVIELIO TINKLO KARTOTITUVŲ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2C1DB56B"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510235">
        <w:rPr>
          <w:rFonts w:ascii="Times New Roman" w:hAnsi="Times New Roman"/>
          <w:color w:val="000000" w:themeColor="text1"/>
          <w:sz w:val="24"/>
          <w:szCs w:val="24"/>
        </w:rPr>
        <w:t xml:space="preserve"> </w:t>
      </w:r>
      <w:r w:rsidR="0074533C">
        <w:rPr>
          <w:rFonts w:ascii="Times New Roman" w:hAnsi="Times New Roman"/>
          <w:color w:val="000000" w:themeColor="text1"/>
          <w:sz w:val="24"/>
          <w:szCs w:val="24"/>
        </w:rPr>
        <w:t xml:space="preserve">bevielio tinklo </w:t>
      </w:r>
      <w:proofErr w:type="spellStart"/>
      <w:r w:rsidR="0074533C">
        <w:rPr>
          <w:rFonts w:ascii="Times New Roman" w:hAnsi="Times New Roman"/>
          <w:color w:val="000000" w:themeColor="text1"/>
          <w:sz w:val="24"/>
          <w:szCs w:val="24"/>
        </w:rPr>
        <w:t>kartotituvų</w:t>
      </w:r>
      <w:proofErr w:type="spellEnd"/>
      <w:r w:rsidR="0074533C">
        <w:rPr>
          <w:rFonts w:ascii="Times New Roman" w:hAnsi="Times New Roman"/>
          <w:color w:val="000000" w:themeColor="text1"/>
          <w:sz w:val="24"/>
          <w:szCs w:val="24"/>
        </w:rPr>
        <w:t xml:space="preserve"> </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3791BD41"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74533C">
        <w:rPr>
          <w:rFonts w:ascii="Times New Roman" w:hAnsi="Times New Roman"/>
          <w:noProof/>
          <w:sz w:val="24"/>
          <w:szCs w:val="24"/>
        </w:rPr>
        <w:t>bevielio tinklo kartotituvai</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21FFE7C5"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74533C" w:rsidRPr="0074533C">
        <w:rPr>
          <w:rFonts w:ascii="Times New Roman" w:hAnsi="Times New Roman"/>
          <w:noProof/>
          <w:sz w:val="24"/>
          <w:szCs w:val="24"/>
        </w:rPr>
        <w:t>32420000-3</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2626BB1A"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w:t>
      </w:r>
      <w:r w:rsidR="001A141B">
        <w:rPr>
          <w:rFonts w:ascii="Times New Roman" w:hAnsi="Times New Roman"/>
          <w:color w:val="000000" w:themeColor="text1"/>
          <w:sz w:val="24"/>
          <w:szCs w:val="24"/>
        </w:rPr>
        <w:t>pristatymo</w:t>
      </w:r>
      <w:r>
        <w:rPr>
          <w:rFonts w:ascii="Times New Roman" w:hAnsi="Times New Roman"/>
          <w:color w:val="000000" w:themeColor="text1"/>
          <w:sz w:val="24"/>
          <w:szCs w:val="24"/>
        </w:rPr>
        <w:t xml:space="preserve">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74533C">
        <w:rPr>
          <w:rFonts w:ascii="Times New Roman" w:hAnsi="Times New Roman"/>
          <w:color w:val="000000" w:themeColor="text1"/>
          <w:sz w:val="24"/>
          <w:szCs w:val="24"/>
        </w:rPr>
        <w:t>2 savaites</w:t>
      </w:r>
      <w:r w:rsidR="00FD32C4">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4EA6A853"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74533C">
        <w:rPr>
          <w:rFonts w:ascii="Times New Roman" w:hAnsi="Times New Roman"/>
          <w:color w:val="000000" w:themeColor="text1"/>
          <w:sz w:val="24"/>
          <w:szCs w:val="24"/>
        </w:rPr>
        <w:t>Karaliaus Mindaugo g. 18, Rukla.</w:t>
      </w:r>
    </w:p>
    <w:p w14:paraId="61C9E56C" w14:textId="0F04A37E"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planuojamos sudaryti pirkimo sutarties vertė –</w:t>
      </w:r>
      <w:r w:rsidR="005D2508">
        <w:rPr>
          <w:rFonts w:ascii="Times New Roman" w:hAnsi="Times New Roman"/>
          <w:color w:val="000000" w:themeColor="text1"/>
          <w:sz w:val="24"/>
          <w:szCs w:val="24"/>
        </w:rPr>
        <w:t xml:space="preserve"> </w:t>
      </w:r>
      <w:r w:rsidR="0074533C">
        <w:rPr>
          <w:rFonts w:ascii="Times New Roman" w:hAnsi="Times New Roman"/>
          <w:color w:val="000000" w:themeColor="text1"/>
          <w:sz w:val="24"/>
          <w:szCs w:val="24"/>
        </w:rPr>
        <w:t>968,00</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3EA62099"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3475B6">
        <w:rPr>
          <w:rFonts w:ascii="Times New Roman" w:hAnsi="Times New Roman"/>
          <w:b/>
          <w:color w:val="000000" w:themeColor="text1"/>
          <w:sz w:val="24"/>
          <w:szCs w:val="24"/>
        </w:rPr>
        <w:t>balandžio</w:t>
      </w:r>
      <w:r w:rsidR="001A141B">
        <w:rPr>
          <w:rFonts w:ascii="Times New Roman" w:hAnsi="Times New Roman"/>
          <w:b/>
          <w:color w:val="000000" w:themeColor="text1"/>
          <w:sz w:val="24"/>
          <w:szCs w:val="24"/>
        </w:rPr>
        <w:t xml:space="preserve"> </w:t>
      </w:r>
      <w:r w:rsidR="0074533C">
        <w:rPr>
          <w:rFonts w:ascii="Times New Roman" w:hAnsi="Times New Roman"/>
          <w:b/>
          <w:color w:val="000000" w:themeColor="text1"/>
          <w:sz w:val="24"/>
          <w:szCs w:val="24"/>
        </w:rPr>
        <w:t>1</w:t>
      </w:r>
      <w:r w:rsidR="009712FB">
        <w:rPr>
          <w:rFonts w:ascii="Times New Roman" w:hAnsi="Times New Roman"/>
          <w:b/>
          <w:color w:val="000000" w:themeColor="text1"/>
          <w:sz w:val="24"/>
          <w:szCs w:val="24"/>
        </w:rPr>
        <w:t>6</w:t>
      </w:r>
      <w:bookmarkStart w:id="0" w:name="_GoBack"/>
      <w:bookmarkEnd w:id="0"/>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1" w:name="_Toc466549116"/>
      <w:r w:rsidRPr="008E28A2">
        <w:rPr>
          <w:rFonts w:ascii="Times New Roman" w:hAnsi="Times New Roman"/>
          <w:sz w:val="24"/>
          <w:szCs w:val="24"/>
        </w:rPr>
        <w:t>VI. SUSIPAŽINIMO SU PASIŪLYMAIS PROCEDŪROS</w:t>
      </w:r>
      <w:bookmarkEnd w:id="1"/>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9712FB"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0FB22ED2"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3475B6">
        <w:rPr>
          <w:rFonts w:ascii="Times New Roman" w:eastAsia="Times New Roman" w:hAnsi="Times New Roman"/>
          <w:b/>
          <w:sz w:val="24"/>
          <w:szCs w:val="24"/>
        </w:rPr>
        <w:t>B</w:t>
      </w:r>
      <w:r w:rsidR="0074533C">
        <w:rPr>
          <w:rFonts w:ascii="Times New Roman" w:eastAsia="Times New Roman" w:hAnsi="Times New Roman"/>
          <w:b/>
          <w:sz w:val="24"/>
          <w:szCs w:val="24"/>
        </w:rPr>
        <w:t>EVIELIO TINKLO KARTOTITUVŲ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6C3325BB"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3475B6">
              <w:rPr>
                <w:rFonts w:ascii="Times New Roman" w:hAnsi="Times New Roman"/>
                <w:sz w:val="24"/>
                <w:szCs w:val="24"/>
              </w:rPr>
              <w:t>B</w:t>
            </w:r>
            <w:r w:rsidR="0074533C">
              <w:rPr>
                <w:rFonts w:ascii="Times New Roman" w:hAnsi="Times New Roman"/>
                <w:sz w:val="24"/>
                <w:szCs w:val="24"/>
              </w:rPr>
              <w:t xml:space="preserve">evielio tinklo </w:t>
            </w:r>
            <w:proofErr w:type="spellStart"/>
            <w:r w:rsidR="0074533C">
              <w:rPr>
                <w:rFonts w:ascii="Times New Roman" w:hAnsi="Times New Roman"/>
                <w:sz w:val="24"/>
                <w:szCs w:val="24"/>
              </w:rPr>
              <w:t>kartoti</w:t>
            </w:r>
            <w:r w:rsidR="008C4122">
              <w:rPr>
                <w:rFonts w:ascii="Times New Roman" w:hAnsi="Times New Roman"/>
                <w:sz w:val="24"/>
                <w:szCs w:val="24"/>
              </w:rPr>
              <w:t>tu</w:t>
            </w:r>
            <w:r w:rsidR="0074533C">
              <w:rPr>
                <w:rFonts w:ascii="Times New Roman" w:hAnsi="Times New Roman"/>
                <w:sz w:val="24"/>
                <w:szCs w:val="24"/>
              </w:rPr>
              <w:t>vai</w:t>
            </w:r>
            <w:proofErr w:type="spellEnd"/>
          </w:p>
        </w:tc>
        <w:tc>
          <w:tcPr>
            <w:tcW w:w="4252" w:type="dxa"/>
          </w:tcPr>
          <w:p w14:paraId="69364C53" w14:textId="1E7A9AD6" w:rsidR="001D5962" w:rsidRPr="001D5962" w:rsidRDefault="0074533C" w:rsidP="00AA0444">
            <w:pPr>
              <w:jc w:val="center"/>
              <w:rPr>
                <w:rFonts w:ascii="Times New Roman" w:hAnsi="Times New Roman"/>
                <w:sz w:val="24"/>
                <w:szCs w:val="24"/>
              </w:rPr>
            </w:pPr>
            <w:r>
              <w:rPr>
                <w:rFonts w:ascii="Times New Roman" w:hAnsi="Times New Roman"/>
                <w:sz w:val="24"/>
                <w:szCs w:val="24"/>
              </w:rPr>
              <w:t>30</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2"/>
          <w:pgSz w:w="11906" w:h="16838"/>
          <w:pgMar w:top="1134" w:right="567" w:bottom="1134" w:left="1134" w:header="567" w:footer="567" w:gutter="0"/>
          <w:cols w:space="1296"/>
          <w:docGrid w:linePitch="360"/>
        </w:sectPr>
      </w:pPr>
    </w:p>
    <w:p w14:paraId="07906C88"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bookmarkStart w:id="2" w:name="_Hlk89779532"/>
    </w:p>
    <w:p w14:paraId="0003FE68" w14:textId="77B482BF" w:rsidR="00A310F7" w:rsidRDefault="003475B6" w:rsidP="002C5256">
      <w:pPr>
        <w:suppressAutoHyphens w:val="0"/>
        <w:overflowPunct w:val="0"/>
        <w:autoSpaceDE w:val="0"/>
        <w:adjustRightInd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B</w:t>
      </w:r>
      <w:r w:rsidR="001100A7">
        <w:rPr>
          <w:rFonts w:ascii="Times New Roman" w:eastAsia="Times New Roman" w:hAnsi="Times New Roman"/>
          <w:b/>
          <w:bCs/>
          <w:sz w:val="24"/>
          <w:szCs w:val="24"/>
        </w:rPr>
        <w:t>EVIELIO TINKLO KARTOTITUVAI</w:t>
      </w:r>
    </w:p>
    <w:p w14:paraId="66CFCAA6" w14:textId="77777777" w:rsidR="002C5256" w:rsidRPr="00A310F7" w:rsidRDefault="002C5256" w:rsidP="002C5256">
      <w:pPr>
        <w:suppressAutoHyphens w:val="0"/>
        <w:overflowPunct w:val="0"/>
        <w:autoSpaceDE w:val="0"/>
        <w:adjustRightInd w:val="0"/>
        <w:spacing w:after="0"/>
        <w:jc w:val="center"/>
        <w:rPr>
          <w:rFonts w:ascii="Times New Roman" w:eastAsia="Times New Roman" w:hAnsi="Times New Roman"/>
          <w:b/>
          <w:bCs/>
          <w:sz w:val="24"/>
          <w:szCs w:val="24"/>
        </w:rPr>
      </w:pPr>
    </w:p>
    <w:p w14:paraId="6F0F21C5" w14:textId="6DD8C043"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TECHNINĖ SPECIFIKACIJA</w:t>
      </w:r>
    </w:p>
    <w:p w14:paraId="753272AB" w14:textId="0A24A5EA"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029E9B63" w14:textId="19BBD09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tbl>
      <w:tblPr>
        <w:tblStyle w:val="Lentelstinklelis"/>
        <w:tblW w:w="0" w:type="auto"/>
        <w:tblInd w:w="0" w:type="dxa"/>
        <w:tblLook w:val="04A0" w:firstRow="1" w:lastRow="0" w:firstColumn="1" w:lastColumn="0" w:noHBand="0" w:noVBand="1"/>
      </w:tblPr>
      <w:tblGrid>
        <w:gridCol w:w="1830"/>
        <w:gridCol w:w="4774"/>
        <w:gridCol w:w="3314"/>
        <w:gridCol w:w="1067"/>
        <w:gridCol w:w="897"/>
        <w:gridCol w:w="897"/>
        <w:gridCol w:w="896"/>
        <w:gridCol w:w="885"/>
      </w:tblGrid>
      <w:tr w:rsidR="002C5256" w14:paraId="796B345E" w14:textId="2B0DBBBC" w:rsidTr="001100A7">
        <w:tc>
          <w:tcPr>
            <w:tcW w:w="1830" w:type="dxa"/>
          </w:tcPr>
          <w:p w14:paraId="521274E0" w14:textId="34547C2C" w:rsidR="002C5256" w:rsidRPr="00510235" w:rsidRDefault="002C5256" w:rsidP="00FA1115">
            <w:pPr>
              <w:rPr>
                <w:rFonts w:ascii="Times New Roman" w:hAnsi="Times New Roman"/>
                <w:b/>
                <w:sz w:val="24"/>
                <w:lang w:val="lt-LT"/>
              </w:rPr>
            </w:pPr>
            <w:r>
              <w:rPr>
                <w:rFonts w:ascii="Times New Roman" w:hAnsi="Times New Roman"/>
                <w:b/>
                <w:sz w:val="24"/>
                <w:lang w:val="lt-LT"/>
              </w:rPr>
              <w:t>Prekė</w:t>
            </w:r>
          </w:p>
        </w:tc>
        <w:tc>
          <w:tcPr>
            <w:tcW w:w="4774" w:type="dxa"/>
          </w:tcPr>
          <w:p w14:paraId="05D7FE4C" w14:textId="55E22975" w:rsidR="002C5256" w:rsidRPr="00510235" w:rsidRDefault="002C5256" w:rsidP="00FA1115">
            <w:pPr>
              <w:rPr>
                <w:rFonts w:ascii="Times New Roman" w:hAnsi="Times New Roman"/>
                <w:b/>
                <w:sz w:val="24"/>
              </w:rPr>
            </w:pPr>
            <w:r w:rsidRPr="00510235">
              <w:rPr>
                <w:rFonts w:ascii="Times New Roman" w:hAnsi="Times New Roman"/>
                <w:b/>
                <w:sz w:val="24"/>
                <w:lang w:val="lt-LT"/>
              </w:rPr>
              <w:t>Reikalavimai</w:t>
            </w:r>
          </w:p>
        </w:tc>
        <w:tc>
          <w:tcPr>
            <w:tcW w:w="3314" w:type="dxa"/>
          </w:tcPr>
          <w:p w14:paraId="291A84F3" w14:textId="184ABA41" w:rsidR="002C5256" w:rsidRPr="00510235" w:rsidRDefault="002C5256" w:rsidP="00FA1115">
            <w:pPr>
              <w:rPr>
                <w:rFonts w:ascii="Times New Roman" w:hAnsi="Times New Roman"/>
                <w:b/>
                <w:sz w:val="24"/>
                <w:lang w:val="lt-LT"/>
              </w:rPr>
            </w:pPr>
            <w:r w:rsidRPr="00510235">
              <w:rPr>
                <w:rFonts w:ascii="Times New Roman" w:hAnsi="Times New Roman"/>
                <w:b/>
                <w:sz w:val="24"/>
                <w:lang w:val="lt-LT"/>
              </w:rPr>
              <w:t xml:space="preserve">Atitikimas reikalavimams žodžiai </w:t>
            </w:r>
            <w:r w:rsidRPr="00510235">
              <w:rPr>
                <w:rFonts w:ascii="Times New Roman" w:hAnsi="Times New Roman"/>
                <w:b/>
                <w:color w:val="FF0000"/>
                <w:sz w:val="24"/>
                <w:lang w:val="lt-LT"/>
              </w:rPr>
              <w:t>„Taip“ ar „Atitinka“ netinkami</w:t>
            </w:r>
          </w:p>
        </w:tc>
        <w:tc>
          <w:tcPr>
            <w:tcW w:w="1067" w:type="dxa"/>
          </w:tcPr>
          <w:p w14:paraId="6F053B35" w14:textId="14D941F9" w:rsidR="002C5256" w:rsidRDefault="002C5256" w:rsidP="00FA1115">
            <w:pPr>
              <w:rPr>
                <w:rFonts w:ascii="Times New Roman" w:hAnsi="Times New Roman"/>
                <w:b/>
                <w:sz w:val="24"/>
              </w:rPr>
            </w:pPr>
            <w:proofErr w:type="spellStart"/>
            <w:r>
              <w:rPr>
                <w:rFonts w:ascii="Times New Roman" w:hAnsi="Times New Roman"/>
                <w:b/>
                <w:sz w:val="24"/>
              </w:rPr>
              <w:t>Kiekis</w:t>
            </w:r>
            <w:proofErr w:type="spellEnd"/>
          </w:p>
          <w:p w14:paraId="6DC4A700" w14:textId="77777777" w:rsidR="002C5256" w:rsidRPr="002C5256" w:rsidRDefault="002C5256" w:rsidP="002C5256">
            <w:pPr>
              <w:rPr>
                <w:rFonts w:ascii="Times New Roman" w:hAnsi="Times New Roman"/>
                <w:sz w:val="24"/>
              </w:rPr>
            </w:pPr>
          </w:p>
        </w:tc>
        <w:tc>
          <w:tcPr>
            <w:tcW w:w="897" w:type="dxa"/>
          </w:tcPr>
          <w:p w14:paraId="2F287356" w14:textId="29E9A9D5"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be PVM</w:t>
            </w:r>
          </w:p>
        </w:tc>
        <w:tc>
          <w:tcPr>
            <w:tcW w:w="897" w:type="dxa"/>
          </w:tcPr>
          <w:p w14:paraId="10D264FB" w14:textId="26F59469"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c>
          <w:tcPr>
            <w:tcW w:w="896" w:type="dxa"/>
          </w:tcPr>
          <w:p w14:paraId="22060F0C" w14:textId="4E553AEF"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be PVM</w:t>
            </w:r>
          </w:p>
        </w:tc>
        <w:tc>
          <w:tcPr>
            <w:tcW w:w="885" w:type="dxa"/>
          </w:tcPr>
          <w:p w14:paraId="48E7ED7E" w14:textId="54307FA8"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r>
      <w:tr w:rsidR="002C5256" w14:paraId="7CEF1A0B" w14:textId="59A9689A" w:rsidTr="001100A7">
        <w:tc>
          <w:tcPr>
            <w:tcW w:w="1830" w:type="dxa"/>
          </w:tcPr>
          <w:p w14:paraId="20C4EF0A" w14:textId="65DBB3C8" w:rsidR="002C5256" w:rsidRPr="003B4859" w:rsidRDefault="001100A7" w:rsidP="00FA1115">
            <w:pPr>
              <w:rPr>
                <w:rFonts w:ascii="Times New Roman" w:hAnsi="Times New Roman"/>
                <w:sz w:val="24"/>
                <w:szCs w:val="24"/>
                <w:lang w:val="lt-LT"/>
              </w:rPr>
            </w:pPr>
            <w:proofErr w:type="spellStart"/>
            <w:r>
              <w:rPr>
                <w:rFonts w:ascii="Times New Roman" w:hAnsi="Times New Roman"/>
                <w:sz w:val="24"/>
                <w:szCs w:val="24"/>
              </w:rPr>
              <w:t>Bevielio</w:t>
            </w:r>
            <w:proofErr w:type="spellEnd"/>
            <w:r>
              <w:rPr>
                <w:rFonts w:ascii="Times New Roman" w:hAnsi="Times New Roman"/>
                <w:sz w:val="24"/>
                <w:szCs w:val="24"/>
              </w:rPr>
              <w:t xml:space="preserve"> </w:t>
            </w:r>
            <w:proofErr w:type="spellStart"/>
            <w:r>
              <w:rPr>
                <w:rFonts w:ascii="Times New Roman" w:hAnsi="Times New Roman"/>
                <w:sz w:val="24"/>
                <w:szCs w:val="24"/>
              </w:rPr>
              <w:t>tinklo</w:t>
            </w:r>
            <w:proofErr w:type="spellEnd"/>
            <w:r>
              <w:rPr>
                <w:rFonts w:ascii="Times New Roman" w:hAnsi="Times New Roman"/>
                <w:sz w:val="24"/>
                <w:szCs w:val="24"/>
              </w:rPr>
              <w:t xml:space="preserve"> </w:t>
            </w:r>
            <w:proofErr w:type="spellStart"/>
            <w:r>
              <w:rPr>
                <w:rFonts w:ascii="Times New Roman" w:hAnsi="Times New Roman"/>
                <w:sz w:val="24"/>
                <w:szCs w:val="24"/>
              </w:rPr>
              <w:t>kartotituvai</w:t>
            </w:r>
            <w:proofErr w:type="spellEnd"/>
          </w:p>
        </w:tc>
        <w:tc>
          <w:tcPr>
            <w:tcW w:w="4774" w:type="dxa"/>
          </w:tcPr>
          <w:p w14:paraId="0A6FB382" w14:textId="77777777" w:rsidR="002C5256" w:rsidRDefault="001100A7" w:rsidP="001100A7">
            <w:pPr>
              <w:pStyle w:val="a1"/>
              <w:numPr>
                <w:ilvl w:val="0"/>
                <w:numId w:val="29"/>
              </w:numPr>
            </w:pPr>
            <w:proofErr w:type="spellStart"/>
            <w:r>
              <w:t>Palaikomi</w:t>
            </w:r>
            <w:proofErr w:type="spellEnd"/>
            <w:r>
              <w:t xml:space="preserve"> </w:t>
            </w:r>
            <w:proofErr w:type="spellStart"/>
            <w:r>
              <w:t>wifi</w:t>
            </w:r>
            <w:proofErr w:type="spellEnd"/>
            <w:r>
              <w:t xml:space="preserve"> </w:t>
            </w:r>
            <w:proofErr w:type="spellStart"/>
            <w:r>
              <w:t>standartai</w:t>
            </w:r>
            <w:proofErr w:type="spellEnd"/>
            <w:r>
              <w:t xml:space="preserve"> ne </w:t>
            </w:r>
            <w:proofErr w:type="spellStart"/>
            <w:r>
              <w:t>prasčiau</w:t>
            </w:r>
            <w:proofErr w:type="spellEnd"/>
            <w:r>
              <w:t xml:space="preserve"> 802.11ac / 802.11n / 802.11g / 802.11b</w:t>
            </w:r>
          </w:p>
          <w:p w14:paraId="4E233A22" w14:textId="77777777" w:rsidR="001100A7" w:rsidRDefault="001100A7" w:rsidP="001100A7">
            <w:pPr>
              <w:pStyle w:val="a1"/>
              <w:numPr>
                <w:ilvl w:val="0"/>
                <w:numId w:val="29"/>
              </w:numPr>
            </w:pPr>
            <w:proofErr w:type="spellStart"/>
            <w:r>
              <w:t>Turi</w:t>
            </w:r>
            <w:proofErr w:type="spellEnd"/>
            <w:r>
              <w:t xml:space="preserve"> </w:t>
            </w:r>
            <w:proofErr w:type="spellStart"/>
            <w:r>
              <w:t>palaikyti</w:t>
            </w:r>
            <w:proofErr w:type="spellEnd"/>
            <w:r>
              <w:t xml:space="preserve"> 2.4 GHz </w:t>
            </w:r>
            <w:proofErr w:type="spellStart"/>
            <w:r>
              <w:t>juosta</w:t>
            </w:r>
            <w:proofErr w:type="spellEnd"/>
            <w:r>
              <w:t xml:space="preserve">: </w:t>
            </w:r>
            <w:proofErr w:type="spellStart"/>
            <w:r>
              <w:t>iki</w:t>
            </w:r>
            <w:proofErr w:type="spellEnd"/>
            <w:r>
              <w:t xml:space="preserve"> 300 Mbps</w:t>
            </w:r>
          </w:p>
          <w:p w14:paraId="64B05E7F" w14:textId="77777777" w:rsidR="001100A7" w:rsidRDefault="001100A7" w:rsidP="001100A7">
            <w:pPr>
              <w:pStyle w:val="a1"/>
              <w:numPr>
                <w:ilvl w:val="0"/>
                <w:numId w:val="29"/>
              </w:numPr>
            </w:pPr>
            <w:proofErr w:type="spellStart"/>
            <w:r>
              <w:t>Turi</w:t>
            </w:r>
            <w:proofErr w:type="spellEnd"/>
            <w:r>
              <w:t xml:space="preserve"> </w:t>
            </w:r>
            <w:proofErr w:type="spellStart"/>
            <w:r>
              <w:t>palaikyti</w:t>
            </w:r>
            <w:proofErr w:type="spellEnd"/>
            <w:r>
              <w:t xml:space="preserve">: 5 GHz </w:t>
            </w:r>
            <w:proofErr w:type="spellStart"/>
            <w:r>
              <w:t>juosta</w:t>
            </w:r>
            <w:proofErr w:type="spellEnd"/>
            <w:r>
              <w:t xml:space="preserve">: </w:t>
            </w:r>
            <w:proofErr w:type="spellStart"/>
            <w:r>
              <w:t>iki</w:t>
            </w:r>
            <w:proofErr w:type="spellEnd"/>
            <w:r>
              <w:t xml:space="preserve"> 433 Mbps</w:t>
            </w:r>
          </w:p>
          <w:p w14:paraId="37E14F9E" w14:textId="77777777" w:rsidR="001100A7" w:rsidRDefault="001100A7" w:rsidP="001100A7">
            <w:pPr>
              <w:pStyle w:val="a1"/>
              <w:numPr>
                <w:ilvl w:val="0"/>
                <w:numId w:val="29"/>
              </w:numPr>
            </w:pPr>
            <w:proofErr w:type="spellStart"/>
            <w:r>
              <w:t>Turi</w:t>
            </w:r>
            <w:proofErr w:type="spellEnd"/>
            <w:r>
              <w:t xml:space="preserve"> </w:t>
            </w:r>
            <w:proofErr w:type="spellStart"/>
            <w:r>
              <w:t>turėti</w:t>
            </w:r>
            <w:proofErr w:type="spellEnd"/>
            <w:r>
              <w:t xml:space="preserve"> ne </w:t>
            </w:r>
            <w:proofErr w:type="spellStart"/>
            <w:r>
              <w:t>mažiau</w:t>
            </w:r>
            <w:proofErr w:type="spellEnd"/>
            <w:r>
              <w:t xml:space="preserve"> </w:t>
            </w:r>
            <w:proofErr w:type="spellStart"/>
            <w:r>
              <w:t>kaip</w:t>
            </w:r>
            <w:proofErr w:type="spellEnd"/>
            <w:r>
              <w:t xml:space="preserve"> dvi </w:t>
            </w:r>
            <w:proofErr w:type="spellStart"/>
            <w:r>
              <w:t>vidines</w:t>
            </w:r>
            <w:proofErr w:type="spellEnd"/>
            <w:r>
              <w:t xml:space="preserve"> </w:t>
            </w:r>
            <w:proofErr w:type="spellStart"/>
            <w:r>
              <w:t>antenas</w:t>
            </w:r>
            <w:proofErr w:type="spellEnd"/>
          </w:p>
          <w:p w14:paraId="607465FE" w14:textId="77777777" w:rsidR="001100A7" w:rsidRDefault="001100A7" w:rsidP="001100A7">
            <w:pPr>
              <w:pStyle w:val="a1"/>
              <w:numPr>
                <w:ilvl w:val="0"/>
                <w:numId w:val="29"/>
              </w:numPr>
            </w:pPr>
            <w:proofErr w:type="spellStart"/>
            <w:r>
              <w:t>Turi</w:t>
            </w:r>
            <w:proofErr w:type="spellEnd"/>
            <w:r>
              <w:t xml:space="preserve"> </w:t>
            </w:r>
            <w:proofErr w:type="spellStart"/>
            <w:r>
              <w:t>turėti</w:t>
            </w:r>
            <w:proofErr w:type="spellEnd"/>
            <w:r>
              <w:t xml:space="preserve"> </w:t>
            </w:r>
            <w:proofErr w:type="spellStart"/>
            <w:r>
              <w:t>mažiausiai</w:t>
            </w:r>
            <w:proofErr w:type="spellEnd"/>
            <w:r>
              <w:t xml:space="preserve"> </w:t>
            </w:r>
            <w:proofErr w:type="spellStart"/>
            <w:r>
              <w:t>vieną</w:t>
            </w:r>
            <w:proofErr w:type="spellEnd"/>
            <w:r>
              <w:t xml:space="preserve"> Lan </w:t>
            </w:r>
            <w:proofErr w:type="spellStart"/>
            <w:r>
              <w:t>jungtį</w:t>
            </w:r>
            <w:proofErr w:type="spellEnd"/>
            <w:r>
              <w:t xml:space="preserve"> 1 x 10/100 Mbps</w:t>
            </w:r>
          </w:p>
          <w:p w14:paraId="30B73130" w14:textId="77777777" w:rsidR="001100A7" w:rsidRDefault="001100A7" w:rsidP="001100A7">
            <w:pPr>
              <w:pStyle w:val="a1"/>
              <w:numPr>
                <w:ilvl w:val="0"/>
                <w:numId w:val="29"/>
              </w:numPr>
            </w:pPr>
            <w:proofErr w:type="spellStart"/>
            <w:r>
              <w:t>Turi</w:t>
            </w:r>
            <w:proofErr w:type="spellEnd"/>
            <w:r>
              <w:t xml:space="preserve"> </w:t>
            </w:r>
            <w:proofErr w:type="spellStart"/>
            <w:r>
              <w:t>turėti</w:t>
            </w:r>
            <w:proofErr w:type="spellEnd"/>
            <w:r>
              <w:t xml:space="preserve"> Reset </w:t>
            </w:r>
            <w:proofErr w:type="spellStart"/>
            <w:r>
              <w:t>mygtuką</w:t>
            </w:r>
            <w:proofErr w:type="spellEnd"/>
          </w:p>
          <w:p w14:paraId="244C6CAD" w14:textId="77777777" w:rsidR="001100A7" w:rsidRDefault="001100A7" w:rsidP="001100A7">
            <w:pPr>
              <w:pStyle w:val="a1"/>
              <w:numPr>
                <w:ilvl w:val="0"/>
                <w:numId w:val="29"/>
              </w:numPr>
            </w:pPr>
            <w:proofErr w:type="spellStart"/>
            <w:r>
              <w:t>Darbinė</w:t>
            </w:r>
            <w:proofErr w:type="spellEnd"/>
            <w:r>
              <w:t xml:space="preserve"> </w:t>
            </w:r>
            <w:proofErr w:type="spellStart"/>
            <w:r>
              <w:t>temperatūra</w:t>
            </w:r>
            <w:proofErr w:type="spellEnd"/>
            <w:r>
              <w:t xml:space="preserve"> ne </w:t>
            </w:r>
            <w:proofErr w:type="spellStart"/>
            <w:r>
              <w:t>prasčiau</w:t>
            </w:r>
            <w:proofErr w:type="spellEnd"/>
            <w:r>
              <w:t xml:space="preserve"> </w:t>
            </w:r>
            <w:proofErr w:type="spellStart"/>
            <w:r>
              <w:t>kaip</w:t>
            </w:r>
            <w:proofErr w:type="spellEnd"/>
            <w:r>
              <w:t xml:space="preserve"> 10-30°C</w:t>
            </w:r>
          </w:p>
          <w:p w14:paraId="3AA3B18A" w14:textId="660465FA" w:rsidR="001100A7" w:rsidRPr="003B4859" w:rsidRDefault="001100A7" w:rsidP="001100A7">
            <w:pPr>
              <w:pStyle w:val="a1"/>
              <w:numPr>
                <w:ilvl w:val="0"/>
                <w:numId w:val="29"/>
              </w:numPr>
            </w:pPr>
            <w:proofErr w:type="spellStart"/>
            <w:r>
              <w:t>Turi</w:t>
            </w:r>
            <w:proofErr w:type="spellEnd"/>
            <w:r>
              <w:t xml:space="preserve"> </w:t>
            </w:r>
            <w:proofErr w:type="spellStart"/>
            <w:r>
              <w:t>būti</w:t>
            </w:r>
            <w:proofErr w:type="spellEnd"/>
            <w:r>
              <w:t xml:space="preserve"> </w:t>
            </w:r>
            <w:proofErr w:type="spellStart"/>
            <w:r>
              <w:t>suderinamas</w:t>
            </w:r>
            <w:proofErr w:type="spellEnd"/>
            <w:r>
              <w:t xml:space="preserve"> </w:t>
            </w:r>
            <w:proofErr w:type="spellStart"/>
            <w:r>
              <w:t>su</w:t>
            </w:r>
            <w:proofErr w:type="spellEnd"/>
            <w:r>
              <w:t xml:space="preserve"> </w:t>
            </w:r>
            <w:proofErr w:type="spellStart"/>
            <w:r>
              <w:t>visais</w:t>
            </w:r>
            <w:proofErr w:type="spellEnd"/>
            <w:r>
              <w:t xml:space="preserve"> </w:t>
            </w:r>
            <w:proofErr w:type="spellStart"/>
            <w:r>
              <w:t>standartiniais</w:t>
            </w:r>
            <w:proofErr w:type="spellEnd"/>
            <w:r>
              <w:t xml:space="preserve"> WI-FI </w:t>
            </w:r>
            <w:proofErr w:type="spellStart"/>
            <w:r>
              <w:t>maršrutizatoriais</w:t>
            </w:r>
            <w:proofErr w:type="spellEnd"/>
          </w:p>
        </w:tc>
        <w:tc>
          <w:tcPr>
            <w:tcW w:w="3314" w:type="dxa"/>
          </w:tcPr>
          <w:p w14:paraId="3E1313E5" w14:textId="763A6E3B" w:rsidR="002C5256" w:rsidRPr="00510235" w:rsidRDefault="002C5256" w:rsidP="00FA1115">
            <w:pPr>
              <w:rPr>
                <w:rFonts w:ascii="Times New Roman" w:hAnsi="Times New Roman"/>
                <w:sz w:val="24"/>
                <w:lang w:val="lt-LT"/>
              </w:rPr>
            </w:pPr>
          </w:p>
        </w:tc>
        <w:tc>
          <w:tcPr>
            <w:tcW w:w="1067" w:type="dxa"/>
          </w:tcPr>
          <w:p w14:paraId="1904FCC1" w14:textId="13AB333A" w:rsidR="002C5256" w:rsidRPr="00510235" w:rsidRDefault="001100A7" w:rsidP="00FA1115">
            <w:pPr>
              <w:rPr>
                <w:rFonts w:ascii="Times New Roman" w:hAnsi="Times New Roman"/>
                <w:sz w:val="24"/>
              </w:rPr>
            </w:pPr>
            <w:r>
              <w:rPr>
                <w:rFonts w:ascii="Times New Roman" w:hAnsi="Times New Roman"/>
                <w:sz w:val="24"/>
              </w:rPr>
              <w:t>30</w:t>
            </w:r>
            <w:r w:rsidR="002C5256">
              <w:rPr>
                <w:rFonts w:ascii="Times New Roman" w:hAnsi="Times New Roman"/>
                <w:sz w:val="24"/>
              </w:rPr>
              <w:t xml:space="preserve"> </w:t>
            </w:r>
            <w:proofErr w:type="spellStart"/>
            <w:r w:rsidR="002C5256">
              <w:rPr>
                <w:rFonts w:ascii="Times New Roman" w:hAnsi="Times New Roman"/>
                <w:sz w:val="24"/>
              </w:rPr>
              <w:t>vnt</w:t>
            </w:r>
            <w:proofErr w:type="spellEnd"/>
            <w:r w:rsidR="002C5256">
              <w:rPr>
                <w:rFonts w:ascii="Times New Roman" w:hAnsi="Times New Roman"/>
                <w:sz w:val="24"/>
              </w:rPr>
              <w:t>.</w:t>
            </w:r>
          </w:p>
        </w:tc>
        <w:tc>
          <w:tcPr>
            <w:tcW w:w="897" w:type="dxa"/>
          </w:tcPr>
          <w:p w14:paraId="35F67C24" w14:textId="77777777" w:rsidR="002C5256" w:rsidRDefault="002C5256" w:rsidP="00FA1115">
            <w:pPr>
              <w:rPr>
                <w:rFonts w:ascii="Times New Roman" w:hAnsi="Times New Roman"/>
                <w:sz w:val="24"/>
              </w:rPr>
            </w:pPr>
          </w:p>
        </w:tc>
        <w:tc>
          <w:tcPr>
            <w:tcW w:w="897" w:type="dxa"/>
          </w:tcPr>
          <w:p w14:paraId="04E92B88" w14:textId="77777777" w:rsidR="002C5256" w:rsidRDefault="002C5256" w:rsidP="00FA1115">
            <w:pPr>
              <w:rPr>
                <w:rFonts w:ascii="Times New Roman" w:hAnsi="Times New Roman"/>
                <w:sz w:val="24"/>
              </w:rPr>
            </w:pPr>
          </w:p>
        </w:tc>
        <w:tc>
          <w:tcPr>
            <w:tcW w:w="896" w:type="dxa"/>
          </w:tcPr>
          <w:p w14:paraId="3B2D312C" w14:textId="77777777" w:rsidR="002C5256" w:rsidRDefault="002C5256" w:rsidP="00FA1115">
            <w:pPr>
              <w:rPr>
                <w:rFonts w:ascii="Times New Roman" w:hAnsi="Times New Roman"/>
                <w:sz w:val="24"/>
              </w:rPr>
            </w:pPr>
          </w:p>
        </w:tc>
        <w:tc>
          <w:tcPr>
            <w:tcW w:w="885" w:type="dxa"/>
          </w:tcPr>
          <w:p w14:paraId="531EB5C9" w14:textId="77777777" w:rsidR="002C5256" w:rsidRDefault="002C5256" w:rsidP="00FA1115">
            <w:pPr>
              <w:rPr>
                <w:rFonts w:ascii="Times New Roman" w:hAnsi="Times New Roman"/>
                <w:sz w:val="24"/>
              </w:rPr>
            </w:pPr>
          </w:p>
        </w:tc>
      </w:tr>
    </w:tbl>
    <w:p w14:paraId="553D664E"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2"/>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77F7BE5C" w:rsidR="00D1432B" w:rsidRPr="00D1432B" w:rsidRDefault="003475B6"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B</w:t>
      </w:r>
      <w:r w:rsidR="001100A7">
        <w:rPr>
          <w:rFonts w:ascii="Times New Roman" w:eastAsia="Times New Roman" w:hAnsi="Times New Roman"/>
          <w:b/>
          <w:sz w:val="24"/>
          <w:szCs w:val="24"/>
        </w:rPr>
        <w:t>EVIELIO TINKLO KARTOTITUVŲ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4F28B2FF"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8C55AE">
        <w:rPr>
          <w:rFonts w:ascii="Times New Roman" w:eastAsia="Times New Roman" w:hAnsi="Times New Roman"/>
          <w:sz w:val="24"/>
          <w:szCs w:val="24"/>
        </w:rPr>
        <w:t>Biuro kėdės</w:t>
      </w:r>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4930B93C"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w:t>
      </w:r>
      <w:r w:rsidR="001100A7">
        <w:rPr>
          <w:rFonts w:ascii="Times New Roman" w:eastAsia="Times New Roman" w:hAnsi="Times New Roman"/>
          <w:sz w:val="24"/>
          <w:szCs w:val="24"/>
        </w:rPr>
        <w:t xml:space="preserve">bevielio tinklo </w:t>
      </w:r>
      <w:proofErr w:type="spellStart"/>
      <w:r w:rsidR="001100A7">
        <w:rPr>
          <w:rFonts w:ascii="Times New Roman" w:eastAsia="Times New Roman" w:hAnsi="Times New Roman"/>
          <w:sz w:val="24"/>
          <w:szCs w:val="24"/>
        </w:rPr>
        <w:t>kartotituvai</w:t>
      </w:r>
      <w:proofErr w:type="spellEnd"/>
      <w:r w:rsidR="00AD318F">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51628900"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 xml:space="preserve">per </w:t>
      </w:r>
      <w:r w:rsidR="001100A7">
        <w:rPr>
          <w:rFonts w:ascii="Times New Roman" w:eastAsia="Times New Roman" w:hAnsi="Times New Roman"/>
          <w:sz w:val="24"/>
          <w:szCs w:val="24"/>
        </w:rPr>
        <w:t>2 savaites</w:t>
      </w:r>
      <w:r w:rsidR="0032633D">
        <w:rPr>
          <w:rFonts w:ascii="Times New Roman" w:eastAsia="Times New Roman" w:hAnsi="Times New Roman"/>
          <w:sz w:val="24"/>
          <w:szCs w:val="24"/>
        </w:rPr>
        <w:t xml:space="preserve">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38B9C074"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1100A7">
        <w:rPr>
          <w:rFonts w:ascii="Times New Roman" w:hAnsi="Times New Roman"/>
          <w:color w:val="000000" w:themeColor="text1"/>
          <w:sz w:val="24"/>
          <w:szCs w:val="24"/>
        </w:rPr>
        <w:t>Karaliaus Mindaugo g. 18, Rukla;</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9712F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3"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726F482F"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w:t>
      </w:r>
      <w:r w:rsidR="001100A7">
        <w:rPr>
          <w:rFonts w:ascii="Times New Roman" w:hAnsi="Times New Roman"/>
          <w:color w:val="000000"/>
          <w:sz w:val="24"/>
          <w:szCs w:val="24"/>
        </w:rPr>
        <w:t xml:space="preserve"> balandžio</w:t>
      </w:r>
      <w:r w:rsidRPr="00D1432B">
        <w:rPr>
          <w:rFonts w:ascii="Times New Roman" w:hAnsi="Times New Roman"/>
          <w:color w:val="000000"/>
          <w:sz w:val="24"/>
          <w:szCs w:val="24"/>
        </w:rPr>
        <w:t xml:space="preserve"> </w:t>
      </w:r>
      <w:r w:rsidR="001100A7">
        <w:rPr>
          <w:rFonts w:ascii="Times New Roman" w:hAnsi="Times New Roman"/>
          <w:color w:val="000000"/>
          <w:sz w:val="24"/>
          <w:szCs w:val="24"/>
        </w:rPr>
        <w:t>7</w:t>
      </w:r>
      <w:r w:rsidRPr="00D1432B">
        <w:rPr>
          <w:rFonts w:ascii="Times New Roman" w:hAnsi="Times New Roman"/>
          <w:color w:val="000000"/>
          <w:sz w:val="24"/>
          <w:szCs w:val="24"/>
        </w:rPr>
        <w:t xml:space="preserve"> d. direktoriaus įsakymu Nr. VK-</w:t>
      </w:r>
      <w:r w:rsidR="001100A7">
        <w:rPr>
          <w:rFonts w:ascii="Times New Roman" w:hAnsi="Times New Roman"/>
          <w:color w:val="000000"/>
          <w:sz w:val="24"/>
          <w:szCs w:val="24"/>
        </w:rPr>
        <w:t>515</w:t>
      </w:r>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4"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5"/>
      <w:footerReference w:type="defaul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D8C49EF"/>
    <w:multiLevelType w:val="multilevel"/>
    <w:tmpl w:val="1C08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4"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9204A4"/>
    <w:multiLevelType w:val="multilevel"/>
    <w:tmpl w:val="5DA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7"/>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6"/>
  </w:num>
  <w:num w:numId="23">
    <w:abstractNumId w:val="18"/>
  </w:num>
  <w:num w:numId="24">
    <w:abstractNumId w:val="12"/>
  </w:num>
  <w:num w:numId="25">
    <w:abstractNumId w:val="16"/>
  </w:num>
  <w:num w:numId="26">
    <w:abstractNumId w:val="10"/>
  </w:num>
  <w:num w:numId="27">
    <w:abstractNumId w:val="19"/>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0A7"/>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41B"/>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256"/>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475B6"/>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B4859"/>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0235"/>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1ECC"/>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533C"/>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4122"/>
    <w:rsid w:val="008C55AE"/>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12FB"/>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318F"/>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 w:type="paragraph" w:customStyle="1" w:styleId="a1">
    <w:name w:val="a1"/>
    <w:basedOn w:val="prastasis"/>
    <w:rsid w:val="003475B6"/>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kg">
    <w:name w:val="kg"/>
    <w:basedOn w:val="Numatytasispastraiposriftas"/>
    <w:rsid w:val="003475B6"/>
  </w:style>
  <w:style w:type="character" w:customStyle="1" w:styleId="a11">
    <w:name w:val="a11"/>
    <w:basedOn w:val="Numatytasispastraiposriftas"/>
    <w:rsid w:val="0034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27E51-4325-46DC-A4B8-1300E00A3D6F}">
  <ds:schemaRefs>
    <ds:schemaRef ds:uri="http://schemas.microsoft.com/office/2006/metadata/properties"/>
    <ds:schemaRef ds:uri="http://schemas.microsoft.com/office/2006/documentManagement/types"/>
    <ds:schemaRef ds:uri="d44e4088-9f89-4dfc-868c-5b1bb7340ab6"/>
    <ds:schemaRef ds:uri="1dfd7ada-1fc0-4ec4-a980-6dd88fb76a22"/>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4.xml><?xml version="1.0" encoding="utf-8"?>
<ds:datastoreItem xmlns:ds="http://schemas.openxmlformats.org/officeDocument/2006/customXml" ds:itemID="{89D59195-C8C4-4786-958D-6644D534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Pages>
  <Words>26754</Words>
  <Characters>15250</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22</cp:revision>
  <cp:lastPrinted>2018-01-08T07:51:00Z</cp:lastPrinted>
  <dcterms:created xsi:type="dcterms:W3CDTF">2024-10-22T12:37:00Z</dcterms:created>
  <dcterms:modified xsi:type="dcterms:W3CDTF">2025-04-09T13:13:00Z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