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65E0C" w14:textId="77777777" w:rsidR="00F27FF7" w:rsidRPr="007677CB" w:rsidRDefault="00F27FF7" w:rsidP="009E7530">
      <w:pPr>
        <w:tabs>
          <w:tab w:val="left" w:pos="5387"/>
        </w:tabs>
        <w:suppressAutoHyphens/>
        <w:ind w:left="5387"/>
        <w:rPr>
          <w:rFonts w:eastAsia="Arial"/>
          <w:sz w:val="22"/>
          <w:szCs w:val="22"/>
          <w:lang w:eastAsia="ar-SA"/>
        </w:rPr>
      </w:pPr>
      <w:r w:rsidRPr="007677CB">
        <w:rPr>
          <w:rFonts w:eastAsia="Arial"/>
          <w:sz w:val="22"/>
          <w:szCs w:val="22"/>
          <w:lang w:eastAsia="ar-SA"/>
        </w:rPr>
        <w:t>PATVIRTINTA</w:t>
      </w:r>
    </w:p>
    <w:p w14:paraId="0D3D6401" w14:textId="6E2AAAC9" w:rsidR="006F7464" w:rsidRPr="007677CB" w:rsidRDefault="00F27FF7" w:rsidP="009E7530">
      <w:pPr>
        <w:tabs>
          <w:tab w:val="left" w:pos="5387"/>
        </w:tabs>
        <w:suppressAutoHyphens/>
        <w:ind w:left="5387"/>
        <w:rPr>
          <w:rFonts w:eastAsia="Arial"/>
          <w:sz w:val="22"/>
          <w:szCs w:val="22"/>
          <w:lang w:eastAsia="ar-SA"/>
        </w:rPr>
      </w:pPr>
      <w:r w:rsidRPr="007677CB">
        <w:rPr>
          <w:rFonts w:eastAsia="Arial"/>
          <w:sz w:val="22"/>
          <w:szCs w:val="22"/>
          <w:lang w:eastAsia="ar-SA"/>
        </w:rPr>
        <w:t xml:space="preserve">Viešųjų pirkimų komisijos 2024 m. </w:t>
      </w:r>
      <w:r w:rsidR="00DF6B20" w:rsidRPr="007677CB">
        <w:rPr>
          <w:rFonts w:eastAsia="Arial"/>
          <w:sz w:val="22"/>
          <w:szCs w:val="22"/>
          <w:lang w:eastAsia="ar-SA"/>
        </w:rPr>
        <w:t>spalio</w:t>
      </w:r>
      <w:r w:rsidRPr="007677CB">
        <w:rPr>
          <w:rFonts w:eastAsia="Arial"/>
          <w:sz w:val="22"/>
          <w:szCs w:val="22"/>
          <w:lang w:eastAsia="ar-SA"/>
        </w:rPr>
        <w:t xml:space="preserve"> </w:t>
      </w:r>
      <w:r w:rsidR="008C0630" w:rsidRPr="007677CB">
        <w:rPr>
          <w:rFonts w:eastAsia="Arial"/>
          <w:sz w:val="22"/>
          <w:szCs w:val="22"/>
          <w:lang w:eastAsia="ar-SA"/>
        </w:rPr>
        <w:t>1</w:t>
      </w:r>
      <w:r w:rsidR="007677CB" w:rsidRPr="007677CB">
        <w:rPr>
          <w:rFonts w:eastAsia="Arial"/>
          <w:sz w:val="22"/>
          <w:szCs w:val="22"/>
          <w:lang w:eastAsia="ar-SA"/>
        </w:rPr>
        <w:t>6</w:t>
      </w:r>
      <w:r w:rsidRPr="007677CB">
        <w:rPr>
          <w:rFonts w:eastAsia="Arial"/>
          <w:sz w:val="22"/>
          <w:szCs w:val="22"/>
          <w:lang w:eastAsia="ar-SA"/>
        </w:rPr>
        <w:t xml:space="preserve"> d. posėdžio protokolu Nr. 24VPK-</w:t>
      </w:r>
      <w:r w:rsidR="007677CB" w:rsidRPr="007677CB">
        <w:rPr>
          <w:rFonts w:eastAsia="Arial"/>
          <w:sz w:val="22"/>
          <w:szCs w:val="22"/>
          <w:lang w:eastAsia="ar-SA"/>
        </w:rPr>
        <w:t>3452</w:t>
      </w:r>
    </w:p>
    <w:p w14:paraId="50A441AF" w14:textId="77777777" w:rsidR="007F4EFF" w:rsidRPr="00394DC6" w:rsidRDefault="007F4EFF" w:rsidP="007F4EFF">
      <w:pPr>
        <w:tabs>
          <w:tab w:val="left" w:pos="5670"/>
        </w:tabs>
        <w:suppressAutoHyphens/>
        <w:ind w:left="5529"/>
        <w:rPr>
          <w:b/>
          <w:bCs/>
          <w:color w:val="000000" w:themeColor="text1"/>
        </w:rPr>
      </w:pPr>
    </w:p>
    <w:p w14:paraId="4932D8A7" w14:textId="0907D9DB" w:rsidR="009C5161" w:rsidRPr="00394DC6" w:rsidRDefault="001F6C0C" w:rsidP="001F6C0C">
      <w:pPr>
        <w:pStyle w:val="Title"/>
        <w:keepNext/>
        <w:tabs>
          <w:tab w:val="left" w:pos="990"/>
          <w:tab w:val="center" w:pos="5455"/>
        </w:tabs>
        <w:spacing w:line="240" w:lineRule="auto"/>
        <w:jc w:val="center"/>
        <w:rPr>
          <w:rFonts w:ascii="Times New Roman" w:eastAsia="Times New Roman" w:hAnsi="Times New Roman" w:cs="Times New Roman"/>
          <w:b/>
          <w:sz w:val="24"/>
          <w:szCs w:val="24"/>
        </w:rPr>
      </w:pPr>
      <w:r w:rsidRPr="00394DC6">
        <w:rPr>
          <w:rFonts w:ascii="Times New Roman" w:hAnsi="Times New Roman" w:cs="Times New Roman"/>
          <w:b/>
          <w:bCs/>
          <w:color w:val="000000" w:themeColor="text1"/>
          <w:sz w:val="24"/>
          <w:szCs w:val="24"/>
        </w:rPr>
        <w:t>VŠĮ VILNIAUS UNIVERSITETO LIGONINĖ SANTAROS KLINIKOS</w:t>
      </w:r>
    </w:p>
    <w:p w14:paraId="3EAE4CD2" w14:textId="77777777" w:rsidR="009C5161" w:rsidRPr="00394DC6" w:rsidRDefault="009C5161">
      <w:pPr>
        <w:pBdr>
          <w:top w:val="nil"/>
          <w:left w:val="nil"/>
          <w:bottom w:val="nil"/>
          <w:right w:val="nil"/>
          <w:between w:val="nil"/>
        </w:pBdr>
        <w:jc w:val="both"/>
        <w:rPr>
          <w:color w:val="000000"/>
        </w:rPr>
      </w:pPr>
    </w:p>
    <w:p w14:paraId="3FC5D913" w14:textId="3CFA0206" w:rsidR="009C5161" w:rsidRPr="00394DC6" w:rsidRDefault="003F6772">
      <w:pPr>
        <w:pStyle w:val="Title"/>
        <w:keepNext/>
        <w:spacing w:line="240" w:lineRule="auto"/>
        <w:jc w:val="center"/>
        <w:rPr>
          <w:rFonts w:ascii="Times New Roman" w:eastAsia="Times New Roman" w:hAnsi="Times New Roman" w:cs="Times New Roman"/>
          <w:b/>
          <w:sz w:val="24"/>
          <w:szCs w:val="24"/>
        </w:rPr>
      </w:pPr>
      <w:r w:rsidRPr="00394DC6">
        <w:rPr>
          <w:rFonts w:ascii="Times New Roman" w:eastAsia="Times New Roman" w:hAnsi="Times New Roman" w:cs="Times New Roman"/>
          <w:b/>
          <w:sz w:val="24"/>
          <w:szCs w:val="24"/>
        </w:rPr>
        <w:t>SPECIALIOSIOS PIRKIMO SĄLYGOS</w:t>
      </w:r>
    </w:p>
    <w:p w14:paraId="7498D8FB" w14:textId="68211CA4" w:rsidR="00720D8B" w:rsidRPr="003A7649" w:rsidRDefault="00260DAA" w:rsidP="00720D8B">
      <w:pPr>
        <w:pStyle w:val="Title"/>
        <w:keepNext/>
        <w:spacing w:line="240" w:lineRule="auto"/>
        <w:jc w:val="center"/>
        <w:rPr>
          <w:rFonts w:ascii="Times New Roman" w:eastAsia="Times New Roman" w:hAnsi="Times New Roman" w:cs="Times New Roman"/>
          <w:b/>
          <w:sz w:val="24"/>
          <w:szCs w:val="24"/>
        </w:rPr>
      </w:pPr>
      <w:r w:rsidRPr="00260DAA">
        <w:rPr>
          <w:rFonts w:ascii="Times New Roman" w:eastAsia="Times New Roman" w:hAnsi="Times New Roman" w:cs="Times New Roman"/>
          <w:b/>
          <w:sz w:val="24"/>
          <w:szCs w:val="24"/>
        </w:rPr>
        <w:t>ODONTOLOGINIAI INSTRUMENTAI (3) (NR. 9314)</w:t>
      </w:r>
    </w:p>
    <w:p w14:paraId="296B3869" w14:textId="77777777" w:rsidR="00542A04" w:rsidRPr="00394DC6" w:rsidRDefault="00542A04" w:rsidP="00542A04">
      <w:pPr>
        <w:pBdr>
          <w:top w:val="nil"/>
          <w:left w:val="nil"/>
          <w:bottom w:val="nil"/>
          <w:right w:val="nil"/>
          <w:between w:val="nil"/>
        </w:pBdr>
        <w:rPr>
          <w:b/>
          <w:smallCaps/>
          <w:color w:val="000000"/>
          <w:sz w:val="22"/>
          <w:szCs w:val="22"/>
        </w:rPr>
      </w:pPr>
    </w:p>
    <w:p w14:paraId="6983A144" w14:textId="15F12872" w:rsidR="009C5161" w:rsidRPr="00394DC6" w:rsidRDefault="003F6772">
      <w:pPr>
        <w:pBdr>
          <w:top w:val="nil"/>
          <w:left w:val="nil"/>
          <w:bottom w:val="nil"/>
          <w:right w:val="nil"/>
          <w:between w:val="nil"/>
        </w:pBdr>
        <w:spacing w:after="40"/>
        <w:jc w:val="both"/>
        <w:rPr>
          <w:color w:val="000000"/>
          <w:sz w:val="22"/>
          <w:szCs w:val="22"/>
        </w:rPr>
      </w:pPr>
      <w:r w:rsidRPr="00394DC6">
        <w:rPr>
          <w:color w:val="000000"/>
          <w:sz w:val="22"/>
          <w:szCs w:val="22"/>
        </w:rPr>
        <w:tab/>
        <w:t xml:space="preserve">1. </w:t>
      </w:r>
      <w:r w:rsidR="005E136B" w:rsidRPr="00C010F7">
        <w:rPr>
          <w:sz w:val="22"/>
          <w:szCs w:val="22"/>
        </w:rPr>
        <w:t>VšĮ Vilniaus universiteto ligoninė Santaros klinikos (toliau - PO), vykdydama viešąjį pirkimą numato įsigyti prekes (toliau - prekės), nurodytas SPS 1 priede „Techninė specifikacija ir pasiūlymo kaina“.</w:t>
      </w:r>
    </w:p>
    <w:p w14:paraId="79CE97F3" w14:textId="436EEACD" w:rsidR="009C5161" w:rsidRPr="00394DC6" w:rsidRDefault="003F6772">
      <w:pPr>
        <w:pBdr>
          <w:top w:val="nil"/>
          <w:left w:val="nil"/>
          <w:bottom w:val="nil"/>
          <w:right w:val="nil"/>
          <w:between w:val="nil"/>
        </w:pBdr>
        <w:spacing w:after="40"/>
        <w:jc w:val="both"/>
        <w:rPr>
          <w:color w:val="000000"/>
          <w:sz w:val="22"/>
          <w:szCs w:val="22"/>
        </w:rPr>
      </w:pPr>
      <w:r w:rsidRPr="00394DC6">
        <w:rPr>
          <w:color w:val="000000"/>
          <w:sz w:val="22"/>
          <w:szCs w:val="22"/>
        </w:rPr>
        <w:tab/>
        <w:t>2. PO vykdo tarptautinį pirkimą atviro konkurso būdu.</w:t>
      </w:r>
    </w:p>
    <w:p w14:paraId="05A834D9" w14:textId="5BFAB809" w:rsidR="009C5161" w:rsidRPr="00394DC6" w:rsidRDefault="003F6772">
      <w:pPr>
        <w:pBdr>
          <w:top w:val="nil"/>
          <w:left w:val="nil"/>
          <w:bottom w:val="nil"/>
          <w:right w:val="nil"/>
          <w:between w:val="nil"/>
        </w:pBdr>
        <w:spacing w:after="40"/>
        <w:jc w:val="both"/>
        <w:rPr>
          <w:color w:val="000000"/>
          <w:sz w:val="22"/>
          <w:szCs w:val="22"/>
        </w:rPr>
      </w:pPr>
      <w:r w:rsidRPr="00394DC6">
        <w:rPr>
          <w:color w:val="000000"/>
          <w:sz w:val="22"/>
          <w:szCs w:val="22"/>
        </w:rPr>
        <w:tab/>
        <w:t>3. Išankstinis skelbimas apie pirkimą nebuvo paskelbtas.</w:t>
      </w:r>
    </w:p>
    <w:p w14:paraId="21002E25" w14:textId="1E9B217A" w:rsidR="009C5161" w:rsidRPr="00394DC6" w:rsidRDefault="003F6772">
      <w:pPr>
        <w:pBdr>
          <w:top w:val="nil"/>
          <w:left w:val="nil"/>
          <w:bottom w:val="nil"/>
          <w:right w:val="nil"/>
          <w:between w:val="nil"/>
        </w:pBdr>
        <w:spacing w:after="40"/>
        <w:jc w:val="both"/>
        <w:rPr>
          <w:color w:val="000000"/>
          <w:sz w:val="22"/>
          <w:szCs w:val="22"/>
        </w:rPr>
      </w:pPr>
      <w:r w:rsidRPr="00394DC6">
        <w:rPr>
          <w:color w:val="000000"/>
          <w:sz w:val="22"/>
          <w:szCs w:val="22"/>
        </w:rPr>
        <w:tab/>
        <w:t xml:space="preserve">4. </w:t>
      </w:r>
      <w:r w:rsidR="003F7D76" w:rsidRPr="00394DC6">
        <w:rPr>
          <w:color w:val="000000"/>
          <w:sz w:val="22"/>
          <w:szCs w:val="22"/>
        </w:rPr>
        <w:t xml:space="preserve">Tiesioginį ryšį su tiekėjais įgaliotas palaikyti perkančiosios organizacijos atstovas: Viešųjų pirkimų skyriaus vyriausiasis specialistas Artūras Zalaga, tel. 8 688 62764, el. p. </w:t>
      </w:r>
      <w:proofErr w:type="spellStart"/>
      <w:r w:rsidR="003F7D76" w:rsidRPr="00394DC6">
        <w:rPr>
          <w:color w:val="000000"/>
          <w:sz w:val="22"/>
          <w:szCs w:val="22"/>
        </w:rPr>
        <w:t>arturas.zalaga@santa.lt</w:t>
      </w:r>
      <w:proofErr w:type="spellEnd"/>
      <w:r w:rsidR="003F7D76" w:rsidRPr="00394DC6">
        <w:rPr>
          <w:color w:val="000000"/>
          <w:sz w:val="22"/>
          <w:szCs w:val="22"/>
        </w:rPr>
        <w:t>.</w:t>
      </w:r>
    </w:p>
    <w:p w14:paraId="118E35BF" w14:textId="01A0D371" w:rsidR="005E5E6E" w:rsidRPr="00394DC6" w:rsidRDefault="003F6772" w:rsidP="00A46C6C">
      <w:pPr>
        <w:pBdr>
          <w:top w:val="nil"/>
          <w:left w:val="nil"/>
          <w:bottom w:val="nil"/>
          <w:right w:val="nil"/>
          <w:between w:val="nil"/>
        </w:pBdr>
        <w:spacing w:after="40"/>
        <w:jc w:val="both"/>
        <w:rPr>
          <w:color w:val="000000"/>
          <w:sz w:val="22"/>
          <w:szCs w:val="22"/>
        </w:rPr>
      </w:pPr>
      <w:r w:rsidRPr="00394DC6">
        <w:rPr>
          <w:color w:val="000000"/>
          <w:sz w:val="22"/>
          <w:szCs w:val="22"/>
        </w:rPr>
        <w:tab/>
        <w:t>5. </w:t>
      </w:r>
      <w:r w:rsidR="005E136B" w:rsidRPr="00C010F7">
        <w:rPr>
          <w:sz w:val="22"/>
          <w:szCs w:val="22"/>
        </w:rPr>
        <w:t>Pirkimo objektas yra prekės, nurodytos SPS 1 priede „Techninė specifikacija ir pasiūlymo kaina“.</w:t>
      </w:r>
    </w:p>
    <w:p w14:paraId="0B0A7ACB" w14:textId="3FC5AE7B" w:rsidR="005E5E6E" w:rsidRPr="00394DC6" w:rsidRDefault="005E5E6E" w:rsidP="005E5E6E">
      <w:pPr>
        <w:pBdr>
          <w:top w:val="nil"/>
          <w:left w:val="nil"/>
          <w:bottom w:val="nil"/>
          <w:right w:val="nil"/>
          <w:between w:val="nil"/>
        </w:pBdr>
        <w:spacing w:after="40"/>
        <w:ind w:firstLine="709"/>
        <w:jc w:val="both"/>
        <w:rPr>
          <w:sz w:val="22"/>
          <w:szCs w:val="22"/>
        </w:rPr>
      </w:pPr>
      <w:r w:rsidRPr="00394DC6">
        <w:rPr>
          <w:sz w:val="22"/>
          <w:szCs w:val="22"/>
        </w:rPr>
        <w:t xml:space="preserve">6. </w:t>
      </w:r>
      <w:r w:rsidR="005E136B" w:rsidRPr="005E136B">
        <w:rPr>
          <w:sz w:val="22"/>
          <w:szCs w:val="22"/>
        </w:rPr>
        <w:t>Pirkimas skaidomas į pirkimo dalis, kurios nurodytos SPS 1 priede „Techninė specifikacija ir pasiūlymo kaina“.</w:t>
      </w:r>
    </w:p>
    <w:p w14:paraId="2B5B1167" w14:textId="21816F42" w:rsidR="009C5161" w:rsidRDefault="003F6772" w:rsidP="00A46C6C">
      <w:pPr>
        <w:pBdr>
          <w:top w:val="nil"/>
          <w:left w:val="nil"/>
          <w:bottom w:val="nil"/>
          <w:right w:val="nil"/>
          <w:between w:val="nil"/>
        </w:pBdr>
        <w:spacing w:after="40"/>
        <w:jc w:val="both"/>
        <w:rPr>
          <w:color w:val="000000"/>
          <w:sz w:val="22"/>
          <w:szCs w:val="22"/>
        </w:rPr>
      </w:pPr>
      <w:r w:rsidRPr="00394DC6">
        <w:rPr>
          <w:color w:val="000000"/>
          <w:sz w:val="22"/>
          <w:szCs w:val="22"/>
        </w:rPr>
        <w:tab/>
        <w:t>7. Reikalavimai pirkimo objektui nurodyti SPS 1 priede „</w:t>
      </w:r>
      <w:r w:rsidR="008D52A0" w:rsidRPr="00394DC6">
        <w:rPr>
          <w:color w:val="000000"/>
          <w:sz w:val="22"/>
          <w:szCs w:val="22"/>
        </w:rPr>
        <w:t>Techninė specifikacija ir pasiūlymo kaina</w:t>
      </w:r>
      <w:r w:rsidRPr="00394DC6">
        <w:rPr>
          <w:color w:val="000000"/>
          <w:sz w:val="22"/>
          <w:szCs w:val="22"/>
        </w:rPr>
        <w:t>“ ir SPS 2 priede „Viešojo pirkimo sutarties projektas“.</w:t>
      </w:r>
    </w:p>
    <w:p w14:paraId="32FC407F" w14:textId="77777777" w:rsidR="0098291C" w:rsidRPr="00C010F7" w:rsidRDefault="0098291C" w:rsidP="0098291C">
      <w:pPr>
        <w:pBdr>
          <w:top w:val="nil"/>
          <w:left w:val="nil"/>
          <w:bottom w:val="nil"/>
          <w:right w:val="nil"/>
          <w:between w:val="nil"/>
        </w:pBdr>
        <w:spacing w:after="40"/>
        <w:ind w:firstLine="709"/>
        <w:jc w:val="both"/>
        <w:rPr>
          <w:sz w:val="22"/>
          <w:szCs w:val="22"/>
        </w:rPr>
      </w:pPr>
      <w:r>
        <w:rPr>
          <w:sz w:val="22"/>
          <w:szCs w:val="22"/>
        </w:rPr>
        <w:t xml:space="preserve">Pastaba. </w:t>
      </w:r>
      <w:r>
        <w:rPr>
          <w:i/>
          <w:iCs/>
          <w:sz w:val="22"/>
          <w:szCs w:val="22"/>
        </w:rPr>
        <w:t>Techninėje specifikacijoje, jos prieduose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CB3CAF3" w14:textId="1471A0A0" w:rsidR="00861CE5" w:rsidRPr="00D5379D" w:rsidRDefault="003F6772" w:rsidP="006C46F7">
      <w:pPr>
        <w:pBdr>
          <w:top w:val="nil"/>
          <w:left w:val="nil"/>
          <w:bottom w:val="nil"/>
          <w:right w:val="nil"/>
          <w:between w:val="nil"/>
        </w:pBdr>
        <w:spacing w:after="40"/>
        <w:jc w:val="both"/>
        <w:rPr>
          <w:sz w:val="22"/>
          <w:szCs w:val="22"/>
        </w:rPr>
      </w:pPr>
      <w:r w:rsidRPr="00D5379D">
        <w:rPr>
          <w:sz w:val="22"/>
          <w:szCs w:val="22"/>
        </w:rPr>
        <w:tab/>
        <w:t xml:space="preserve">8. </w:t>
      </w:r>
      <w:r w:rsidR="00720D8B" w:rsidRPr="00C010F7">
        <w:rPr>
          <w:sz w:val="22"/>
          <w:szCs w:val="22"/>
        </w:rPr>
        <w:t xml:space="preserve">Tiekėjo įsipareigojimų įvykdymo vieta yra </w:t>
      </w:r>
      <w:r w:rsidR="00720D8B" w:rsidRPr="002C1EF5">
        <w:rPr>
          <w:sz w:val="22"/>
          <w:szCs w:val="22"/>
        </w:rPr>
        <w:t>Žalgirio g. 115, Vilnius</w:t>
      </w:r>
      <w:r w:rsidR="00861CE5" w:rsidRPr="003E5588">
        <w:rPr>
          <w:sz w:val="22"/>
          <w:szCs w:val="22"/>
        </w:rPr>
        <w:t>.</w:t>
      </w:r>
    </w:p>
    <w:p w14:paraId="1B0478E1" w14:textId="47BDE623" w:rsidR="009C5161" w:rsidRPr="0095664B" w:rsidRDefault="003F6772">
      <w:pPr>
        <w:pBdr>
          <w:top w:val="nil"/>
          <w:left w:val="nil"/>
          <w:bottom w:val="nil"/>
          <w:right w:val="nil"/>
          <w:between w:val="nil"/>
        </w:pBdr>
        <w:spacing w:after="40"/>
        <w:jc w:val="both"/>
        <w:rPr>
          <w:color w:val="000000"/>
          <w:sz w:val="22"/>
          <w:szCs w:val="22"/>
        </w:rPr>
      </w:pPr>
      <w:r w:rsidRPr="00394DC6">
        <w:rPr>
          <w:color w:val="000000"/>
          <w:sz w:val="22"/>
          <w:szCs w:val="22"/>
        </w:rPr>
        <w:tab/>
        <w:t xml:space="preserve">9. </w:t>
      </w:r>
      <w:r w:rsidRPr="0095664B">
        <w:rPr>
          <w:color w:val="000000"/>
          <w:sz w:val="22"/>
          <w:szCs w:val="22"/>
        </w:rPr>
        <w:t>EBVPD pildomas pagal SPS 3 priede pateiktą failą</w:t>
      </w:r>
      <w:r w:rsidR="003F7D76" w:rsidRPr="0095664B">
        <w:rPr>
          <w:color w:val="000000"/>
          <w:sz w:val="22"/>
          <w:szCs w:val="22"/>
        </w:rPr>
        <w:t xml:space="preserve"> </w:t>
      </w:r>
      <w:r w:rsidRPr="0095664B">
        <w:rPr>
          <w:color w:val="000000"/>
          <w:sz w:val="22"/>
          <w:szCs w:val="22"/>
        </w:rPr>
        <w:t>/</w:t>
      </w:r>
      <w:r w:rsidR="003F7D76" w:rsidRPr="0095664B">
        <w:rPr>
          <w:color w:val="000000"/>
          <w:sz w:val="22"/>
          <w:szCs w:val="22"/>
        </w:rPr>
        <w:t xml:space="preserve"> </w:t>
      </w:r>
      <w:r w:rsidRPr="0095664B">
        <w:rPr>
          <w:color w:val="000000"/>
          <w:sz w:val="22"/>
          <w:szCs w:val="22"/>
        </w:rPr>
        <w:t xml:space="preserve">šabloną. </w:t>
      </w:r>
    </w:p>
    <w:p w14:paraId="3DCEFB87" w14:textId="5D52510F" w:rsidR="001F6C0C" w:rsidRPr="0095664B" w:rsidRDefault="003F6772" w:rsidP="00AA6DE2">
      <w:pPr>
        <w:pBdr>
          <w:top w:val="nil"/>
          <w:left w:val="nil"/>
          <w:bottom w:val="nil"/>
          <w:right w:val="nil"/>
          <w:between w:val="nil"/>
        </w:pBdr>
        <w:spacing w:after="40"/>
        <w:jc w:val="both"/>
        <w:rPr>
          <w:color w:val="000000"/>
          <w:sz w:val="22"/>
          <w:szCs w:val="22"/>
        </w:rPr>
      </w:pPr>
      <w:r w:rsidRPr="0095664B">
        <w:rPr>
          <w:color w:val="000000"/>
          <w:sz w:val="22"/>
          <w:szCs w:val="22"/>
        </w:rPr>
        <w:tab/>
        <w:t xml:space="preserve">10. </w:t>
      </w:r>
      <w:r w:rsidR="005C195D" w:rsidRPr="0095664B">
        <w:rPr>
          <w:color w:val="000000"/>
          <w:sz w:val="22"/>
          <w:szCs w:val="22"/>
        </w:rPr>
        <w:t>Tiekėjo pašalinimo pagrindai ir jų nebuvimą patvirtinantys dokumentai nurodyti BPS 3 skyriuje.</w:t>
      </w:r>
    </w:p>
    <w:p w14:paraId="4A580C3D" w14:textId="5B32B0AB" w:rsidR="009C5161" w:rsidRPr="0095664B" w:rsidRDefault="001F6C0C" w:rsidP="00AA6DE2">
      <w:pPr>
        <w:pStyle w:val="Body2"/>
        <w:rPr>
          <w:color w:val="auto"/>
          <w:lang w:val="lt-LT"/>
        </w:rPr>
      </w:pPr>
      <w:r w:rsidRPr="0095664B">
        <w:rPr>
          <w:color w:val="587B3C"/>
          <w:lang w:val="lt-LT"/>
        </w:rPr>
        <w:tab/>
      </w:r>
      <w:r w:rsidRPr="0095664B">
        <w:rPr>
          <w:color w:val="auto"/>
          <w:lang w:val="lt-LT"/>
        </w:rPr>
        <w:t xml:space="preserve">11. </w:t>
      </w:r>
      <w:bookmarkStart w:id="0" w:name="_Hlk89686135"/>
      <w:r w:rsidRPr="0095664B">
        <w:rPr>
          <w:color w:val="auto"/>
          <w:lang w:val="lt-LT"/>
        </w:rPr>
        <w:t>Perkančioji organizacija netaiko kvalifikacinių reikalavimų tiekėjams.</w:t>
      </w:r>
      <w:bookmarkEnd w:id="0"/>
    </w:p>
    <w:p w14:paraId="36566244" w14:textId="506E1360" w:rsidR="00EE7ECF" w:rsidRPr="0095664B" w:rsidRDefault="003F6772" w:rsidP="00AA6DE2">
      <w:pPr>
        <w:pBdr>
          <w:top w:val="nil"/>
          <w:left w:val="nil"/>
          <w:bottom w:val="nil"/>
          <w:right w:val="nil"/>
          <w:between w:val="nil"/>
        </w:pBdr>
        <w:spacing w:after="40"/>
        <w:ind w:firstLine="720"/>
        <w:jc w:val="both"/>
        <w:rPr>
          <w:sz w:val="22"/>
          <w:szCs w:val="22"/>
        </w:rPr>
      </w:pPr>
      <w:r w:rsidRPr="0095664B">
        <w:rPr>
          <w:sz w:val="22"/>
          <w:szCs w:val="22"/>
        </w:rPr>
        <w:t>12. Kitų atrankos reikalavimų tiekėjams nenustatoma.</w:t>
      </w:r>
    </w:p>
    <w:p w14:paraId="70E28D21" w14:textId="42B075CD" w:rsidR="00EE7ECF" w:rsidRPr="0095664B" w:rsidRDefault="00EE7ECF" w:rsidP="00AA6DE2">
      <w:pPr>
        <w:pStyle w:val="Body2"/>
        <w:rPr>
          <w:color w:val="auto"/>
          <w:lang w:val="lt-LT"/>
        </w:rPr>
      </w:pPr>
      <w:r w:rsidRPr="0095664B">
        <w:rPr>
          <w:color w:val="auto"/>
          <w:lang w:val="lt-LT"/>
        </w:rPr>
        <w:tab/>
        <w:t>13. Pasiūlymo galiojimo užtikrinimas nereikalaujamas.</w:t>
      </w:r>
    </w:p>
    <w:p w14:paraId="3CD2CEF8" w14:textId="70305A30" w:rsidR="00EE7ECF" w:rsidRPr="0095664B" w:rsidRDefault="003F6772" w:rsidP="000F2C45">
      <w:pPr>
        <w:jc w:val="both"/>
        <w:rPr>
          <w:color w:val="000000" w:themeColor="text1"/>
          <w:sz w:val="22"/>
          <w:szCs w:val="22"/>
          <w:shd w:val="clear" w:color="auto" w:fill="FFFFFF" w:themeFill="background1"/>
        </w:rPr>
      </w:pPr>
      <w:r w:rsidRPr="0095664B">
        <w:rPr>
          <w:sz w:val="22"/>
          <w:szCs w:val="22"/>
        </w:rPr>
        <w:tab/>
      </w:r>
      <w:r w:rsidR="00EE7ECF" w:rsidRPr="0095664B">
        <w:rPr>
          <w:rFonts w:eastAsia="Arial Unicode MS"/>
          <w:sz w:val="22"/>
          <w:szCs w:val="22"/>
        </w:rPr>
        <w:t xml:space="preserve">14. </w:t>
      </w:r>
      <w:r w:rsidR="00720D8B" w:rsidRPr="005624D0">
        <w:rPr>
          <w:rFonts w:eastAsia="Arial Unicode MS"/>
        </w:rPr>
        <w:t>Siūlomo pirkimo objekto pavyzdžiai nereikalaujami</w:t>
      </w:r>
      <w:r w:rsidR="00D266AE" w:rsidRPr="007E0698">
        <w:rPr>
          <w:rFonts w:eastAsia="Arial Unicode MS"/>
          <w:sz w:val="22"/>
          <w:szCs w:val="22"/>
        </w:rPr>
        <w:t>.</w:t>
      </w:r>
    </w:p>
    <w:p w14:paraId="13077591" w14:textId="24C89538" w:rsidR="009C5161" w:rsidRPr="0095664B" w:rsidRDefault="00EE7ECF" w:rsidP="003F7D76">
      <w:pPr>
        <w:pStyle w:val="Body2"/>
      </w:pPr>
      <w:r w:rsidRPr="0095664B">
        <w:rPr>
          <w:rFonts w:eastAsia="Arial Unicode MS"/>
          <w:color w:val="auto"/>
          <w:lang w:val="lt-LT"/>
        </w:rPr>
        <w:tab/>
      </w:r>
      <w:r w:rsidR="003F6772" w:rsidRPr="0095664B">
        <w:t>15. PO atsako į CVPIS prašymą dėl pirkimo dokumentų, jei prašymas yra pateiktas likus 9 kalendorinėms dienoms iki pasiūlymų pateikimo termino pabaigos.</w:t>
      </w:r>
    </w:p>
    <w:p w14:paraId="2035FA8B" w14:textId="115BFD01" w:rsidR="009C5161" w:rsidRPr="00394DC6" w:rsidRDefault="003F6772">
      <w:pPr>
        <w:pBdr>
          <w:top w:val="nil"/>
          <w:left w:val="nil"/>
          <w:bottom w:val="nil"/>
          <w:right w:val="nil"/>
          <w:between w:val="nil"/>
        </w:pBdr>
        <w:spacing w:after="40"/>
        <w:jc w:val="both"/>
        <w:rPr>
          <w:color w:val="000000"/>
          <w:sz w:val="22"/>
          <w:szCs w:val="22"/>
        </w:rPr>
      </w:pPr>
      <w:r w:rsidRPr="00394DC6">
        <w:rPr>
          <w:color w:val="000000"/>
          <w:sz w:val="22"/>
          <w:szCs w:val="22"/>
        </w:rPr>
        <w:tab/>
        <w:t xml:space="preserve">16. Tiekėjo CVPIS prašymu papildomi pirkimo dokumentai (paaiškinimai ar pataisymai) pateikiami ne vėliau kaip likus 6 kalendorinėms dienoms iki pasiūlymų pateikimo termino pabaigos, jei jų paprašyta laiku. </w:t>
      </w:r>
    </w:p>
    <w:p w14:paraId="51D9692E" w14:textId="37C7C029" w:rsidR="009C5161" w:rsidRPr="00394DC6" w:rsidRDefault="003F6772">
      <w:pPr>
        <w:pBdr>
          <w:top w:val="nil"/>
          <w:left w:val="nil"/>
          <w:bottom w:val="nil"/>
          <w:right w:val="nil"/>
          <w:between w:val="nil"/>
        </w:pBdr>
        <w:spacing w:after="40"/>
        <w:jc w:val="both"/>
        <w:rPr>
          <w:sz w:val="22"/>
          <w:szCs w:val="22"/>
        </w:rPr>
      </w:pPr>
      <w:r w:rsidRPr="00394DC6">
        <w:rPr>
          <w:color w:val="000000"/>
          <w:sz w:val="22"/>
          <w:szCs w:val="22"/>
        </w:rPr>
        <w:tab/>
      </w:r>
      <w:r w:rsidRPr="00394DC6">
        <w:rPr>
          <w:sz w:val="22"/>
          <w:szCs w:val="22"/>
        </w:rPr>
        <w:t xml:space="preserve">17. PO </w:t>
      </w:r>
      <w:r w:rsidR="00766C02" w:rsidRPr="00394DC6">
        <w:rPr>
          <w:sz w:val="22"/>
          <w:szCs w:val="22"/>
        </w:rPr>
        <w:t>nerengs</w:t>
      </w:r>
      <w:r w:rsidRPr="00394DC6">
        <w:rPr>
          <w:sz w:val="22"/>
          <w:szCs w:val="22"/>
        </w:rPr>
        <w:t xml:space="preserve"> susitikimų su tiekėjais.</w:t>
      </w:r>
    </w:p>
    <w:p w14:paraId="7F9976CF" w14:textId="312B4BA5" w:rsidR="0095664B" w:rsidRDefault="003F6772" w:rsidP="0098291C">
      <w:pPr>
        <w:pBdr>
          <w:top w:val="nil"/>
          <w:left w:val="nil"/>
          <w:bottom w:val="nil"/>
          <w:right w:val="nil"/>
          <w:between w:val="nil"/>
        </w:pBdr>
        <w:spacing w:after="40"/>
        <w:jc w:val="both"/>
        <w:rPr>
          <w:sz w:val="22"/>
          <w:szCs w:val="22"/>
        </w:rPr>
      </w:pPr>
      <w:r w:rsidRPr="006C46F7">
        <w:rPr>
          <w:sz w:val="22"/>
          <w:szCs w:val="22"/>
        </w:rPr>
        <w:tab/>
      </w:r>
      <w:r w:rsidR="00A14AD5" w:rsidRPr="0098291C">
        <w:rPr>
          <w:sz w:val="22"/>
          <w:szCs w:val="22"/>
        </w:rPr>
        <w:t xml:space="preserve">18. </w:t>
      </w:r>
      <w:r w:rsidR="0098291C" w:rsidRPr="0098291C">
        <w:rPr>
          <w:sz w:val="22"/>
          <w:szCs w:val="22"/>
        </w:rPr>
        <w:t>Perkančioji organizacija ekonomiškai naudingiausią pasiūlymą išrenka pagal mažiausią kainą. Maksimali pasiūlymo (vertinamoji) kaina, kurią viršijus pasiūlymas bus atmestas, yra nurodyta SPS 1 priede „Techninė specifikacija ir pasiūlymo kaina“*.</w:t>
      </w:r>
    </w:p>
    <w:p w14:paraId="19299D46" w14:textId="3D31BC97" w:rsidR="0098291C" w:rsidRPr="00D60E6B" w:rsidRDefault="0098291C" w:rsidP="0098291C">
      <w:pPr>
        <w:pBdr>
          <w:top w:val="nil"/>
          <w:left w:val="nil"/>
          <w:bottom w:val="nil"/>
          <w:right w:val="nil"/>
          <w:between w:val="nil"/>
        </w:pBdr>
        <w:spacing w:after="40"/>
        <w:ind w:firstLine="720"/>
        <w:jc w:val="both"/>
        <w:rPr>
          <w:i/>
          <w:sz w:val="22"/>
          <w:szCs w:val="22"/>
        </w:rPr>
      </w:pPr>
      <w:r w:rsidRPr="00D60E6B">
        <w:rPr>
          <w:i/>
          <w:sz w:val="22"/>
          <w:szCs w:val="22"/>
        </w:rPr>
        <w:t xml:space="preserve">*Pastaba. Perkančiosios organizacijos numatyta maksimali pirkimui (pirkimo daliai) skirta lėšų suma suplanuota taikant </w:t>
      </w:r>
      <w:r w:rsidR="00720D8B">
        <w:rPr>
          <w:i/>
          <w:sz w:val="22"/>
          <w:szCs w:val="22"/>
        </w:rPr>
        <w:t>21</w:t>
      </w:r>
      <w:r w:rsidR="008B676A">
        <w:rPr>
          <w:i/>
          <w:sz w:val="22"/>
          <w:szCs w:val="22"/>
        </w:rPr>
        <w:t xml:space="preserve"> </w:t>
      </w:r>
      <w:r w:rsidRPr="00D60E6B">
        <w:rPr>
          <w:i/>
          <w:sz w:val="22"/>
          <w:szCs w:val="22"/>
        </w:rPr>
        <w:t xml:space="preserve">% PVM. Tais atvejais, kai tiekėjas teikia pasiūlymą ir taiko kitokį nei perkančiosios organizacijos suplanuotas PVM tarifas, tiekėjas kartu su pasiūlymu pateikia laisvos formos dokumentą, kuriame nurodo priežastis, dėl kurių taikomas jo pasirinktas PVM tarifas. SPS 1 priedo </w:t>
      </w:r>
      <w:r w:rsidRPr="00D60E6B">
        <w:rPr>
          <w:i/>
          <w:color w:val="000000"/>
          <w:sz w:val="22"/>
          <w:szCs w:val="22"/>
        </w:rPr>
        <w:t>„Techninė specifikacija ir pasiūlymo kaina“ l</w:t>
      </w:r>
      <w:r w:rsidRPr="00D60E6B">
        <w:rPr>
          <w:i/>
          <w:sz w:val="22"/>
          <w:szCs w:val="22"/>
        </w:rPr>
        <w:t>aukelyje „</w:t>
      </w:r>
      <w:r w:rsidRPr="00D60E6B">
        <w:rPr>
          <w:bCs/>
          <w:i/>
          <w:sz w:val="22"/>
          <w:szCs w:val="22"/>
        </w:rPr>
        <w:t>Bendra pirkimo (pirkimo dalies) pasiūlymo kaina EUR su PVM</w:t>
      </w:r>
      <w:r w:rsidRPr="00D60E6B">
        <w:rPr>
          <w:i/>
          <w:sz w:val="22"/>
          <w:szCs w:val="22"/>
        </w:rPr>
        <w:t xml:space="preserve">“ tiekėjo nurodyta pasiūlymo kaina bus laikoma per didele, nepriimtina, jeigu viršys SPS 18 p. nurodytą maksimalią pasiūlymo (vertinamąją) kainą su PVM. Jeigu pasiūlymą pateiks ne PVM mokėtojas, jo pasiūlymo kaina bus laikoma per didele, nepriimtina, jeigu SPS 1 priedo </w:t>
      </w:r>
      <w:r w:rsidRPr="00D60E6B">
        <w:rPr>
          <w:i/>
          <w:color w:val="000000"/>
          <w:sz w:val="22"/>
          <w:szCs w:val="22"/>
        </w:rPr>
        <w:t>„Techninė specifikacija ir pasiūlymo kaina“ l</w:t>
      </w:r>
      <w:r w:rsidRPr="00D60E6B">
        <w:rPr>
          <w:i/>
          <w:sz w:val="22"/>
          <w:szCs w:val="22"/>
        </w:rPr>
        <w:t>aukelyje „</w:t>
      </w:r>
      <w:r w:rsidRPr="00D60E6B">
        <w:rPr>
          <w:bCs/>
          <w:i/>
          <w:sz w:val="22"/>
          <w:szCs w:val="22"/>
        </w:rPr>
        <w:t>Bendra pirkimo (pirkimo dalies) pasiūlymo kaina EUR be PVM</w:t>
      </w:r>
      <w:r w:rsidRPr="00D60E6B">
        <w:rPr>
          <w:i/>
          <w:sz w:val="22"/>
          <w:szCs w:val="22"/>
        </w:rPr>
        <w:t xml:space="preserve">“ nurodyta suma viršys SPS 18 p. nurodytą maksimalią pasiūlymo (vertinamąją) kainą su PVM. Jeigu pirkime kartu su Lietuvos tiekėjais dalyvauja kitos šalies tiekėjai, kuriems taikomas 0 proc. PVM ir </w:t>
      </w:r>
      <w:r>
        <w:rPr>
          <w:i/>
          <w:sz w:val="22"/>
          <w:szCs w:val="22"/>
        </w:rPr>
        <w:t>p</w:t>
      </w:r>
      <w:r w:rsidRPr="00D60E6B">
        <w:rPr>
          <w:i/>
          <w:sz w:val="22"/>
          <w:szCs w:val="22"/>
        </w:rPr>
        <w:t>erkančio</w:t>
      </w:r>
      <w:r>
        <w:rPr>
          <w:i/>
          <w:sz w:val="22"/>
          <w:szCs w:val="22"/>
        </w:rPr>
        <w:t>ji</w:t>
      </w:r>
      <w:r w:rsidRPr="00D60E6B">
        <w:rPr>
          <w:i/>
          <w:sz w:val="22"/>
          <w:szCs w:val="22"/>
        </w:rPr>
        <w:t xml:space="preserve"> organizacij</w:t>
      </w:r>
      <w:r>
        <w:rPr>
          <w:i/>
          <w:sz w:val="22"/>
          <w:szCs w:val="22"/>
        </w:rPr>
        <w:t>a</w:t>
      </w:r>
      <w:r w:rsidRPr="00D60E6B">
        <w:rPr>
          <w:i/>
          <w:sz w:val="22"/>
          <w:szCs w:val="22"/>
        </w:rPr>
        <w:t xml:space="preserve"> turės apskaičiuoti PVM ir jį sumokėti į valstybės biudžetą, prie kitos šalies tiekėjo pasiūlymų vertinimo metu pridedamas tik vertinimo tikslais naudojamas PVM, kuris į sutartį nebus perkeliamas.</w:t>
      </w:r>
    </w:p>
    <w:p w14:paraId="0085FE30" w14:textId="5115EA38" w:rsidR="009C5161" w:rsidRPr="00394DC6" w:rsidRDefault="003F6772" w:rsidP="005A0B08">
      <w:pPr>
        <w:pBdr>
          <w:top w:val="nil"/>
          <w:left w:val="nil"/>
          <w:bottom w:val="nil"/>
          <w:right w:val="nil"/>
          <w:between w:val="nil"/>
        </w:pBdr>
        <w:ind w:firstLine="720"/>
        <w:jc w:val="both"/>
        <w:rPr>
          <w:sz w:val="22"/>
          <w:szCs w:val="22"/>
        </w:rPr>
      </w:pPr>
      <w:r w:rsidRPr="00394DC6">
        <w:rPr>
          <w:sz w:val="22"/>
          <w:szCs w:val="22"/>
        </w:rPr>
        <w:t xml:space="preserve">19. </w:t>
      </w:r>
      <w:r w:rsidR="00EE7ECF" w:rsidRPr="00394DC6">
        <w:rPr>
          <w:sz w:val="22"/>
          <w:szCs w:val="22"/>
        </w:rPr>
        <w:t>E</w:t>
      </w:r>
      <w:r w:rsidR="00465AA6" w:rsidRPr="00394DC6">
        <w:rPr>
          <w:sz w:val="22"/>
          <w:szCs w:val="22"/>
        </w:rPr>
        <w:t>lektroninis</w:t>
      </w:r>
      <w:r w:rsidRPr="00394DC6">
        <w:rPr>
          <w:sz w:val="22"/>
          <w:szCs w:val="22"/>
        </w:rPr>
        <w:t xml:space="preserve"> aukcionas pirkime nebus rengiamas.</w:t>
      </w:r>
    </w:p>
    <w:p w14:paraId="2F751EA0" w14:textId="2842177A" w:rsidR="009C5161" w:rsidRPr="00394DC6" w:rsidRDefault="003F6772" w:rsidP="00CD1E79">
      <w:pPr>
        <w:pBdr>
          <w:top w:val="nil"/>
          <w:left w:val="nil"/>
          <w:bottom w:val="nil"/>
          <w:right w:val="nil"/>
          <w:between w:val="nil"/>
        </w:pBdr>
        <w:jc w:val="both"/>
        <w:rPr>
          <w:sz w:val="22"/>
          <w:szCs w:val="22"/>
        </w:rPr>
      </w:pPr>
      <w:bookmarkStart w:id="1" w:name="_ld9gqobczi06" w:colFirst="0" w:colLast="0"/>
      <w:bookmarkEnd w:id="1"/>
      <w:r w:rsidRPr="00394DC6">
        <w:rPr>
          <w:sz w:val="22"/>
          <w:szCs w:val="22"/>
        </w:rPr>
        <w:tab/>
        <w:t xml:space="preserve">20. Tiekėjo pasiūlymo forma pateikta SPS </w:t>
      </w:r>
      <w:r w:rsidR="008D52A0" w:rsidRPr="00394DC6">
        <w:rPr>
          <w:sz w:val="22"/>
          <w:szCs w:val="22"/>
        </w:rPr>
        <w:t>1</w:t>
      </w:r>
      <w:r w:rsidRPr="00394DC6">
        <w:rPr>
          <w:sz w:val="22"/>
          <w:szCs w:val="22"/>
        </w:rPr>
        <w:t xml:space="preserve"> priede </w:t>
      </w:r>
      <w:r w:rsidR="00AA17C7" w:rsidRPr="00394DC6">
        <w:rPr>
          <w:sz w:val="22"/>
          <w:szCs w:val="22"/>
        </w:rPr>
        <w:t>„</w:t>
      </w:r>
      <w:r w:rsidR="008D52A0" w:rsidRPr="00394DC6">
        <w:rPr>
          <w:sz w:val="22"/>
          <w:szCs w:val="22"/>
        </w:rPr>
        <w:t>Techninė specifikacija ir pasiūlymo kaina</w:t>
      </w:r>
      <w:r w:rsidR="009A44C5" w:rsidRPr="00394DC6">
        <w:rPr>
          <w:sz w:val="22"/>
          <w:szCs w:val="22"/>
        </w:rPr>
        <w:t>“</w:t>
      </w:r>
      <w:r w:rsidRPr="00394DC6">
        <w:rPr>
          <w:sz w:val="22"/>
          <w:szCs w:val="22"/>
        </w:rPr>
        <w:t>.</w:t>
      </w:r>
    </w:p>
    <w:p w14:paraId="1D3C53D4" w14:textId="264E1BA8" w:rsidR="008D52A0" w:rsidRPr="00394DC6" w:rsidRDefault="008D52A0" w:rsidP="00CD1E79">
      <w:pPr>
        <w:pBdr>
          <w:top w:val="nil"/>
          <w:left w:val="nil"/>
          <w:bottom w:val="nil"/>
          <w:right w:val="nil"/>
          <w:between w:val="nil"/>
        </w:pBdr>
        <w:ind w:firstLine="709"/>
        <w:jc w:val="both"/>
        <w:rPr>
          <w:sz w:val="22"/>
          <w:szCs w:val="22"/>
        </w:rPr>
      </w:pPr>
      <w:r w:rsidRPr="00394DC6">
        <w:rPr>
          <w:sz w:val="22"/>
          <w:szCs w:val="22"/>
        </w:rPr>
        <w:lastRenderedPageBreak/>
        <w:t xml:space="preserve">21. </w:t>
      </w:r>
      <w:r w:rsidR="008B676A" w:rsidRPr="00394DC6">
        <w:rPr>
          <w:sz w:val="22"/>
          <w:szCs w:val="22"/>
        </w:rPr>
        <w:t>Pirkimas neatliekamas naudojantis centrinės perkančiosios organizacijos paslaugomis, nes CPO kataloge nėra siūlomos pirkimo objektą atitinkančios prekės</w:t>
      </w:r>
      <w:r w:rsidRPr="00394DC6">
        <w:rPr>
          <w:sz w:val="22"/>
          <w:szCs w:val="22"/>
        </w:rPr>
        <w:t>.</w:t>
      </w:r>
    </w:p>
    <w:p w14:paraId="2A7C904E" w14:textId="4BDFA011" w:rsidR="00EE7ECF" w:rsidRDefault="00EE7ECF" w:rsidP="00D266AE">
      <w:pPr>
        <w:pBdr>
          <w:top w:val="nil"/>
          <w:left w:val="nil"/>
          <w:bottom w:val="nil"/>
          <w:right w:val="nil"/>
          <w:between w:val="nil"/>
        </w:pBdr>
        <w:ind w:firstLine="709"/>
        <w:jc w:val="both"/>
        <w:rPr>
          <w:sz w:val="22"/>
          <w:szCs w:val="22"/>
        </w:rPr>
      </w:pPr>
      <w:r w:rsidRPr="0046731B">
        <w:rPr>
          <w:sz w:val="22"/>
          <w:szCs w:val="22"/>
        </w:rPr>
        <w:t xml:space="preserve">22. </w:t>
      </w:r>
      <w:r w:rsidR="0046731B" w:rsidRPr="0046731B">
        <w:rPr>
          <w:iCs/>
          <w:sz w:val="22"/>
          <w:szCs w:val="22"/>
        </w:rPr>
        <w:t xml:space="preserve">Šiame pirkime taikomi aplinkos apsaugos kriterijai (žaliųjų pirkimų reikalavimai). Aplinkos apsaugos kriterijai nustatyti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0759" w:rsidRPr="00594CBA">
        <w:rPr>
          <w:sz w:val="22"/>
          <w:szCs w:val="22"/>
        </w:rPr>
        <w:t xml:space="preserve">4.4.4 p. </w:t>
      </w:r>
      <w:r w:rsidR="00497902" w:rsidRPr="00594CBA">
        <w:rPr>
          <w:sz w:val="22"/>
          <w:szCs w:val="22"/>
        </w:rPr>
        <w:t>Aplinkos apsaugos kriterijai nustatyti pirkimo sąlygų sutarties projekte kaip tiekėjo įsipareigojimas.</w:t>
      </w:r>
    </w:p>
    <w:p w14:paraId="59552EF2" w14:textId="77777777" w:rsidR="00CB7E28" w:rsidRDefault="00CB7E28" w:rsidP="00CB7E28">
      <w:pPr>
        <w:pBdr>
          <w:top w:val="nil"/>
          <w:left w:val="nil"/>
          <w:bottom w:val="nil"/>
          <w:right w:val="nil"/>
          <w:between w:val="nil"/>
        </w:pBdr>
        <w:spacing w:after="40"/>
        <w:jc w:val="both"/>
        <w:rPr>
          <w:iCs/>
          <w:sz w:val="22"/>
          <w:szCs w:val="22"/>
        </w:rPr>
      </w:pPr>
    </w:p>
    <w:p w14:paraId="636378F8" w14:textId="132E323F" w:rsidR="00977A32" w:rsidRPr="00394DC6" w:rsidRDefault="00977A32" w:rsidP="00977A32">
      <w:pPr>
        <w:pBdr>
          <w:top w:val="nil"/>
          <w:left w:val="nil"/>
          <w:bottom w:val="nil"/>
          <w:right w:val="nil"/>
          <w:between w:val="nil"/>
        </w:pBdr>
        <w:jc w:val="both"/>
        <w:rPr>
          <w:color w:val="000000"/>
          <w:sz w:val="22"/>
          <w:szCs w:val="22"/>
        </w:rPr>
      </w:pPr>
      <w:bookmarkStart w:id="2" w:name="_gjdgxs" w:colFirst="0" w:colLast="0"/>
      <w:bookmarkEnd w:id="2"/>
      <w:r w:rsidRPr="00394DC6">
        <w:rPr>
          <w:color w:val="000000"/>
          <w:sz w:val="22"/>
          <w:szCs w:val="22"/>
        </w:rPr>
        <w:t>SPS priedai:</w:t>
      </w:r>
    </w:p>
    <w:p w14:paraId="7A24A452" w14:textId="46722973" w:rsidR="00977A32" w:rsidRPr="00394DC6" w:rsidRDefault="00977A32" w:rsidP="00977A32">
      <w:pPr>
        <w:pBdr>
          <w:top w:val="nil"/>
          <w:left w:val="nil"/>
          <w:bottom w:val="nil"/>
          <w:right w:val="nil"/>
          <w:between w:val="nil"/>
        </w:pBdr>
        <w:jc w:val="both"/>
        <w:rPr>
          <w:color w:val="000000"/>
          <w:sz w:val="22"/>
          <w:szCs w:val="22"/>
        </w:rPr>
      </w:pPr>
      <w:r w:rsidRPr="00394DC6">
        <w:rPr>
          <w:color w:val="000000"/>
          <w:sz w:val="22"/>
          <w:szCs w:val="22"/>
        </w:rPr>
        <w:t>1. Techninė specifikacija ir pasiūlymo kaina.</w:t>
      </w:r>
    </w:p>
    <w:p w14:paraId="6AC0E302" w14:textId="2331BED1" w:rsidR="00977A32" w:rsidRPr="00394DC6" w:rsidRDefault="00977A32" w:rsidP="00977A32">
      <w:pPr>
        <w:pBdr>
          <w:top w:val="nil"/>
          <w:left w:val="nil"/>
          <w:bottom w:val="nil"/>
          <w:right w:val="nil"/>
          <w:between w:val="nil"/>
        </w:pBdr>
        <w:tabs>
          <w:tab w:val="left" w:pos="7470"/>
        </w:tabs>
        <w:jc w:val="both"/>
        <w:rPr>
          <w:color w:val="000000"/>
          <w:sz w:val="22"/>
          <w:szCs w:val="22"/>
        </w:rPr>
      </w:pPr>
      <w:r w:rsidRPr="00394DC6">
        <w:rPr>
          <w:color w:val="000000"/>
          <w:sz w:val="22"/>
          <w:szCs w:val="22"/>
        </w:rPr>
        <w:t>2. Viešojo pirkimo sutarties projektas.</w:t>
      </w:r>
    </w:p>
    <w:p w14:paraId="7B30CB34" w14:textId="1EBB5A7C" w:rsidR="008B676A" w:rsidRPr="00394DC6" w:rsidRDefault="00977A32" w:rsidP="00AC2C60">
      <w:pPr>
        <w:pBdr>
          <w:top w:val="nil"/>
          <w:left w:val="nil"/>
          <w:bottom w:val="nil"/>
          <w:right w:val="nil"/>
          <w:between w:val="nil"/>
        </w:pBdr>
        <w:jc w:val="both"/>
        <w:rPr>
          <w:color w:val="000000"/>
          <w:sz w:val="22"/>
          <w:szCs w:val="22"/>
        </w:rPr>
      </w:pPr>
      <w:r w:rsidRPr="00394DC6">
        <w:rPr>
          <w:color w:val="000000"/>
          <w:sz w:val="22"/>
          <w:szCs w:val="22"/>
        </w:rPr>
        <w:t>3. EBVPD failas</w:t>
      </w:r>
      <w:r w:rsidR="00F8685E" w:rsidRPr="00394DC6">
        <w:rPr>
          <w:color w:val="000000"/>
          <w:sz w:val="22"/>
          <w:szCs w:val="22"/>
        </w:rPr>
        <w:t xml:space="preserve"> </w:t>
      </w:r>
      <w:r w:rsidRPr="00394DC6">
        <w:rPr>
          <w:color w:val="000000"/>
          <w:sz w:val="22"/>
          <w:szCs w:val="22"/>
        </w:rPr>
        <w:t>/</w:t>
      </w:r>
      <w:r w:rsidR="00F8685E" w:rsidRPr="00394DC6">
        <w:rPr>
          <w:color w:val="000000"/>
          <w:sz w:val="22"/>
          <w:szCs w:val="22"/>
        </w:rPr>
        <w:t xml:space="preserve"> </w:t>
      </w:r>
      <w:r w:rsidRPr="00394DC6">
        <w:rPr>
          <w:color w:val="000000"/>
          <w:sz w:val="22"/>
          <w:szCs w:val="22"/>
        </w:rPr>
        <w:t>šablonas.</w:t>
      </w:r>
    </w:p>
    <w:sectPr w:rsidR="008B676A" w:rsidRPr="00394DC6" w:rsidSect="00885536">
      <w:headerReference w:type="default" r:id="rId6"/>
      <w:footerReference w:type="default" r:id="rId7"/>
      <w:pgSz w:w="11900" w:h="16840"/>
      <w:pgMar w:top="567" w:right="567" w:bottom="851" w:left="1418" w:header="567"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EAB7E" w14:textId="77777777" w:rsidR="00530603" w:rsidRDefault="00530603">
      <w:r>
        <w:separator/>
      </w:r>
    </w:p>
  </w:endnote>
  <w:endnote w:type="continuationSeparator" w:id="0">
    <w:p w14:paraId="07011364" w14:textId="77777777" w:rsidR="00530603" w:rsidRDefault="0053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4ED5" w14:textId="5D227095" w:rsidR="009C5161" w:rsidRDefault="003F6772">
    <w:pPr>
      <w:pBdr>
        <w:top w:val="nil"/>
        <w:left w:val="nil"/>
        <w:bottom w:val="nil"/>
        <w:right w:val="nil"/>
        <w:between w:val="nil"/>
      </w:pBdr>
      <w:tabs>
        <w:tab w:val="center" w:pos="4750"/>
        <w:tab w:val="right" w:pos="9500"/>
      </w:tabs>
      <w:spacing w:after="720" w:line="288" w:lineRule="auto"/>
      <w:rPr>
        <w:rFonts w:ascii="Helvetica Neue" w:eastAsia="Helvetica Neue" w:hAnsi="Helvetica Neue" w:cs="Helvetica Neue"/>
        <w:color w:val="5F5F5F"/>
        <w:sz w:val="20"/>
        <w:szCs w:val="20"/>
      </w:rPr>
    </w:pPr>
    <w:r>
      <w:rPr>
        <w:color w:val="5F5F5F"/>
        <w:sz w:val="20"/>
        <w:szCs w:val="20"/>
      </w:rPr>
      <w:tab/>
    </w:r>
    <w:r>
      <w:rPr>
        <w:color w:val="5F5F5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7F1C" w14:textId="77777777" w:rsidR="00530603" w:rsidRDefault="00530603">
      <w:r>
        <w:separator/>
      </w:r>
    </w:p>
  </w:footnote>
  <w:footnote w:type="continuationSeparator" w:id="0">
    <w:p w14:paraId="349839B4" w14:textId="77777777" w:rsidR="00530603" w:rsidRDefault="0053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4748127"/>
      <w:docPartObj>
        <w:docPartGallery w:val="Page Numbers (Top of Page)"/>
        <w:docPartUnique/>
      </w:docPartObj>
    </w:sdtPr>
    <w:sdtContent>
      <w:p w14:paraId="39E7A4C6" w14:textId="204E6C3E" w:rsidR="00196FA9" w:rsidRDefault="00196FA9">
        <w:pPr>
          <w:pStyle w:val="Header"/>
          <w:jc w:val="center"/>
        </w:pPr>
        <w:r>
          <w:fldChar w:fldCharType="begin"/>
        </w:r>
        <w:r>
          <w:instrText>PAGE   \* MERGEFORMAT</w:instrText>
        </w:r>
        <w:r>
          <w:fldChar w:fldCharType="separate"/>
        </w:r>
        <w:r>
          <w:t>2</w:t>
        </w:r>
        <w:r>
          <w:fldChar w:fldCharType="end"/>
        </w:r>
      </w:p>
    </w:sdtContent>
  </w:sdt>
  <w:p w14:paraId="5B9A7280" w14:textId="77777777" w:rsidR="00196FA9" w:rsidRDefault="00196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61"/>
    <w:rsid w:val="000349A1"/>
    <w:rsid w:val="0004012E"/>
    <w:rsid w:val="00051E7B"/>
    <w:rsid w:val="000829B3"/>
    <w:rsid w:val="00086AE7"/>
    <w:rsid w:val="000A0E06"/>
    <w:rsid w:val="000B159E"/>
    <w:rsid w:val="000D0759"/>
    <w:rsid w:val="000D73A4"/>
    <w:rsid w:val="000F2C45"/>
    <w:rsid w:val="00103B09"/>
    <w:rsid w:val="00117638"/>
    <w:rsid w:val="00117F00"/>
    <w:rsid w:val="00121A97"/>
    <w:rsid w:val="00163C6A"/>
    <w:rsid w:val="00196FA9"/>
    <w:rsid w:val="001C29FF"/>
    <w:rsid w:val="001C5DEE"/>
    <w:rsid w:val="001D112B"/>
    <w:rsid w:val="001F6C0C"/>
    <w:rsid w:val="00206794"/>
    <w:rsid w:val="00215BFF"/>
    <w:rsid w:val="00223CC5"/>
    <w:rsid w:val="0024528E"/>
    <w:rsid w:val="00256BA5"/>
    <w:rsid w:val="00260DAA"/>
    <w:rsid w:val="00286BEF"/>
    <w:rsid w:val="002B3D23"/>
    <w:rsid w:val="002C4037"/>
    <w:rsid w:val="002F49D8"/>
    <w:rsid w:val="00306FE0"/>
    <w:rsid w:val="00314C42"/>
    <w:rsid w:val="003500A4"/>
    <w:rsid w:val="00353A32"/>
    <w:rsid w:val="003679E4"/>
    <w:rsid w:val="00367E3F"/>
    <w:rsid w:val="003716C0"/>
    <w:rsid w:val="0037243A"/>
    <w:rsid w:val="00394DC6"/>
    <w:rsid w:val="003D6FE7"/>
    <w:rsid w:val="003E122A"/>
    <w:rsid w:val="003E54AD"/>
    <w:rsid w:val="003E5588"/>
    <w:rsid w:val="003E5D43"/>
    <w:rsid w:val="003F6772"/>
    <w:rsid w:val="003F7D76"/>
    <w:rsid w:val="004025E9"/>
    <w:rsid w:val="0040466E"/>
    <w:rsid w:val="00413754"/>
    <w:rsid w:val="00462925"/>
    <w:rsid w:val="004636EC"/>
    <w:rsid w:val="00465AA6"/>
    <w:rsid w:val="004664B6"/>
    <w:rsid w:val="0046731B"/>
    <w:rsid w:val="00467325"/>
    <w:rsid w:val="00497902"/>
    <w:rsid w:val="004C0BF6"/>
    <w:rsid w:val="004F3912"/>
    <w:rsid w:val="00510DB3"/>
    <w:rsid w:val="005132D7"/>
    <w:rsid w:val="00530603"/>
    <w:rsid w:val="00533A07"/>
    <w:rsid w:val="00542A04"/>
    <w:rsid w:val="005504DB"/>
    <w:rsid w:val="0056435F"/>
    <w:rsid w:val="005822D6"/>
    <w:rsid w:val="005A0B08"/>
    <w:rsid w:val="005C195D"/>
    <w:rsid w:val="005D6862"/>
    <w:rsid w:val="005E136B"/>
    <w:rsid w:val="005E4A3C"/>
    <w:rsid w:val="005E5E6E"/>
    <w:rsid w:val="00610E4C"/>
    <w:rsid w:val="006134F6"/>
    <w:rsid w:val="00650CF7"/>
    <w:rsid w:val="00651C52"/>
    <w:rsid w:val="00667AF7"/>
    <w:rsid w:val="006A1B3A"/>
    <w:rsid w:val="006C46F7"/>
    <w:rsid w:val="006C5319"/>
    <w:rsid w:val="006C7FD8"/>
    <w:rsid w:val="006D4366"/>
    <w:rsid w:val="006D6EB8"/>
    <w:rsid w:val="006F7464"/>
    <w:rsid w:val="00701679"/>
    <w:rsid w:val="00715AA0"/>
    <w:rsid w:val="00720D8B"/>
    <w:rsid w:val="00720E65"/>
    <w:rsid w:val="00727D69"/>
    <w:rsid w:val="00736DC1"/>
    <w:rsid w:val="0074619C"/>
    <w:rsid w:val="00747C6D"/>
    <w:rsid w:val="0076370F"/>
    <w:rsid w:val="00766C02"/>
    <w:rsid w:val="007677CB"/>
    <w:rsid w:val="007E0698"/>
    <w:rsid w:val="007E1C9F"/>
    <w:rsid w:val="007F4EFF"/>
    <w:rsid w:val="00811D1B"/>
    <w:rsid w:val="0082766E"/>
    <w:rsid w:val="00844C79"/>
    <w:rsid w:val="00850216"/>
    <w:rsid w:val="0085447F"/>
    <w:rsid w:val="00855D1C"/>
    <w:rsid w:val="00857BAE"/>
    <w:rsid w:val="00861CE5"/>
    <w:rsid w:val="00871440"/>
    <w:rsid w:val="00874D74"/>
    <w:rsid w:val="00885536"/>
    <w:rsid w:val="008B676A"/>
    <w:rsid w:val="008C0630"/>
    <w:rsid w:val="008D52A0"/>
    <w:rsid w:val="008E1D21"/>
    <w:rsid w:val="008E4213"/>
    <w:rsid w:val="008E4B24"/>
    <w:rsid w:val="00902A65"/>
    <w:rsid w:val="0095664B"/>
    <w:rsid w:val="00977A32"/>
    <w:rsid w:val="0098291C"/>
    <w:rsid w:val="009A44C5"/>
    <w:rsid w:val="009C5161"/>
    <w:rsid w:val="009E7530"/>
    <w:rsid w:val="00A135AB"/>
    <w:rsid w:val="00A14AD5"/>
    <w:rsid w:val="00A46C6C"/>
    <w:rsid w:val="00A4725C"/>
    <w:rsid w:val="00A52455"/>
    <w:rsid w:val="00A63540"/>
    <w:rsid w:val="00A715B6"/>
    <w:rsid w:val="00A75E7D"/>
    <w:rsid w:val="00A81A65"/>
    <w:rsid w:val="00A9712B"/>
    <w:rsid w:val="00AA17C7"/>
    <w:rsid w:val="00AA6DE2"/>
    <w:rsid w:val="00AC2C60"/>
    <w:rsid w:val="00AC67BD"/>
    <w:rsid w:val="00AC6F00"/>
    <w:rsid w:val="00B27908"/>
    <w:rsid w:val="00B4207C"/>
    <w:rsid w:val="00B558B2"/>
    <w:rsid w:val="00B90AAD"/>
    <w:rsid w:val="00B97A74"/>
    <w:rsid w:val="00BA6CC2"/>
    <w:rsid w:val="00BB0782"/>
    <w:rsid w:val="00BB23AF"/>
    <w:rsid w:val="00BB27A9"/>
    <w:rsid w:val="00BB51AA"/>
    <w:rsid w:val="00BC1055"/>
    <w:rsid w:val="00BC2473"/>
    <w:rsid w:val="00BD6F5E"/>
    <w:rsid w:val="00C65FC1"/>
    <w:rsid w:val="00C74A5A"/>
    <w:rsid w:val="00CA0F94"/>
    <w:rsid w:val="00CB7E28"/>
    <w:rsid w:val="00CD1E79"/>
    <w:rsid w:val="00D02A98"/>
    <w:rsid w:val="00D11EB9"/>
    <w:rsid w:val="00D2207B"/>
    <w:rsid w:val="00D266AE"/>
    <w:rsid w:val="00D5379D"/>
    <w:rsid w:val="00D83838"/>
    <w:rsid w:val="00DD11B7"/>
    <w:rsid w:val="00DE3096"/>
    <w:rsid w:val="00DF6B20"/>
    <w:rsid w:val="00E27B4A"/>
    <w:rsid w:val="00E30FC6"/>
    <w:rsid w:val="00E573D5"/>
    <w:rsid w:val="00E75C88"/>
    <w:rsid w:val="00EA2DCD"/>
    <w:rsid w:val="00EE2262"/>
    <w:rsid w:val="00EE7ECF"/>
    <w:rsid w:val="00EF21AA"/>
    <w:rsid w:val="00F03408"/>
    <w:rsid w:val="00F22815"/>
    <w:rsid w:val="00F27FF7"/>
    <w:rsid w:val="00F8685E"/>
    <w:rsid w:val="00FC42CD"/>
    <w:rsid w:val="00FE2E79"/>
    <w:rsid w:val="00FE5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6F57"/>
  <w15:docId w15:val="{C0C8BB93-F8FB-492A-8BBC-6B2A492E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top w:val="nil"/>
        <w:left w:val="nil"/>
        <w:bottom w:val="nil"/>
        <w:right w:val="nil"/>
        <w:between w:val="nil"/>
      </w:pBdr>
      <w:spacing w:line="288" w:lineRule="auto"/>
    </w:pPr>
    <w:rPr>
      <w:rFonts w:ascii="Helvetica Neue Light" w:eastAsia="Helvetica Neue Light" w:hAnsi="Helvetica Neue Light" w:cs="Helvetica Neue Light"/>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6C0C"/>
    <w:pPr>
      <w:tabs>
        <w:tab w:val="center" w:pos="4819"/>
        <w:tab w:val="right" w:pos="9638"/>
      </w:tabs>
    </w:pPr>
  </w:style>
  <w:style w:type="character" w:customStyle="1" w:styleId="HeaderChar">
    <w:name w:val="Header Char"/>
    <w:basedOn w:val="DefaultParagraphFont"/>
    <w:link w:val="Header"/>
    <w:uiPriority w:val="99"/>
    <w:rsid w:val="001F6C0C"/>
  </w:style>
  <w:style w:type="paragraph" w:styleId="Footer">
    <w:name w:val="footer"/>
    <w:basedOn w:val="Normal"/>
    <w:link w:val="FooterChar"/>
    <w:uiPriority w:val="99"/>
    <w:unhideWhenUsed/>
    <w:rsid w:val="001F6C0C"/>
    <w:pPr>
      <w:tabs>
        <w:tab w:val="center" w:pos="4819"/>
        <w:tab w:val="right" w:pos="9638"/>
      </w:tabs>
    </w:pPr>
  </w:style>
  <w:style w:type="character" w:customStyle="1" w:styleId="FooterChar">
    <w:name w:val="Footer Char"/>
    <w:basedOn w:val="DefaultParagraphFont"/>
    <w:link w:val="Footer"/>
    <w:uiPriority w:val="99"/>
    <w:rsid w:val="001F6C0C"/>
  </w:style>
  <w:style w:type="paragraph" w:customStyle="1" w:styleId="Body2">
    <w:name w:val="Body 2"/>
    <w:rsid w:val="001F6C0C"/>
    <w:pPr>
      <w:pBdr>
        <w:top w:val="nil"/>
        <w:left w:val="nil"/>
        <w:bottom w:val="nil"/>
        <w:right w:val="nil"/>
        <w:between w:val="nil"/>
        <w:bar w:val="nil"/>
      </w:pBdr>
      <w:suppressAutoHyphens/>
      <w:spacing w:after="40"/>
      <w:jc w:val="both"/>
    </w:pPr>
    <w:rPr>
      <w:color w:val="000000"/>
      <w:sz w:val="22"/>
      <w:szCs w:val="22"/>
      <w:bdr w:val="nil"/>
      <w:lang w:val="en-US" w:eastAsia="en-US"/>
      <w14:textOutline w14:w="0" w14:cap="flat" w14:cmpd="sng" w14:algn="ctr">
        <w14:noFill/>
        <w14:prstDash w14:val="solid"/>
        <w14:bevel/>
      </w14:textOutline>
    </w:rPr>
  </w:style>
  <w:style w:type="paragraph" w:customStyle="1" w:styleId="Body">
    <w:name w:val="Body"/>
    <w:rsid w:val="00465AA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14:textOutline w14:w="0" w14:cap="flat" w14:cmpd="sng" w14:algn="ctr">
        <w14:noFill/>
        <w14:prstDash w14:val="solid"/>
        <w14:bevel/>
      </w14:textOutline>
    </w:rPr>
  </w:style>
  <w:style w:type="paragraph" w:styleId="HTMLPreformatted">
    <w:name w:val="HTML Preformatted"/>
    <w:basedOn w:val="Normal"/>
    <w:link w:val="HTMLPreformattedChar"/>
    <w:uiPriority w:val="99"/>
    <w:semiHidden/>
    <w:unhideWhenUsed/>
    <w:rsid w:val="0046292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29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72010">
      <w:bodyDiv w:val="1"/>
      <w:marLeft w:val="0"/>
      <w:marRight w:val="0"/>
      <w:marTop w:val="0"/>
      <w:marBottom w:val="0"/>
      <w:divBdr>
        <w:top w:val="none" w:sz="0" w:space="0" w:color="auto"/>
        <w:left w:val="none" w:sz="0" w:space="0" w:color="auto"/>
        <w:bottom w:val="none" w:sz="0" w:space="0" w:color="auto"/>
        <w:right w:val="none" w:sz="0" w:space="0" w:color="auto"/>
      </w:divBdr>
    </w:div>
    <w:div w:id="240484276">
      <w:bodyDiv w:val="1"/>
      <w:marLeft w:val="0"/>
      <w:marRight w:val="0"/>
      <w:marTop w:val="0"/>
      <w:marBottom w:val="0"/>
      <w:divBdr>
        <w:top w:val="none" w:sz="0" w:space="0" w:color="auto"/>
        <w:left w:val="none" w:sz="0" w:space="0" w:color="auto"/>
        <w:bottom w:val="none" w:sz="0" w:space="0" w:color="auto"/>
        <w:right w:val="none" w:sz="0" w:space="0" w:color="auto"/>
      </w:divBdr>
    </w:div>
    <w:div w:id="283973136">
      <w:bodyDiv w:val="1"/>
      <w:marLeft w:val="0"/>
      <w:marRight w:val="0"/>
      <w:marTop w:val="0"/>
      <w:marBottom w:val="0"/>
      <w:divBdr>
        <w:top w:val="none" w:sz="0" w:space="0" w:color="auto"/>
        <w:left w:val="none" w:sz="0" w:space="0" w:color="auto"/>
        <w:bottom w:val="none" w:sz="0" w:space="0" w:color="auto"/>
        <w:right w:val="none" w:sz="0" w:space="0" w:color="auto"/>
      </w:divBdr>
    </w:div>
    <w:div w:id="626815325">
      <w:bodyDiv w:val="1"/>
      <w:marLeft w:val="0"/>
      <w:marRight w:val="0"/>
      <w:marTop w:val="0"/>
      <w:marBottom w:val="0"/>
      <w:divBdr>
        <w:top w:val="none" w:sz="0" w:space="0" w:color="auto"/>
        <w:left w:val="none" w:sz="0" w:space="0" w:color="auto"/>
        <w:bottom w:val="none" w:sz="0" w:space="0" w:color="auto"/>
        <w:right w:val="none" w:sz="0" w:space="0" w:color="auto"/>
      </w:divBdr>
    </w:div>
    <w:div w:id="928002794">
      <w:bodyDiv w:val="1"/>
      <w:marLeft w:val="0"/>
      <w:marRight w:val="0"/>
      <w:marTop w:val="0"/>
      <w:marBottom w:val="0"/>
      <w:divBdr>
        <w:top w:val="none" w:sz="0" w:space="0" w:color="auto"/>
        <w:left w:val="none" w:sz="0" w:space="0" w:color="auto"/>
        <w:bottom w:val="none" w:sz="0" w:space="0" w:color="auto"/>
        <w:right w:val="none" w:sz="0" w:space="0" w:color="auto"/>
      </w:divBdr>
    </w:div>
    <w:div w:id="985210273">
      <w:bodyDiv w:val="1"/>
      <w:marLeft w:val="0"/>
      <w:marRight w:val="0"/>
      <w:marTop w:val="0"/>
      <w:marBottom w:val="0"/>
      <w:divBdr>
        <w:top w:val="none" w:sz="0" w:space="0" w:color="auto"/>
        <w:left w:val="none" w:sz="0" w:space="0" w:color="auto"/>
        <w:bottom w:val="none" w:sz="0" w:space="0" w:color="auto"/>
        <w:right w:val="none" w:sz="0" w:space="0" w:color="auto"/>
      </w:divBdr>
    </w:div>
    <w:div w:id="1093434899">
      <w:bodyDiv w:val="1"/>
      <w:marLeft w:val="0"/>
      <w:marRight w:val="0"/>
      <w:marTop w:val="0"/>
      <w:marBottom w:val="0"/>
      <w:divBdr>
        <w:top w:val="none" w:sz="0" w:space="0" w:color="auto"/>
        <w:left w:val="none" w:sz="0" w:space="0" w:color="auto"/>
        <w:bottom w:val="none" w:sz="0" w:space="0" w:color="auto"/>
        <w:right w:val="none" w:sz="0" w:space="0" w:color="auto"/>
      </w:divBdr>
    </w:div>
    <w:div w:id="1096747654">
      <w:bodyDiv w:val="1"/>
      <w:marLeft w:val="0"/>
      <w:marRight w:val="0"/>
      <w:marTop w:val="0"/>
      <w:marBottom w:val="0"/>
      <w:divBdr>
        <w:top w:val="none" w:sz="0" w:space="0" w:color="auto"/>
        <w:left w:val="none" w:sz="0" w:space="0" w:color="auto"/>
        <w:bottom w:val="none" w:sz="0" w:space="0" w:color="auto"/>
        <w:right w:val="none" w:sz="0" w:space="0" w:color="auto"/>
      </w:divBdr>
    </w:div>
    <w:div w:id="1164858900">
      <w:bodyDiv w:val="1"/>
      <w:marLeft w:val="0"/>
      <w:marRight w:val="0"/>
      <w:marTop w:val="0"/>
      <w:marBottom w:val="0"/>
      <w:divBdr>
        <w:top w:val="none" w:sz="0" w:space="0" w:color="auto"/>
        <w:left w:val="none" w:sz="0" w:space="0" w:color="auto"/>
        <w:bottom w:val="none" w:sz="0" w:space="0" w:color="auto"/>
        <w:right w:val="none" w:sz="0" w:space="0" w:color="auto"/>
      </w:divBdr>
    </w:div>
    <w:div w:id="1262645142">
      <w:bodyDiv w:val="1"/>
      <w:marLeft w:val="0"/>
      <w:marRight w:val="0"/>
      <w:marTop w:val="0"/>
      <w:marBottom w:val="0"/>
      <w:divBdr>
        <w:top w:val="none" w:sz="0" w:space="0" w:color="auto"/>
        <w:left w:val="none" w:sz="0" w:space="0" w:color="auto"/>
        <w:bottom w:val="none" w:sz="0" w:space="0" w:color="auto"/>
        <w:right w:val="none" w:sz="0" w:space="0" w:color="auto"/>
      </w:divBdr>
    </w:div>
    <w:div w:id="1310594949">
      <w:bodyDiv w:val="1"/>
      <w:marLeft w:val="0"/>
      <w:marRight w:val="0"/>
      <w:marTop w:val="0"/>
      <w:marBottom w:val="0"/>
      <w:divBdr>
        <w:top w:val="none" w:sz="0" w:space="0" w:color="auto"/>
        <w:left w:val="none" w:sz="0" w:space="0" w:color="auto"/>
        <w:bottom w:val="none" w:sz="0" w:space="0" w:color="auto"/>
        <w:right w:val="none" w:sz="0" w:space="0" w:color="auto"/>
      </w:divBdr>
    </w:div>
    <w:div w:id="1323243855">
      <w:bodyDiv w:val="1"/>
      <w:marLeft w:val="0"/>
      <w:marRight w:val="0"/>
      <w:marTop w:val="0"/>
      <w:marBottom w:val="0"/>
      <w:divBdr>
        <w:top w:val="none" w:sz="0" w:space="0" w:color="auto"/>
        <w:left w:val="none" w:sz="0" w:space="0" w:color="auto"/>
        <w:bottom w:val="none" w:sz="0" w:space="0" w:color="auto"/>
        <w:right w:val="none" w:sz="0" w:space="0" w:color="auto"/>
      </w:divBdr>
    </w:div>
    <w:div w:id="1723359905">
      <w:bodyDiv w:val="1"/>
      <w:marLeft w:val="0"/>
      <w:marRight w:val="0"/>
      <w:marTop w:val="0"/>
      <w:marBottom w:val="0"/>
      <w:divBdr>
        <w:top w:val="none" w:sz="0" w:space="0" w:color="auto"/>
        <w:left w:val="none" w:sz="0" w:space="0" w:color="auto"/>
        <w:bottom w:val="none" w:sz="0" w:space="0" w:color="auto"/>
        <w:right w:val="none" w:sz="0" w:space="0" w:color="auto"/>
      </w:divBdr>
    </w:div>
    <w:div w:id="2023431849">
      <w:bodyDiv w:val="1"/>
      <w:marLeft w:val="0"/>
      <w:marRight w:val="0"/>
      <w:marTop w:val="0"/>
      <w:marBottom w:val="0"/>
      <w:divBdr>
        <w:top w:val="none" w:sz="0" w:space="0" w:color="auto"/>
        <w:left w:val="none" w:sz="0" w:space="0" w:color="auto"/>
        <w:bottom w:val="none" w:sz="0" w:space="0" w:color="auto"/>
        <w:right w:val="none" w:sz="0" w:space="0" w:color="auto"/>
      </w:divBdr>
    </w:div>
    <w:div w:id="2087416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3263</Words>
  <Characters>1860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Indrė Rulevičiūtė</cp:lastModifiedBy>
  <cp:revision>2</cp:revision>
  <dcterms:created xsi:type="dcterms:W3CDTF">2024-12-04T10:34:00Z</dcterms:created>
  <dcterms:modified xsi:type="dcterms:W3CDTF">2024-12-04T10:34:00Z</dcterms:modified>
</cp:coreProperties>
</file>