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5E90" w:rsidRDefault="00D25E90" w:rsidP="00D25E90">
      <w:pPr>
        <w:ind w:right="215"/>
        <w:jc w:val="center"/>
        <w:rPr>
          <w:rFonts w:cs="Arial"/>
          <w:caps/>
          <w:sz w:val="24"/>
          <w:szCs w:val="24"/>
        </w:rPr>
      </w:pPr>
    </w:p>
    <w:p w:rsidR="00331C6D" w:rsidRDefault="00A57564" w:rsidP="00D25E90">
      <w:pPr>
        <w:ind w:right="215"/>
        <w:jc w:val="center"/>
        <w:rPr>
          <w:rFonts w:cs="Arial"/>
          <w:caps/>
          <w:sz w:val="24"/>
          <w:szCs w:val="24"/>
        </w:rPr>
      </w:pPr>
      <w:r w:rsidRPr="00A57564">
        <w:rPr>
          <w:rFonts w:cs="Arial"/>
          <w:b/>
          <w:bCs/>
          <w:caps/>
          <w:noProof/>
          <w:sz w:val="24"/>
          <w:szCs w:val="24"/>
          <w:lang w:val="en-US"/>
        </w:rPr>
        <w:drawing>
          <wp:inline distT="0" distB="0" distL="0" distR="0" wp14:anchorId="67387C44" wp14:editId="2B6B9421">
            <wp:extent cx="489347" cy="571500"/>
            <wp:effectExtent l="0" t="0" r="6350" b="0"/>
            <wp:docPr id="11" name="Paveikslėlis 11" descr="Gargždų miesto herbas. Raudoname lauke gulsčias sidabrinis kalavijas su auksine rankena. Kalavijo geležtis apjuostas žalių laurų lapų vainiku, uogos - auksinė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aveikslėlis 11" descr="Gargždų miesto herbas. Raudoname lauke gulsčias sidabrinis kalavijas su auksine rankena. Kalavijo geležtis apjuostas žalių laurų lapų vainiku, uogos - auksinė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442" cy="587962"/>
                    </a:xfrm>
                    <a:prstGeom prst="rect">
                      <a:avLst/>
                    </a:prstGeom>
                    <a:noFill/>
                    <a:ln>
                      <a:noFill/>
                    </a:ln>
                  </pic:spPr>
                </pic:pic>
              </a:graphicData>
            </a:graphic>
          </wp:inline>
        </w:drawing>
      </w:r>
    </w:p>
    <w:p w:rsidR="006F50BC" w:rsidRDefault="006F50BC" w:rsidP="00D25E90">
      <w:pPr>
        <w:ind w:right="215"/>
        <w:jc w:val="center"/>
        <w:rPr>
          <w:rFonts w:cs="Arial"/>
          <w:caps/>
          <w:sz w:val="24"/>
          <w:szCs w:val="24"/>
        </w:rPr>
      </w:pPr>
      <w:r w:rsidRPr="007C625D">
        <w:rPr>
          <w:rStyle w:val="statymoNr"/>
          <w:rFonts w:ascii="Arial" w:hAnsi="Arial" w:cs="Arial"/>
          <w:b/>
          <w:szCs w:val="24"/>
        </w:rPr>
        <w:t>KLAIPĖDOS RAJONO SAVIVALDYBĖS ADMINISTRACIJOS</w:t>
      </w:r>
      <w:r w:rsidRPr="007C625D">
        <w:rPr>
          <w:rStyle w:val="statymoNr"/>
          <w:rFonts w:ascii="Arial" w:hAnsi="Arial" w:cs="Arial"/>
          <w:b/>
          <w:szCs w:val="24"/>
        </w:rPr>
        <w:br/>
        <w:t>DIREKTORIUS</w:t>
      </w:r>
    </w:p>
    <w:tbl>
      <w:tblPr>
        <w:tblW w:w="0" w:type="auto"/>
        <w:tblCellMar>
          <w:left w:w="0" w:type="dxa"/>
          <w:right w:w="0" w:type="dxa"/>
        </w:tblCellMar>
        <w:tblLook w:val="0000" w:firstRow="0" w:lastRow="0" w:firstColumn="0" w:lastColumn="0" w:noHBand="0" w:noVBand="0"/>
      </w:tblPr>
      <w:tblGrid>
        <w:gridCol w:w="3074"/>
        <w:gridCol w:w="2990"/>
        <w:gridCol w:w="3007"/>
      </w:tblGrid>
      <w:tr w:rsidR="00661798" w:rsidRPr="00901B89" w:rsidTr="00B922CF">
        <w:trPr>
          <w:trHeight w:val="1361"/>
        </w:trPr>
        <w:tc>
          <w:tcPr>
            <w:tcW w:w="9639" w:type="dxa"/>
            <w:gridSpan w:val="3"/>
            <w:tcBorders>
              <w:top w:val="nil"/>
              <w:left w:val="nil"/>
              <w:bottom w:val="nil"/>
              <w:right w:val="nil"/>
            </w:tcBorders>
            <w:tcMar>
              <w:top w:w="39" w:type="dxa"/>
              <w:left w:w="39" w:type="dxa"/>
              <w:bottom w:w="39" w:type="dxa"/>
              <w:right w:w="39" w:type="dxa"/>
            </w:tcMar>
          </w:tcPr>
          <w:p w:rsidR="00661798" w:rsidRPr="000F2F6A" w:rsidRDefault="00661798" w:rsidP="00B922CF">
            <w:pPr>
              <w:jc w:val="center"/>
              <w:rPr>
                <w:rFonts w:cs="Arial"/>
                <w:b/>
                <w:bCs/>
                <w:sz w:val="24"/>
                <w:szCs w:val="24"/>
              </w:rPr>
            </w:pPr>
            <w:r w:rsidRPr="000F2F6A">
              <w:rPr>
                <w:rFonts w:cs="Arial"/>
                <w:b/>
                <w:bCs/>
                <w:sz w:val="24"/>
                <w:szCs w:val="24"/>
              </w:rPr>
              <w:t xml:space="preserve">PIRKIMO </w:t>
            </w:r>
          </w:p>
          <w:p w:rsidR="00661798" w:rsidRDefault="00661798" w:rsidP="00B922CF">
            <w:pPr>
              <w:spacing w:line="276" w:lineRule="auto"/>
              <w:jc w:val="center"/>
              <w:rPr>
                <w:rFonts w:cs="Arial"/>
                <w:b/>
                <w:bCs/>
                <w:sz w:val="24"/>
                <w:szCs w:val="24"/>
                <w:shd w:val="clear" w:color="auto" w:fill="FFFFFF"/>
              </w:rPr>
            </w:pPr>
            <w:r w:rsidRPr="00DD0E80">
              <w:rPr>
                <w:rFonts w:cs="Arial"/>
                <w:b/>
                <w:bCs/>
                <w:sz w:val="24"/>
                <w:szCs w:val="24"/>
              </w:rPr>
              <w:t>„VALSTYBINĖS REIKŠMĖS RAJONINIO KELIO NR. 2212 KLAIPĖDA−RADAILIAI−KRETINGA SANKRYŽOS PAPRAST</w:t>
            </w:r>
            <w:r>
              <w:rPr>
                <w:rFonts w:cs="Arial"/>
                <w:b/>
                <w:bCs/>
                <w:sz w:val="24"/>
                <w:szCs w:val="24"/>
              </w:rPr>
              <w:t>OJO</w:t>
            </w:r>
            <w:r w:rsidRPr="00DD0E80">
              <w:rPr>
                <w:rFonts w:cs="Arial"/>
                <w:b/>
                <w:bCs/>
                <w:sz w:val="24"/>
                <w:szCs w:val="24"/>
              </w:rPr>
              <w:t xml:space="preserve"> REMONT</w:t>
            </w:r>
            <w:r>
              <w:rPr>
                <w:rFonts w:cs="Arial"/>
                <w:b/>
                <w:bCs/>
                <w:sz w:val="24"/>
                <w:szCs w:val="24"/>
              </w:rPr>
              <w:t>O</w:t>
            </w:r>
            <w:r w:rsidRPr="00DD0E80">
              <w:rPr>
                <w:rFonts w:cs="Arial"/>
                <w:b/>
                <w:bCs/>
                <w:sz w:val="24"/>
                <w:szCs w:val="24"/>
              </w:rPr>
              <w:t xml:space="preserve"> ĮRENGIANT 6,971 KM ŠVIESOFORINĘ SANKRYŽĄ  </w:t>
            </w:r>
            <w:r>
              <w:rPr>
                <w:rFonts w:cs="Arial"/>
                <w:b/>
                <w:bCs/>
                <w:sz w:val="24"/>
                <w:szCs w:val="24"/>
              </w:rPr>
              <w:t>APRAŠO (TOLIAU – PROJEKTAS)</w:t>
            </w:r>
            <w:r w:rsidRPr="00DD0E80">
              <w:rPr>
                <w:rFonts w:cs="Arial"/>
                <w:b/>
                <w:bCs/>
                <w:sz w:val="24"/>
                <w:szCs w:val="24"/>
              </w:rPr>
              <w:t xml:space="preserve"> </w:t>
            </w:r>
            <w:r>
              <w:rPr>
                <w:rFonts w:cs="Arial"/>
                <w:b/>
                <w:bCs/>
                <w:sz w:val="24"/>
                <w:szCs w:val="24"/>
              </w:rPr>
              <w:t>PARENGIMAS</w:t>
            </w:r>
            <w:r w:rsidRPr="00DD0E80">
              <w:rPr>
                <w:rFonts w:cs="Arial"/>
                <w:b/>
                <w:bCs/>
                <w:sz w:val="24"/>
                <w:szCs w:val="24"/>
              </w:rPr>
              <w:t>, RANGOS DARB</w:t>
            </w:r>
            <w:r>
              <w:rPr>
                <w:rFonts w:cs="Arial"/>
                <w:b/>
                <w:bCs/>
                <w:sz w:val="24"/>
                <w:szCs w:val="24"/>
              </w:rPr>
              <w:t>Ų(PAGAL PARUOŠTO PROJEKTO I ETAPĄ) ATLIKIMAS</w:t>
            </w:r>
            <w:r w:rsidRPr="00DD0E80">
              <w:rPr>
                <w:rFonts w:cs="Arial"/>
                <w:b/>
                <w:bCs/>
                <w:sz w:val="24"/>
                <w:szCs w:val="24"/>
              </w:rPr>
              <w:t xml:space="preserve"> IR</w:t>
            </w:r>
            <w:r w:rsidRPr="00DD0E80">
              <w:rPr>
                <w:rFonts w:cs="Arial"/>
                <w:b/>
                <w:bCs/>
                <w:sz w:val="24"/>
                <w:szCs w:val="24"/>
                <w:shd w:val="clear" w:color="auto" w:fill="FFFFFF"/>
              </w:rPr>
              <w:t xml:space="preserve"> PROJEKTO VYKDYMO PRIEŽIŪROS PASLAUG</w:t>
            </w:r>
            <w:r>
              <w:rPr>
                <w:rFonts w:cs="Arial"/>
                <w:b/>
                <w:bCs/>
                <w:sz w:val="24"/>
                <w:szCs w:val="24"/>
                <w:shd w:val="clear" w:color="auto" w:fill="FFFFFF"/>
              </w:rPr>
              <w:t>Ų“</w:t>
            </w:r>
          </w:p>
          <w:p w:rsidR="00661798" w:rsidRPr="00901B89" w:rsidRDefault="00661798" w:rsidP="00B922CF">
            <w:pPr>
              <w:spacing w:line="276" w:lineRule="auto"/>
              <w:jc w:val="center"/>
              <w:rPr>
                <w:rFonts w:cs="Arial"/>
                <w:sz w:val="24"/>
                <w:szCs w:val="24"/>
              </w:rPr>
            </w:pPr>
            <w:r w:rsidRPr="00FE2DF4">
              <w:rPr>
                <w:rFonts w:cs="Arial"/>
                <w:b/>
                <w:sz w:val="24"/>
                <w:szCs w:val="24"/>
              </w:rPr>
              <w:t xml:space="preserve">TECHNINĖ </w:t>
            </w:r>
            <w:r>
              <w:rPr>
                <w:rFonts w:cs="Arial"/>
                <w:b/>
                <w:sz w:val="24"/>
                <w:szCs w:val="24"/>
              </w:rPr>
              <w:t>UŽDUOTIS</w:t>
            </w:r>
            <w:r w:rsidRPr="00FE2DF4">
              <w:rPr>
                <w:rFonts w:cs="Arial"/>
                <w:b/>
                <w:sz w:val="24"/>
                <w:szCs w:val="24"/>
              </w:rPr>
              <w:t>.</w:t>
            </w:r>
          </w:p>
        </w:tc>
      </w:tr>
      <w:tr w:rsidR="00661798" w:rsidRPr="007C625D" w:rsidTr="00B922CF">
        <w:trPr>
          <w:trHeight w:val="990"/>
        </w:trPr>
        <w:tc>
          <w:tcPr>
            <w:tcW w:w="3220" w:type="dxa"/>
            <w:tcBorders>
              <w:top w:val="nil"/>
              <w:left w:val="nil"/>
              <w:bottom w:val="nil"/>
              <w:right w:val="nil"/>
            </w:tcBorders>
            <w:tcMar>
              <w:top w:w="39" w:type="dxa"/>
              <w:left w:w="39" w:type="dxa"/>
              <w:bottom w:w="39" w:type="dxa"/>
              <w:right w:w="39" w:type="dxa"/>
            </w:tcMar>
          </w:tcPr>
          <w:p w:rsidR="00661798" w:rsidRPr="007C625D" w:rsidRDefault="00661798" w:rsidP="00B922CF">
            <w:pPr>
              <w:tabs>
                <w:tab w:val="left" w:pos="1296"/>
                <w:tab w:val="center" w:pos="4153"/>
                <w:tab w:val="right" w:pos="8306"/>
              </w:tabs>
              <w:rPr>
                <w:rFonts w:cs="Arial"/>
                <w:b/>
                <w:bCs/>
                <w:sz w:val="24"/>
                <w:szCs w:val="24"/>
              </w:rPr>
            </w:pPr>
          </w:p>
        </w:tc>
        <w:tc>
          <w:tcPr>
            <w:tcW w:w="3183" w:type="dxa"/>
            <w:tcBorders>
              <w:top w:val="nil"/>
              <w:left w:val="nil"/>
              <w:bottom w:val="nil"/>
              <w:right w:val="nil"/>
            </w:tcBorders>
            <w:tcMar>
              <w:top w:w="39" w:type="dxa"/>
              <w:left w:w="39" w:type="dxa"/>
              <w:bottom w:w="39" w:type="dxa"/>
              <w:right w:w="39" w:type="dxa"/>
            </w:tcMar>
          </w:tcPr>
          <w:p w:rsidR="00661798" w:rsidRPr="007C625D" w:rsidRDefault="00661798" w:rsidP="00B922CF">
            <w:pPr>
              <w:tabs>
                <w:tab w:val="left" w:pos="1296"/>
                <w:tab w:val="center" w:pos="4153"/>
                <w:tab w:val="right" w:pos="8306"/>
              </w:tabs>
              <w:rPr>
                <w:rFonts w:cs="Arial"/>
                <w:b/>
                <w:bCs/>
                <w:sz w:val="24"/>
                <w:szCs w:val="24"/>
              </w:rPr>
            </w:pPr>
          </w:p>
        </w:tc>
        <w:tc>
          <w:tcPr>
            <w:tcW w:w="3236" w:type="dxa"/>
            <w:tcBorders>
              <w:top w:val="nil"/>
              <w:left w:val="nil"/>
              <w:bottom w:val="nil"/>
              <w:right w:val="nil"/>
            </w:tcBorders>
            <w:tcMar>
              <w:top w:w="39" w:type="dxa"/>
              <w:left w:w="39" w:type="dxa"/>
              <w:bottom w:w="39" w:type="dxa"/>
              <w:right w:w="39" w:type="dxa"/>
            </w:tcMar>
          </w:tcPr>
          <w:p w:rsidR="00661798" w:rsidRPr="007C625D" w:rsidRDefault="00661798" w:rsidP="00B922CF">
            <w:pPr>
              <w:tabs>
                <w:tab w:val="left" w:pos="1296"/>
                <w:tab w:val="center" w:pos="4153"/>
                <w:tab w:val="right" w:pos="8306"/>
              </w:tabs>
              <w:rPr>
                <w:rFonts w:cs="Arial"/>
                <w:b/>
                <w:bCs/>
                <w:sz w:val="24"/>
                <w:szCs w:val="24"/>
              </w:rPr>
            </w:pPr>
          </w:p>
        </w:tc>
      </w:tr>
      <w:tr w:rsidR="00661798" w:rsidRPr="007C625D" w:rsidTr="00B922CF">
        <w:trPr>
          <w:trHeight w:val="457"/>
        </w:trPr>
        <w:tc>
          <w:tcPr>
            <w:tcW w:w="9639" w:type="dxa"/>
            <w:gridSpan w:val="3"/>
            <w:tcBorders>
              <w:top w:val="nil"/>
              <w:left w:val="nil"/>
              <w:bottom w:val="nil"/>
              <w:right w:val="nil"/>
            </w:tcBorders>
            <w:tcMar>
              <w:top w:w="39" w:type="dxa"/>
              <w:left w:w="39" w:type="dxa"/>
              <w:bottom w:w="39" w:type="dxa"/>
              <w:right w:w="39" w:type="dxa"/>
            </w:tcMar>
          </w:tcPr>
          <w:p w:rsidR="00661798" w:rsidRPr="007C625D" w:rsidRDefault="00661798" w:rsidP="00B922CF">
            <w:pPr>
              <w:tabs>
                <w:tab w:val="left" w:pos="1296"/>
                <w:tab w:val="center" w:pos="4153"/>
                <w:tab w:val="right" w:pos="8306"/>
              </w:tabs>
              <w:rPr>
                <w:rFonts w:cs="Arial"/>
                <w:sz w:val="24"/>
                <w:szCs w:val="24"/>
              </w:rPr>
            </w:pPr>
            <w:r w:rsidRPr="007C625D">
              <w:rPr>
                <w:rFonts w:cs="Arial"/>
                <w:sz w:val="24"/>
                <w:szCs w:val="24"/>
              </w:rPr>
              <w:t>1. Statytojas: Klaipėdos rajono savivaldybė.</w:t>
            </w:r>
            <w:r w:rsidRPr="007C625D">
              <w:rPr>
                <w:rFonts w:cs="Arial"/>
                <w:sz w:val="24"/>
                <w:szCs w:val="24"/>
              </w:rPr>
              <w:br/>
            </w:r>
            <w:r w:rsidRPr="007C625D">
              <w:rPr>
                <w:rFonts w:cs="Arial"/>
                <w:sz w:val="24"/>
                <w:szCs w:val="24"/>
              </w:rPr>
              <w:br/>
              <w:t>2. Užsakovas: Klaipėdos rajono savivaldybė.</w:t>
            </w:r>
            <w:r w:rsidRPr="007C625D">
              <w:rPr>
                <w:rFonts w:cs="Arial"/>
                <w:sz w:val="24"/>
                <w:szCs w:val="24"/>
              </w:rPr>
              <w:br/>
            </w:r>
            <w:r w:rsidRPr="007C625D">
              <w:rPr>
                <w:rFonts w:cs="Arial"/>
                <w:sz w:val="24"/>
                <w:szCs w:val="24"/>
              </w:rPr>
              <w:br/>
              <w:t xml:space="preserve">3. Projekto pavadinimas: </w:t>
            </w:r>
            <w:r w:rsidRPr="00DD0E80">
              <w:rPr>
                <w:rFonts w:cs="Arial"/>
                <w:sz w:val="24"/>
                <w:szCs w:val="24"/>
                <w:shd w:val="clear" w:color="auto" w:fill="FFFFFF"/>
              </w:rPr>
              <w:t>Valstybinės reikšmės rajoninio kelio Nr.2212 Klaipėda-Radailiai-Kretinga sankryžos paprastasis remontas įrengiant 6,971 km šviesoforinę sankryžą</w:t>
            </w:r>
            <w:r>
              <w:rPr>
                <w:rFonts w:cs="Arial"/>
                <w:sz w:val="24"/>
                <w:szCs w:val="24"/>
                <w:shd w:val="clear" w:color="auto" w:fill="FFFFFF"/>
              </w:rPr>
              <w:t>, aprašas (toliau – Projektas)</w:t>
            </w:r>
            <w:r w:rsidRPr="007C625D">
              <w:rPr>
                <w:rFonts w:cs="Arial"/>
                <w:sz w:val="24"/>
                <w:szCs w:val="24"/>
              </w:rPr>
              <w:br/>
            </w:r>
            <w:r w:rsidRPr="007C625D">
              <w:rPr>
                <w:rFonts w:cs="Arial"/>
                <w:sz w:val="24"/>
                <w:szCs w:val="24"/>
              </w:rPr>
              <w:br/>
              <w:t>4. Statybos rūšis: paprastasis remontas.</w:t>
            </w:r>
            <w:r w:rsidRPr="007C625D">
              <w:rPr>
                <w:rFonts w:cs="Arial"/>
                <w:sz w:val="24"/>
                <w:szCs w:val="24"/>
              </w:rPr>
              <w:br/>
            </w:r>
            <w:r w:rsidRPr="007C625D">
              <w:rPr>
                <w:rFonts w:cs="Arial"/>
                <w:sz w:val="24"/>
                <w:szCs w:val="24"/>
              </w:rPr>
              <w:br/>
              <w:t>5. Etapas: aprašas.</w:t>
            </w:r>
            <w:r w:rsidRPr="007C625D">
              <w:rPr>
                <w:rFonts w:cs="Arial"/>
                <w:sz w:val="24"/>
                <w:szCs w:val="24"/>
              </w:rPr>
              <w:br/>
            </w:r>
            <w:r w:rsidRPr="007C625D">
              <w:rPr>
                <w:rFonts w:cs="Arial"/>
                <w:sz w:val="24"/>
                <w:szCs w:val="24"/>
              </w:rPr>
              <w:br/>
              <w:t>6. Statinio kategorija: ypatingasis statinys.</w:t>
            </w:r>
            <w:r w:rsidRPr="007C625D">
              <w:rPr>
                <w:rFonts w:cs="Arial"/>
                <w:sz w:val="24"/>
                <w:szCs w:val="24"/>
              </w:rPr>
              <w:br/>
            </w:r>
            <w:r w:rsidRPr="007C625D">
              <w:rPr>
                <w:rFonts w:cs="Arial"/>
                <w:sz w:val="24"/>
                <w:szCs w:val="24"/>
              </w:rPr>
              <w:br/>
              <w:t>7. Statinio rūšis: inžinerinis statinys.</w:t>
            </w:r>
            <w:r w:rsidRPr="007C625D">
              <w:rPr>
                <w:rFonts w:cs="Arial"/>
                <w:sz w:val="24"/>
                <w:szCs w:val="24"/>
              </w:rPr>
              <w:br/>
            </w:r>
            <w:r w:rsidRPr="007C625D">
              <w:rPr>
                <w:rFonts w:cs="Arial"/>
                <w:sz w:val="24"/>
                <w:szCs w:val="24"/>
              </w:rPr>
              <w:br/>
              <w:t>8. Inžinerinių statinių grupė: susisiekimo komunikacijos.</w:t>
            </w:r>
            <w:r w:rsidRPr="007C625D">
              <w:rPr>
                <w:rFonts w:cs="Arial"/>
                <w:sz w:val="24"/>
                <w:szCs w:val="24"/>
              </w:rPr>
              <w:br/>
            </w:r>
            <w:r w:rsidRPr="007C625D">
              <w:rPr>
                <w:rFonts w:cs="Arial"/>
                <w:sz w:val="24"/>
                <w:szCs w:val="24"/>
              </w:rPr>
              <w:br/>
              <w:t>9. Inžinerinių statinių pogrupis: keliai.</w:t>
            </w:r>
            <w:r w:rsidRPr="007C625D">
              <w:rPr>
                <w:rFonts w:cs="Arial"/>
                <w:sz w:val="24"/>
                <w:szCs w:val="24"/>
              </w:rPr>
              <w:br/>
            </w:r>
          </w:p>
        </w:tc>
      </w:tr>
      <w:tr w:rsidR="00661798" w:rsidRPr="007C625D" w:rsidTr="00B922CF">
        <w:trPr>
          <w:trHeight w:val="446"/>
        </w:trPr>
        <w:tc>
          <w:tcPr>
            <w:tcW w:w="9639" w:type="dxa"/>
            <w:gridSpan w:val="3"/>
            <w:tcBorders>
              <w:top w:val="nil"/>
              <w:left w:val="nil"/>
              <w:bottom w:val="nil"/>
              <w:right w:val="nil"/>
            </w:tcBorders>
            <w:tcMar>
              <w:top w:w="39" w:type="dxa"/>
              <w:left w:w="39" w:type="dxa"/>
              <w:bottom w:w="39" w:type="dxa"/>
              <w:right w:w="39" w:type="dxa"/>
            </w:tcMar>
          </w:tcPr>
          <w:p w:rsidR="00661798" w:rsidRDefault="00661798" w:rsidP="00B922CF">
            <w:pPr>
              <w:tabs>
                <w:tab w:val="left" w:pos="1296"/>
                <w:tab w:val="center" w:pos="4153"/>
                <w:tab w:val="right" w:pos="8306"/>
              </w:tabs>
              <w:rPr>
                <w:rFonts w:cs="Arial"/>
                <w:sz w:val="24"/>
                <w:szCs w:val="24"/>
              </w:rPr>
            </w:pPr>
            <w:r w:rsidRPr="007C625D">
              <w:rPr>
                <w:rFonts w:cs="Arial"/>
                <w:sz w:val="24"/>
                <w:szCs w:val="24"/>
              </w:rPr>
              <w:t>10. Nurodymai statinių ir / arba jų elementų projektavimui ir jų techniniai parametrai:</w:t>
            </w:r>
          </w:p>
          <w:tbl>
            <w:tblPr>
              <w:tblW w:w="0" w:type="auto"/>
              <w:tblCellMar>
                <w:left w:w="0" w:type="dxa"/>
                <w:right w:w="0" w:type="dxa"/>
              </w:tblCellMar>
              <w:tblLook w:val="0000" w:firstRow="0" w:lastRow="0" w:firstColumn="0" w:lastColumn="0" w:noHBand="0" w:noVBand="0"/>
            </w:tblPr>
            <w:tblGrid>
              <w:gridCol w:w="8993"/>
            </w:tblGrid>
            <w:tr w:rsidR="006F50BC" w:rsidRPr="007C625D" w:rsidTr="00B922CF">
              <w:trPr>
                <w:trHeight w:val="431"/>
              </w:trPr>
              <w:tc>
                <w:tcPr>
                  <w:tcW w:w="9639" w:type="dxa"/>
                  <w:tcBorders>
                    <w:top w:val="nil"/>
                    <w:left w:val="nil"/>
                    <w:bottom w:val="nil"/>
                    <w:right w:val="nil"/>
                  </w:tcBorders>
                  <w:tcMar>
                    <w:top w:w="39" w:type="dxa"/>
                    <w:left w:w="39" w:type="dxa"/>
                    <w:bottom w:w="39" w:type="dxa"/>
                    <w:right w:w="39" w:type="dxa"/>
                  </w:tcMar>
                </w:tcPr>
                <w:p w:rsidR="006F50BC" w:rsidRPr="007C625D" w:rsidRDefault="006F50BC" w:rsidP="006F50BC">
                  <w:pPr>
                    <w:tabs>
                      <w:tab w:val="left" w:pos="1296"/>
                      <w:tab w:val="center" w:pos="4153"/>
                      <w:tab w:val="right" w:pos="8306"/>
                    </w:tabs>
                    <w:rPr>
                      <w:rFonts w:cs="Arial"/>
                      <w:sz w:val="24"/>
                      <w:szCs w:val="24"/>
                    </w:rPr>
                  </w:pPr>
                  <w:r w:rsidRPr="006F50BC">
                    <w:rPr>
                      <w:rFonts w:cs="Arial"/>
                      <w:iCs/>
                      <w:sz w:val="24"/>
                      <w:szCs w:val="24"/>
                    </w:rPr>
                    <w:t>10.1. numatoma darbų vykdymo riba</w:t>
                  </w:r>
                  <w:r w:rsidRPr="007C625D">
                    <w:rPr>
                      <w:rFonts w:cs="Arial"/>
                      <w:i/>
                      <w:sz w:val="24"/>
                      <w:szCs w:val="24"/>
                    </w:rPr>
                    <w:t xml:space="preserve">: </w:t>
                  </w:r>
                  <w:r w:rsidRPr="007C625D">
                    <w:rPr>
                      <w:rFonts w:cs="Arial"/>
                      <w:sz w:val="24"/>
                      <w:szCs w:val="24"/>
                    </w:rPr>
                    <w:t>Valstybinės reikšmės rajoninio kelio Nr. 2212 Klaipėda−Radailiai−Kretinga sankryža 6,971 km (darbų ribas tikslinti projektavimo metu);</w:t>
                  </w:r>
                  <w:r w:rsidRPr="007C625D">
                    <w:rPr>
                      <w:rFonts w:cs="Arial"/>
                      <w:sz w:val="24"/>
                      <w:szCs w:val="24"/>
                    </w:rPr>
                    <w:br/>
                  </w:r>
                  <w:r w:rsidRPr="007C625D">
                    <w:rPr>
                      <w:rFonts w:cs="Arial"/>
                      <w:sz w:val="24"/>
                      <w:szCs w:val="24"/>
                    </w:rPr>
                    <w:br/>
                  </w:r>
                  <w:r w:rsidRPr="006F50BC">
                    <w:rPr>
                      <w:rFonts w:cs="Arial"/>
                      <w:iCs/>
                      <w:sz w:val="24"/>
                      <w:szCs w:val="24"/>
                    </w:rPr>
                    <w:t>10.2. kelio (gatvės) kategorija</w:t>
                  </w:r>
                  <w:r w:rsidRPr="007C625D">
                    <w:rPr>
                      <w:rFonts w:cs="Arial"/>
                      <w:i/>
                      <w:sz w:val="24"/>
                      <w:szCs w:val="24"/>
                    </w:rPr>
                    <w:t xml:space="preserve">: </w:t>
                  </w:r>
                  <w:r w:rsidRPr="007C625D">
                    <w:rPr>
                      <w:rFonts w:cs="Arial"/>
                      <w:sz w:val="24"/>
                      <w:szCs w:val="24"/>
                    </w:rPr>
                    <w:t>pagal VĮ Registrų centro duomenis (gyvenvietėje projektuoti pagal STR 2.06.04:2014 „Gatvės ir vietinės reikšmės keliai. Bendrieji reikalavimai“);</w:t>
                  </w:r>
                  <w:r w:rsidRPr="007C625D">
                    <w:rPr>
                      <w:rFonts w:cs="Arial"/>
                      <w:sz w:val="24"/>
                      <w:szCs w:val="24"/>
                    </w:rPr>
                    <w:br/>
                  </w:r>
                  <w:r w:rsidRPr="007C625D">
                    <w:rPr>
                      <w:rFonts w:cs="Arial"/>
                      <w:sz w:val="24"/>
                      <w:szCs w:val="24"/>
                    </w:rPr>
                    <w:br/>
                  </w:r>
                  <w:r w:rsidRPr="006F50BC">
                    <w:rPr>
                      <w:rFonts w:cs="Arial"/>
                      <w:iCs/>
                      <w:sz w:val="24"/>
                      <w:szCs w:val="24"/>
                    </w:rPr>
                    <w:t>10.3. numatyti adaptyvų šviesoforų valdymą</w:t>
                  </w:r>
                  <w:r w:rsidRPr="007C625D">
                    <w:rPr>
                      <w:rFonts w:cs="Arial"/>
                      <w:i/>
                      <w:sz w:val="24"/>
                      <w:szCs w:val="24"/>
                    </w:rPr>
                    <w:t xml:space="preserve">: </w:t>
                  </w:r>
                  <w:r w:rsidRPr="007C625D">
                    <w:rPr>
                      <w:rFonts w:cs="Arial"/>
                      <w:sz w:val="24"/>
                      <w:szCs w:val="24"/>
                    </w:rPr>
                    <w:t>Taip;</w:t>
                  </w:r>
                </w:p>
                <w:p w:rsidR="006F50BC" w:rsidRPr="007C625D" w:rsidRDefault="006F50BC" w:rsidP="006F50BC">
                  <w:pPr>
                    <w:tabs>
                      <w:tab w:val="left" w:pos="1296"/>
                      <w:tab w:val="center" w:pos="4153"/>
                      <w:tab w:val="right" w:pos="8306"/>
                    </w:tabs>
                    <w:rPr>
                      <w:rFonts w:cs="Arial"/>
                      <w:sz w:val="24"/>
                      <w:szCs w:val="24"/>
                    </w:rPr>
                  </w:pPr>
                  <w:r w:rsidRPr="007C625D">
                    <w:rPr>
                      <w:rFonts w:cs="Arial"/>
                      <w:sz w:val="24"/>
                      <w:szCs w:val="24"/>
                    </w:rPr>
                    <w:t>Projektuojant šviesoforais reguliuojamų sankryžų geometriją ir planinę padėtį, įskaitant pėsčiųjų bei dviračių takų vietas, privaloma vadovautis šiais principais, siekiant sutrumpinti transporto priemonių judėjimo trajektorijas sankryžoje, sumažinti eismo įvykių riziką bei gerinti sankryžos pralaidumą:</w:t>
                  </w:r>
                </w:p>
                <w:p w:rsidR="006F50BC" w:rsidRPr="007C625D" w:rsidRDefault="006F50BC" w:rsidP="006F50BC">
                  <w:pPr>
                    <w:numPr>
                      <w:ilvl w:val="0"/>
                      <w:numId w:val="3"/>
                    </w:numPr>
                    <w:tabs>
                      <w:tab w:val="left" w:pos="1296"/>
                      <w:tab w:val="center" w:pos="4153"/>
                      <w:tab w:val="right" w:pos="8306"/>
                    </w:tabs>
                    <w:rPr>
                      <w:rFonts w:cs="Arial"/>
                      <w:sz w:val="24"/>
                      <w:szCs w:val="24"/>
                    </w:rPr>
                  </w:pPr>
                  <w:r w:rsidRPr="007C625D">
                    <w:rPr>
                      <w:rFonts w:cs="Arial"/>
                      <w:sz w:val="24"/>
                      <w:szCs w:val="24"/>
                    </w:rPr>
                    <w:t>sankryžos ploto minimizavimas, parenkant mažiausius leistinus posūkio spindulius (atsižvelgti į reikalingas posūkio trajektorijas);</w:t>
                  </w:r>
                </w:p>
                <w:p w:rsidR="006F50BC" w:rsidRPr="007C625D" w:rsidRDefault="006F50BC" w:rsidP="006F50BC">
                  <w:pPr>
                    <w:numPr>
                      <w:ilvl w:val="0"/>
                      <w:numId w:val="3"/>
                    </w:numPr>
                    <w:tabs>
                      <w:tab w:val="left" w:pos="1296"/>
                      <w:tab w:val="center" w:pos="4153"/>
                      <w:tab w:val="right" w:pos="8306"/>
                    </w:tabs>
                    <w:rPr>
                      <w:rFonts w:cs="Arial"/>
                      <w:sz w:val="24"/>
                      <w:szCs w:val="24"/>
                    </w:rPr>
                  </w:pPr>
                  <w:r w:rsidRPr="007C625D">
                    <w:rPr>
                      <w:rFonts w:cs="Arial"/>
                      <w:sz w:val="24"/>
                      <w:szCs w:val="24"/>
                    </w:rPr>
                    <w:t>Sankryža turi būti suprojektuota taip, kad stop linija reiktų įrengti kuo arčiau sankryžos ploto pradžios;</w:t>
                  </w:r>
                </w:p>
                <w:p w:rsidR="006F50BC" w:rsidRPr="007C625D" w:rsidRDefault="006F50BC" w:rsidP="006F50BC">
                  <w:pPr>
                    <w:numPr>
                      <w:ilvl w:val="0"/>
                      <w:numId w:val="3"/>
                    </w:numPr>
                    <w:tabs>
                      <w:tab w:val="left" w:pos="1296"/>
                      <w:tab w:val="center" w:pos="4153"/>
                      <w:tab w:val="right" w:pos="8306"/>
                    </w:tabs>
                    <w:rPr>
                      <w:rFonts w:cs="Arial"/>
                      <w:sz w:val="24"/>
                      <w:szCs w:val="24"/>
                    </w:rPr>
                  </w:pPr>
                  <w:r w:rsidRPr="007C625D">
                    <w:rPr>
                      <w:rFonts w:cs="Arial"/>
                      <w:sz w:val="24"/>
                      <w:szCs w:val="24"/>
                    </w:rPr>
                    <w:t>eismo juostos sankryžos prieigose turi būti kuo siauresnės (atsižvelgiant į kelio kategoriją bei teisės aktų reikalavimus).</w:t>
                  </w:r>
                </w:p>
                <w:p w:rsidR="006F50BC" w:rsidRPr="007C625D" w:rsidRDefault="006F50BC" w:rsidP="006F50BC">
                  <w:pPr>
                    <w:tabs>
                      <w:tab w:val="left" w:pos="1296"/>
                      <w:tab w:val="center" w:pos="4153"/>
                      <w:tab w:val="right" w:pos="8306"/>
                    </w:tabs>
                    <w:rPr>
                      <w:rFonts w:cs="Arial"/>
                      <w:sz w:val="24"/>
                      <w:szCs w:val="24"/>
                    </w:rPr>
                  </w:pPr>
                  <w:r w:rsidRPr="007C625D">
                    <w:rPr>
                      <w:rFonts w:cs="Arial"/>
                      <w:sz w:val="24"/>
                      <w:szCs w:val="24"/>
                    </w:rPr>
                    <w:t>Projektuojant šviesoforais reguliuojamų sankryžų geometriją bei planinę padėtį privaloma vadovautis šiais Kelių šviesoforų įrengimo taisyklėse nurodytais principais:</w:t>
                  </w:r>
                </w:p>
                <w:p w:rsidR="006F50BC" w:rsidRPr="007C625D" w:rsidRDefault="006F50BC" w:rsidP="006F50BC">
                  <w:pPr>
                    <w:numPr>
                      <w:ilvl w:val="0"/>
                      <w:numId w:val="2"/>
                    </w:numPr>
                    <w:tabs>
                      <w:tab w:val="left" w:pos="1296"/>
                      <w:tab w:val="center" w:pos="4153"/>
                      <w:tab w:val="right" w:pos="8306"/>
                    </w:tabs>
                    <w:rPr>
                      <w:rFonts w:cs="Arial"/>
                      <w:sz w:val="24"/>
                      <w:szCs w:val="24"/>
                    </w:rPr>
                  </w:pPr>
                  <w:r w:rsidRPr="007C625D">
                    <w:rPr>
                      <w:rFonts w:cs="Arial"/>
                      <w:sz w:val="24"/>
                      <w:szCs w:val="24"/>
                    </w:rPr>
                    <w:t>pėsčiųjų perėjos turi atitikti pėsčiųjų judėjimo srautus ir, siekiant užtikrinti geresnį matomumą, sankryžoje pėsčiųjų perėjos turi būti įrengtos kuo arčiau šalia esančio lygiagretaus kelio;</w:t>
                  </w:r>
                </w:p>
                <w:p w:rsidR="006F50BC" w:rsidRPr="007C625D" w:rsidRDefault="006F50BC" w:rsidP="006F50BC">
                  <w:pPr>
                    <w:numPr>
                      <w:ilvl w:val="0"/>
                      <w:numId w:val="2"/>
                    </w:numPr>
                    <w:tabs>
                      <w:tab w:val="left" w:pos="1296"/>
                      <w:tab w:val="center" w:pos="4153"/>
                      <w:tab w:val="right" w:pos="8306"/>
                    </w:tabs>
                    <w:rPr>
                      <w:rFonts w:cs="Arial"/>
                      <w:sz w:val="24"/>
                      <w:szCs w:val="24"/>
                    </w:rPr>
                  </w:pPr>
                  <w:r w:rsidRPr="007C625D">
                    <w:rPr>
                      <w:rFonts w:cs="Arial"/>
                      <w:sz w:val="24"/>
                      <w:szCs w:val="24"/>
                    </w:rPr>
                    <w:t>kai iš vienos eismo juostos leidžiama važiuoti tiesiai ir į dešinę, dešinėje esanti pėsčiųjų perėja gali būti atitraukta nuo važiuojamųjų kelio dalių sankirtos apie 5–6 m, tam, kad būtų vietos sukančioms į dešinę transporto priemonėms ir jos netrukdytų iš paskos važiuojantiems tiesiai;</w:t>
                  </w:r>
                </w:p>
                <w:p w:rsidR="006F50BC" w:rsidRPr="007C625D" w:rsidRDefault="006F50BC" w:rsidP="006F50BC">
                  <w:pPr>
                    <w:numPr>
                      <w:ilvl w:val="0"/>
                      <w:numId w:val="2"/>
                    </w:numPr>
                    <w:tabs>
                      <w:tab w:val="left" w:pos="1296"/>
                      <w:tab w:val="center" w:pos="4153"/>
                      <w:tab w:val="right" w:pos="8306"/>
                    </w:tabs>
                    <w:rPr>
                      <w:rFonts w:cs="Arial"/>
                      <w:sz w:val="24"/>
                      <w:szCs w:val="24"/>
                    </w:rPr>
                  </w:pPr>
                  <w:r w:rsidRPr="007C625D">
                    <w:rPr>
                      <w:rFonts w:cs="Arial"/>
                      <w:sz w:val="24"/>
                      <w:szCs w:val="24"/>
                    </w:rPr>
                    <w:t>rekomenduojama posūkį apribojančius bortelius įrengti su mažu spinduliu – tai sumažina pėsčiųjų perėjos ilgį ir sukančių transporto priemonių greičius, tačiau tai turi leisti pasukti didelių gabaritų transporto priemonėms.</w:t>
                  </w:r>
                </w:p>
                <w:p w:rsidR="006F50BC" w:rsidRPr="007C625D" w:rsidRDefault="006F50BC" w:rsidP="006F50BC">
                  <w:pPr>
                    <w:tabs>
                      <w:tab w:val="left" w:pos="1296"/>
                      <w:tab w:val="center" w:pos="4153"/>
                      <w:tab w:val="right" w:pos="8306"/>
                    </w:tabs>
                    <w:rPr>
                      <w:rFonts w:cs="Arial"/>
                      <w:sz w:val="24"/>
                      <w:szCs w:val="24"/>
                    </w:rPr>
                  </w:pPr>
                  <w:r w:rsidRPr="007C625D">
                    <w:rPr>
                      <w:rFonts w:cs="Arial"/>
                      <w:sz w:val="24"/>
                      <w:szCs w:val="24"/>
                    </w:rPr>
                    <w:t>Projektuojant šviesoforų įrangą remtis pridedamais reikalavimai šviesoforais reguliuojamų sankryžų ir perėjų projektavimui.</w:t>
                  </w:r>
                </w:p>
                <w:p w:rsidR="006F50BC" w:rsidRPr="007C625D" w:rsidRDefault="006F50BC" w:rsidP="006F50BC">
                  <w:pPr>
                    <w:tabs>
                      <w:tab w:val="left" w:pos="1296"/>
                      <w:tab w:val="center" w:pos="4153"/>
                      <w:tab w:val="right" w:pos="8306"/>
                    </w:tabs>
                    <w:rPr>
                      <w:rFonts w:cs="Arial"/>
                      <w:sz w:val="24"/>
                      <w:szCs w:val="24"/>
                    </w:rPr>
                  </w:pPr>
                  <w:r w:rsidRPr="007C625D">
                    <w:rPr>
                      <w:rFonts w:cs="Arial"/>
                      <w:sz w:val="24"/>
                      <w:szCs w:val="24"/>
                    </w:rPr>
                    <w:t>Projektuojant vertikalųjį ir horizontalųjį ženklinimą atsižvelgti į reikalavimus šviesoforais reguliuojamų sankryžų ir perėjų projektavimui.</w:t>
                  </w:r>
                </w:p>
                <w:p w:rsidR="006F50BC" w:rsidRPr="007C625D" w:rsidRDefault="006F50BC" w:rsidP="006F50BC">
                  <w:pPr>
                    <w:tabs>
                      <w:tab w:val="left" w:pos="1296"/>
                      <w:tab w:val="center" w:pos="4153"/>
                      <w:tab w:val="right" w:pos="8306"/>
                    </w:tabs>
                    <w:rPr>
                      <w:rFonts w:cs="Arial"/>
                      <w:i/>
                      <w:sz w:val="24"/>
                      <w:szCs w:val="24"/>
                    </w:rPr>
                  </w:pPr>
                  <w:r w:rsidRPr="007C625D">
                    <w:rPr>
                      <w:rFonts w:cs="Arial"/>
                      <w:sz w:val="24"/>
                      <w:szCs w:val="24"/>
                    </w:rPr>
                    <w:br/>
                  </w:r>
                  <w:r w:rsidRPr="006F50BC">
                    <w:rPr>
                      <w:rFonts w:cs="Arial"/>
                      <w:iCs/>
                      <w:sz w:val="24"/>
                      <w:szCs w:val="24"/>
                    </w:rPr>
                    <w:t>10.4. pėstiesiems ir (arba) dviratininkams skirta infrastruktūra</w:t>
                  </w:r>
                  <w:r w:rsidRPr="007C625D">
                    <w:rPr>
                      <w:rFonts w:cs="Arial"/>
                      <w:i/>
                      <w:sz w:val="24"/>
                      <w:szCs w:val="24"/>
                    </w:rPr>
                    <w:t xml:space="preserve">: </w:t>
                  </w:r>
                  <w:r w:rsidRPr="007C625D">
                    <w:rPr>
                      <w:rFonts w:cs="Arial"/>
                      <w:sz w:val="24"/>
                      <w:szCs w:val="24"/>
                    </w:rPr>
                    <w:t>poreikį nustatyti projektavimo metu, pagal Pėsčiųjų ir dviračių takų projektavimo rekomendacijas R PDTP 12;</w:t>
                  </w:r>
                  <w:r w:rsidRPr="007C625D">
                    <w:rPr>
                      <w:rFonts w:cs="Arial"/>
                      <w:sz w:val="24"/>
                      <w:szCs w:val="24"/>
                    </w:rPr>
                    <w:br/>
                  </w:r>
                  <w:r w:rsidRPr="007C625D">
                    <w:rPr>
                      <w:rFonts w:cs="Arial"/>
                      <w:sz w:val="24"/>
                      <w:szCs w:val="24"/>
                    </w:rPr>
                    <w:br/>
                  </w:r>
                  <w:r w:rsidRPr="006F50BC">
                    <w:rPr>
                      <w:rFonts w:cs="Arial"/>
                      <w:iCs/>
                      <w:sz w:val="24"/>
                      <w:szCs w:val="24"/>
                    </w:rPr>
                    <w:t>10.5. važiuojamosios dalies skersinis profilis</w:t>
                  </w:r>
                  <w:r w:rsidRPr="007C625D">
                    <w:rPr>
                      <w:rFonts w:cs="Arial"/>
                      <w:i/>
                      <w:sz w:val="24"/>
                      <w:szCs w:val="24"/>
                    </w:rPr>
                    <w:t xml:space="preserve">: </w:t>
                  </w:r>
                  <w:r w:rsidRPr="007C625D">
                    <w:rPr>
                      <w:rFonts w:cs="Arial"/>
                      <w:sz w:val="24"/>
                      <w:szCs w:val="24"/>
                    </w:rPr>
                    <w:t>pagal normatyvinių dokumentų reikalavimus;</w:t>
                  </w:r>
                  <w:r w:rsidRPr="007C625D">
                    <w:rPr>
                      <w:rFonts w:cs="Arial"/>
                      <w:sz w:val="24"/>
                      <w:szCs w:val="24"/>
                    </w:rPr>
                    <w:br/>
                  </w:r>
                  <w:r w:rsidRPr="007C625D">
                    <w:rPr>
                      <w:rFonts w:cs="Arial"/>
                      <w:sz w:val="24"/>
                      <w:szCs w:val="24"/>
                    </w:rPr>
                    <w:br/>
                  </w:r>
                  <w:r w:rsidRPr="006F50BC">
                    <w:rPr>
                      <w:rFonts w:cs="Arial"/>
                      <w:iCs/>
                      <w:sz w:val="24"/>
                      <w:szCs w:val="24"/>
                    </w:rPr>
                    <w:t>10.6. dangos konstrukcijos klasė</w:t>
                  </w:r>
                  <w:r w:rsidRPr="007C625D">
                    <w:rPr>
                      <w:rFonts w:cs="Arial"/>
                      <w:i/>
                      <w:sz w:val="24"/>
                      <w:szCs w:val="24"/>
                    </w:rPr>
                    <w:t xml:space="preserve">: </w:t>
                  </w:r>
                  <w:r w:rsidRPr="007C625D">
                    <w:rPr>
                      <w:rFonts w:cs="Arial"/>
                      <w:sz w:val="24"/>
                      <w:szCs w:val="24"/>
                    </w:rPr>
                    <w:t>Parenkant dangos konstrukciją projektuoti pagal Automobilių kelių standartizuotų dangų konstrukcijų projektavimo taisykles KPT SDK 19;</w:t>
                  </w:r>
                  <w:r w:rsidRPr="007C625D">
                    <w:rPr>
                      <w:rFonts w:cs="Arial"/>
                      <w:sz w:val="24"/>
                      <w:szCs w:val="24"/>
                    </w:rPr>
                    <w:br/>
                  </w:r>
                  <w:r w:rsidRPr="007C625D">
                    <w:rPr>
                      <w:rFonts w:cs="Arial"/>
                      <w:sz w:val="24"/>
                      <w:szCs w:val="24"/>
                    </w:rPr>
                    <w:br/>
                  </w:r>
                  <w:r w:rsidRPr="006F50BC">
                    <w:rPr>
                      <w:rFonts w:cs="Arial"/>
                      <w:iCs/>
                      <w:sz w:val="24"/>
                      <w:szCs w:val="24"/>
                    </w:rPr>
                    <w:t>10.7. numatomi / rekonstruojami inžineriniai tinklai</w:t>
                  </w:r>
                  <w:r w:rsidRPr="007C625D">
                    <w:rPr>
                      <w:rFonts w:cs="Arial"/>
                      <w:i/>
                      <w:sz w:val="24"/>
                      <w:szCs w:val="24"/>
                    </w:rPr>
                    <w:t xml:space="preserve">: </w:t>
                  </w:r>
                  <w:r w:rsidRPr="007C625D">
                    <w:rPr>
                      <w:rFonts w:cs="Arial"/>
                      <w:sz w:val="24"/>
                      <w:szCs w:val="24"/>
                    </w:rPr>
                    <w:t>nustatoma projektavimo metu;</w:t>
                  </w:r>
                  <w:r w:rsidRPr="007C625D">
                    <w:rPr>
                      <w:rFonts w:cs="Arial"/>
                      <w:sz w:val="24"/>
                      <w:szCs w:val="24"/>
                    </w:rPr>
                    <w:br/>
                  </w:r>
                  <w:r w:rsidRPr="007C625D">
                    <w:rPr>
                      <w:rFonts w:cs="Arial"/>
                      <w:sz w:val="24"/>
                      <w:szCs w:val="24"/>
                    </w:rPr>
                    <w:br/>
                  </w:r>
                  <w:r w:rsidRPr="006F50BC">
                    <w:rPr>
                      <w:rFonts w:cs="Arial"/>
                      <w:iCs/>
                      <w:sz w:val="24"/>
                      <w:szCs w:val="24"/>
                    </w:rPr>
                    <w:t>10.8. vandens pralaidos</w:t>
                  </w:r>
                  <w:r w:rsidRPr="007C625D">
                    <w:rPr>
                      <w:rFonts w:cs="Arial"/>
                      <w:i/>
                      <w:sz w:val="24"/>
                      <w:szCs w:val="24"/>
                    </w:rPr>
                    <w:t xml:space="preserve">: </w:t>
                  </w:r>
                  <w:r w:rsidRPr="007C625D">
                    <w:rPr>
                      <w:rFonts w:cs="Arial"/>
                      <w:sz w:val="24"/>
                      <w:szCs w:val="24"/>
                    </w:rPr>
                    <w:t>nustatoma projektavimo metu (neprojektuoti pralaidų už kelio sklypo / statinio ribos);</w:t>
                  </w:r>
                  <w:r w:rsidRPr="007C625D">
                    <w:rPr>
                      <w:rFonts w:cs="Arial"/>
                      <w:sz w:val="24"/>
                      <w:szCs w:val="24"/>
                    </w:rPr>
                    <w:br/>
                  </w:r>
                  <w:r w:rsidRPr="007C625D">
                    <w:rPr>
                      <w:rFonts w:cs="Arial"/>
                      <w:sz w:val="24"/>
                      <w:szCs w:val="24"/>
                    </w:rPr>
                    <w:br/>
                  </w:r>
                  <w:r w:rsidRPr="006F50BC">
                    <w:rPr>
                      <w:rFonts w:cs="Arial"/>
                      <w:iCs/>
                      <w:sz w:val="24"/>
                      <w:szCs w:val="24"/>
                    </w:rPr>
                    <w:t>10.9. vandens nuleidimas nuo kelio</w:t>
                  </w:r>
                  <w:r w:rsidRPr="007C625D">
                    <w:rPr>
                      <w:rFonts w:cs="Arial"/>
                      <w:i/>
                      <w:sz w:val="24"/>
                      <w:szCs w:val="24"/>
                    </w:rPr>
                    <w:t xml:space="preserve">: </w:t>
                  </w:r>
                  <w:r w:rsidRPr="007C625D">
                    <w:rPr>
                      <w:rFonts w:cs="Arial"/>
                      <w:sz w:val="24"/>
                      <w:szCs w:val="24"/>
                    </w:rPr>
                    <w:t>spręsti lietaus vandens surinkimą ir nuvedimą projektavimo metu (neprojektuoti lietaus vandens nuvedimo į privačias teritorijas). Esant poreikiui suprojektuoti uždarą lietaus vandens nuvedimo sistemą, kuri po statybos darbų bus registruojama atskirai;</w:t>
                  </w:r>
                  <w:r w:rsidRPr="007C625D">
                    <w:rPr>
                      <w:rFonts w:cs="Arial"/>
                      <w:sz w:val="24"/>
                      <w:szCs w:val="24"/>
                    </w:rPr>
                    <w:br/>
                  </w:r>
                  <w:r w:rsidRPr="007C625D">
                    <w:rPr>
                      <w:rFonts w:cs="Arial"/>
                      <w:sz w:val="24"/>
                      <w:szCs w:val="24"/>
                    </w:rPr>
                    <w:br/>
                  </w:r>
                  <w:r w:rsidRPr="006F50BC">
                    <w:rPr>
                      <w:rFonts w:cs="Arial"/>
                      <w:iCs/>
                      <w:sz w:val="24"/>
                      <w:szCs w:val="24"/>
                    </w:rPr>
                    <w:t>10.10. pėsčiųjų perėjimo per kelią organizavimo priemonės vieta</w:t>
                  </w:r>
                  <w:r w:rsidRPr="007C625D">
                    <w:rPr>
                      <w:rFonts w:cs="Arial"/>
                      <w:i/>
                      <w:sz w:val="24"/>
                      <w:szCs w:val="24"/>
                    </w:rPr>
                    <w:t xml:space="preserve">: </w:t>
                  </w:r>
                  <w:r w:rsidRPr="007C625D">
                    <w:rPr>
                      <w:rFonts w:cs="Arial"/>
                      <w:sz w:val="24"/>
                      <w:szCs w:val="24"/>
                    </w:rPr>
                    <w:t>nustatoma projektavimo metu;</w:t>
                  </w:r>
                  <w:r w:rsidRPr="007C625D">
                    <w:rPr>
                      <w:rFonts w:cs="Arial"/>
                      <w:sz w:val="24"/>
                      <w:szCs w:val="24"/>
                    </w:rPr>
                    <w:br/>
                  </w:r>
                  <w:r w:rsidRPr="007C625D">
                    <w:rPr>
                      <w:rFonts w:cs="Arial"/>
                      <w:sz w:val="24"/>
                      <w:szCs w:val="24"/>
                    </w:rPr>
                    <w:br/>
                  </w:r>
                  <w:r w:rsidRPr="006F50BC">
                    <w:rPr>
                      <w:rFonts w:cs="Arial"/>
                      <w:iCs/>
                      <w:sz w:val="24"/>
                      <w:szCs w:val="24"/>
                    </w:rPr>
                    <w:t>10.11. pėsčiųjų perėjimo per kelią organizavimo priemonės tipas</w:t>
                  </w:r>
                  <w:r w:rsidRPr="007C625D">
                    <w:rPr>
                      <w:rFonts w:cs="Arial"/>
                      <w:i/>
                      <w:sz w:val="24"/>
                      <w:szCs w:val="24"/>
                    </w:rPr>
                    <w:t xml:space="preserve">: </w:t>
                  </w:r>
                  <w:r w:rsidRPr="007C625D">
                    <w:rPr>
                      <w:rFonts w:cs="Arial"/>
                      <w:sz w:val="24"/>
                      <w:szCs w:val="24"/>
                    </w:rPr>
                    <w:t>poreikį nustatyti projektavimo metu, vadovaujantis Pėsčiųjų perėjimo per kelius ir gatves organizavimo taisyklėmis;</w:t>
                  </w:r>
                  <w:r w:rsidRPr="007C625D">
                    <w:rPr>
                      <w:rFonts w:cs="Arial"/>
                      <w:sz w:val="24"/>
                      <w:szCs w:val="24"/>
                    </w:rPr>
                    <w:br/>
                  </w:r>
                  <w:r w:rsidRPr="007C625D">
                    <w:rPr>
                      <w:rFonts w:cs="Arial"/>
                      <w:sz w:val="24"/>
                      <w:szCs w:val="24"/>
                    </w:rPr>
                    <w:br/>
                  </w:r>
                  <w:r w:rsidRPr="006F50BC">
                    <w:rPr>
                      <w:rFonts w:cs="Arial"/>
                      <w:iCs/>
                      <w:sz w:val="24"/>
                      <w:szCs w:val="24"/>
                    </w:rPr>
                    <w:t>10.12. inžinerinės eismo saugos priemonės</w:t>
                  </w:r>
                  <w:r w:rsidRPr="007C625D">
                    <w:rPr>
                      <w:rFonts w:cs="Arial"/>
                      <w:i/>
                      <w:sz w:val="24"/>
                      <w:szCs w:val="24"/>
                    </w:rPr>
                    <w:t xml:space="preserve">: </w:t>
                  </w:r>
                  <w:r w:rsidRPr="007C625D">
                    <w:rPr>
                      <w:rFonts w:cs="Arial"/>
                      <w:sz w:val="24"/>
                      <w:szCs w:val="24"/>
                    </w:rPr>
                    <w:t>poreikį nustatyti projektavimo metu, vadovaujantis R ISEP 10 „Inžinerinių saugaus eismo priemonių projektavimo ir naudojimo rekomendacijomis“;</w:t>
                  </w:r>
                  <w:r w:rsidRPr="007C625D">
                    <w:rPr>
                      <w:rFonts w:cs="Arial"/>
                      <w:sz w:val="24"/>
                      <w:szCs w:val="24"/>
                    </w:rPr>
                    <w:br/>
                  </w:r>
                  <w:r w:rsidRPr="007C625D">
                    <w:rPr>
                      <w:rFonts w:cs="Arial"/>
                      <w:sz w:val="24"/>
                      <w:szCs w:val="24"/>
                    </w:rPr>
                    <w:br/>
                  </w:r>
                  <w:r w:rsidRPr="006F50BC">
                    <w:rPr>
                      <w:rFonts w:cs="Arial"/>
                      <w:iCs/>
                      <w:sz w:val="24"/>
                      <w:szCs w:val="24"/>
                    </w:rPr>
                    <w:t>10.13. apšvietimas</w:t>
                  </w:r>
                  <w:r w:rsidRPr="007C625D">
                    <w:rPr>
                      <w:rFonts w:cs="Arial"/>
                      <w:i/>
                      <w:sz w:val="24"/>
                      <w:szCs w:val="24"/>
                    </w:rPr>
                    <w:t xml:space="preserve">: </w:t>
                  </w:r>
                  <w:r w:rsidRPr="007C625D">
                    <w:rPr>
                      <w:rFonts w:cs="Arial"/>
                      <w:sz w:val="24"/>
                      <w:szCs w:val="24"/>
                    </w:rPr>
                    <w:t>numatyti. Apšvietimo apskaita turi būti atskira nuo savivaldybės tinklų;</w:t>
                  </w:r>
                  <w:r w:rsidRPr="007C625D">
                    <w:rPr>
                      <w:rFonts w:cs="Arial"/>
                      <w:sz w:val="24"/>
                      <w:szCs w:val="24"/>
                    </w:rPr>
                    <w:br/>
                  </w:r>
                  <w:r w:rsidRPr="007C625D">
                    <w:rPr>
                      <w:rFonts w:cs="Arial"/>
                      <w:sz w:val="24"/>
                      <w:szCs w:val="24"/>
                    </w:rPr>
                    <w:br/>
                  </w:r>
                  <w:r w:rsidRPr="006F50BC">
                    <w:rPr>
                      <w:rFonts w:cs="Arial"/>
                      <w:iCs/>
                      <w:sz w:val="24"/>
                      <w:szCs w:val="24"/>
                    </w:rPr>
                    <w:t>10.14. kiti reikalavimai</w:t>
                  </w:r>
                  <w:r w:rsidRPr="007C625D">
                    <w:rPr>
                      <w:rFonts w:cs="Arial"/>
                      <w:i/>
                      <w:sz w:val="24"/>
                      <w:szCs w:val="24"/>
                    </w:rPr>
                    <w:t xml:space="preserve">: </w:t>
                  </w:r>
                </w:p>
                <w:p w:rsidR="006F50BC" w:rsidRPr="007C625D" w:rsidRDefault="006F50BC" w:rsidP="006F50BC">
                  <w:pPr>
                    <w:numPr>
                      <w:ilvl w:val="0"/>
                      <w:numId w:val="2"/>
                    </w:numPr>
                    <w:tabs>
                      <w:tab w:val="left" w:pos="1296"/>
                      <w:tab w:val="center" w:pos="4153"/>
                      <w:tab w:val="right" w:pos="8306"/>
                    </w:tabs>
                    <w:rPr>
                      <w:rFonts w:cs="Arial"/>
                      <w:sz w:val="24"/>
                      <w:szCs w:val="24"/>
                    </w:rPr>
                  </w:pPr>
                  <w:r w:rsidRPr="007C625D">
                    <w:rPr>
                      <w:rFonts w:cs="Arial"/>
                      <w:sz w:val="24"/>
                      <w:szCs w:val="24"/>
                    </w:rPr>
                    <w:t>esant poreikiui pateikti rašytinius sutikimus ar sutartis su gretimų žemės sklypų savininkais, valdytojais ar naudotojais, dėl žemės sklypo dalies laikino panaudojimo statybos darbų metu;</w:t>
                  </w:r>
                </w:p>
                <w:p w:rsidR="006F50BC" w:rsidRPr="007C625D" w:rsidRDefault="006F50BC" w:rsidP="006F50BC">
                  <w:pPr>
                    <w:numPr>
                      <w:ilvl w:val="0"/>
                      <w:numId w:val="2"/>
                    </w:numPr>
                    <w:tabs>
                      <w:tab w:val="left" w:pos="1296"/>
                      <w:tab w:val="center" w:pos="4153"/>
                      <w:tab w:val="right" w:pos="8306"/>
                    </w:tabs>
                    <w:rPr>
                      <w:rFonts w:cs="Arial"/>
                      <w:sz w:val="24"/>
                      <w:szCs w:val="24"/>
                    </w:rPr>
                  </w:pPr>
                  <w:r w:rsidRPr="007C625D">
                    <w:rPr>
                      <w:rFonts w:cs="Arial"/>
                      <w:sz w:val="24"/>
                      <w:szCs w:val="24"/>
                    </w:rPr>
                    <w:t>įgyvendinus sankryžos įrengimą akcinei bendrovei Via Lietuva perduoti išpildomąją dokumentaciją ir atnaujinti (parengti) kelio ruožo kadastrinių matavimų bylą;</w:t>
                  </w:r>
                </w:p>
                <w:p w:rsidR="006F50BC" w:rsidRPr="007C625D" w:rsidRDefault="006F50BC" w:rsidP="006F50BC">
                  <w:pPr>
                    <w:numPr>
                      <w:ilvl w:val="0"/>
                      <w:numId w:val="2"/>
                    </w:numPr>
                    <w:tabs>
                      <w:tab w:val="left" w:pos="1296"/>
                      <w:tab w:val="center" w:pos="4153"/>
                      <w:tab w:val="right" w:pos="8306"/>
                    </w:tabs>
                    <w:rPr>
                      <w:rFonts w:cs="Arial"/>
                      <w:sz w:val="24"/>
                      <w:szCs w:val="24"/>
                    </w:rPr>
                  </w:pPr>
                  <w:r w:rsidRPr="007C625D">
                    <w:rPr>
                      <w:rFonts w:cs="Arial"/>
                      <w:sz w:val="24"/>
                      <w:szCs w:val="24"/>
                    </w:rPr>
                    <w:t>pateikti parengtą paprastojo remonto aprašą skaitmenine forma (tekstinius dokumentus *.doc ar *.pdf ir brėžinius *.pdf, *ir .dwg formatais) su elektroniniais parašais.</w:t>
                  </w:r>
                  <w:r w:rsidRPr="007C625D">
                    <w:rPr>
                      <w:rFonts w:cs="Arial"/>
                      <w:sz w:val="24"/>
                      <w:szCs w:val="24"/>
                    </w:rPr>
                    <w:br/>
                    <w:t xml:space="preserve"> </w:t>
                  </w:r>
                </w:p>
              </w:tc>
            </w:tr>
            <w:tr w:rsidR="006F50BC" w:rsidRPr="007C625D" w:rsidTr="00B922CF">
              <w:trPr>
                <w:trHeight w:val="481"/>
              </w:trPr>
              <w:tc>
                <w:tcPr>
                  <w:tcW w:w="9639" w:type="dxa"/>
                  <w:tcBorders>
                    <w:top w:val="nil"/>
                    <w:left w:val="nil"/>
                    <w:bottom w:val="nil"/>
                    <w:right w:val="nil"/>
                  </w:tcBorders>
                  <w:tcMar>
                    <w:top w:w="39" w:type="dxa"/>
                    <w:left w:w="39" w:type="dxa"/>
                    <w:bottom w:w="39" w:type="dxa"/>
                    <w:right w:w="39" w:type="dxa"/>
                  </w:tcMar>
                </w:tcPr>
                <w:p w:rsidR="006F50BC" w:rsidRPr="007C625D" w:rsidRDefault="006F50BC" w:rsidP="006F50BC">
                  <w:pPr>
                    <w:tabs>
                      <w:tab w:val="left" w:pos="1296"/>
                      <w:tab w:val="center" w:pos="4153"/>
                      <w:tab w:val="right" w:pos="8306"/>
                    </w:tabs>
                    <w:rPr>
                      <w:rFonts w:cs="Arial"/>
                      <w:sz w:val="24"/>
                      <w:szCs w:val="24"/>
                    </w:rPr>
                  </w:pPr>
                  <w:r w:rsidRPr="007C625D">
                    <w:rPr>
                      <w:rFonts w:cs="Arial"/>
                      <w:sz w:val="24"/>
                      <w:szCs w:val="24"/>
                    </w:rPr>
                    <w:t>11. Projektuojant vadovautis šiais dokumentais:</w:t>
                  </w:r>
                </w:p>
              </w:tc>
            </w:tr>
            <w:tr w:rsidR="006F50BC" w:rsidRPr="007C625D" w:rsidTr="00B922CF">
              <w:trPr>
                <w:trHeight w:val="581"/>
              </w:trPr>
              <w:tc>
                <w:tcPr>
                  <w:tcW w:w="9639" w:type="dxa"/>
                  <w:tcBorders>
                    <w:top w:val="nil"/>
                    <w:left w:val="nil"/>
                    <w:bottom w:val="nil"/>
                    <w:right w:val="nil"/>
                  </w:tcBorders>
                  <w:tcMar>
                    <w:top w:w="39" w:type="dxa"/>
                    <w:left w:w="39" w:type="dxa"/>
                    <w:bottom w:w="39" w:type="dxa"/>
                    <w:right w:w="39" w:type="dxa"/>
                  </w:tcMar>
                </w:tcPr>
                <w:p w:rsidR="006F50BC" w:rsidRPr="006F50BC" w:rsidRDefault="006F50BC" w:rsidP="006F50BC">
                  <w:pPr>
                    <w:tabs>
                      <w:tab w:val="left" w:pos="1296"/>
                      <w:tab w:val="center" w:pos="4153"/>
                      <w:tab w:val="right" w:pos="8306"/>
                    </w:tabs>
                    <w:rPr>
                      <w:rFonts w:cs="Arial"/>
                      <w:iCs/>
                      <w:sz w:val="24"/>
                      <w:szCs w:val="24"/>
                    </w:rPr>
                  </w:pPr>
                  <w:r w:rsidRPr="006F50BC">
                    <w:rPr>
                      <w:rFonts w:cs="Arial"/>
                      <w:iCs/>
                      <w:sz w:val="24"/>
                      <w:szCs w:val="24"/>
                    </w:rPr>
                    <w:t>11.1. Lietuvos Respublikos kelių įstatymu, Lietuvos Respublikos statybos įstatymu, kelių techniniu reglamentu, statybos techniniais reglamentais, higienos normomis, kitais poįstatyminiais teisės aktais: Taip;</w:t>
                  </w:r>
                  <w:r w:rsidRPr="006F50BC">
                    <w:rPr>
                      <w:rFonts w:cs="Arial"/>
                      <w:iCs/>
                      <w:sz w:val="24"/>
                      <w:szCs w:val="24"/>
                    </w:rPr>
                    <w:br/>
                  </w:r>
                  <w:r w:rsidRPr="006F50BC">
                    <w:rPr>
                      <w:rFonts w:cs="Arial"/>
                      <w:iCs/>
                      <w:sz w:val="24"/>
                      <w:szCs w:val="24"/>
                    </w:rPr>
                    <w:br/>
                    <w:t>11.2. kitais galiojančiais įstatymais, teisės aktais ir normatyviniais statybos techniniais dokumentais, įskaitant, bet neapsiribojant, nurodytais Akcinės bendrovės Lietuvos automobilių kelių direkcijos interneto svetainėje adresu http://lakd.lt/lt/paslaugos/normatyviniai-dokumentai : Taip;</w:t>
                  </w:r>
                  <w:r w:rsidRPr="006F50BC">
                    <w:rPr>
                      <w:rFonts w:cs="Arial"/>
                      <w:iCs/>
                      <w:sz w:val="24"/>
                      <w:szCs w:val="24"/>
                    </w:rPr>
                    <w:br/>
                  </w:r>
                  <w:r w:rsidRPr="006F50BC">
                    <w:rPr>
                      <w:rFonts w:cs="Arial"/>
                      <w:iCs/>
                      <w:sz w:val="24"/>
                      <w:szCs w:val="24"/>
                    </w:rPr>
                    <w:br/>
                    <w:t>11.3. projekto rengimo dokumentais: Taip;</w:t>
                  </w:r>
                  <w:r w:rsidRPr="006F50BC">
                    <w:rPr>
                      <w:rFonts w:cs="Arial"/>
                      <w:iCs/>
                      <w:sz w:val="24"/>
                      <w:szCs w:val="24"/>
                    </w:rPr>
                    <w:br/>
                  </w:r>
                  <w:r w:rsidRPr="006F50BC">
                    <w:rPr>
                      <w:rFonts w:cs="Arial"/>
                      <w:iCs/>
                      <w:sz w:val="24"/>
                      <w:szCs w:val="24"/>
                    </w:rPr>
                    <w:br/>
                    <w:t>11.4. prisijungimo sąlygomis: Taip.</w:t>
                  </w:r>
                  <w:r w:rsidRPr="006F50BC">
                    <w:rPr>
                      <w:rFonts w:cs="Arial"/>
                      <w:iCs/>
                      <w:sz w:val="24"/>
                      <w:szCs w:val="24"/>
                    </w:rPr>
                    <w:br/>
                    <w:t xml:space="preserve"> </w:t>
                  </w:r>
                </w:p>
              </w:tc>
            </w:tr>
            <w:tr w:rsidR="006F50BC" w:rsidRPr="007C625D" w:rsidTr="00B922CF">
              <w:trPr>
                <w:trHeight w:val="1135"/>
              </w:trPr>
              <w:tc>
                <w:tcPr>
                  <w:tcW w:w="9639" w:type="dxa"/>
                  <w:tcBorders>
                    <w:top w:val="nil"/>
                    <w:left w:val="nil"/>
                    <w:bottom w:val="nil"/>
                    <w:right w:val="nil"/>
                  </w:tcBorders>
                  <w:tcMar>
                    <w:top w:w="39" w:type="dxa"/>
                    <w:left w:w="39" w:type="dxa"/>
                    <w:bottom w:w="39" w:type="dxa"/>
                    <w:right w:w="39" w:type="dxa"/>
                  </w:tcMar>
                </w:tcPr>
                <w:p w:rsidR="006F50BC" w:rsidRDefault="006F50BC" w:rsidP="006F50BC">
                  <w:pPr>
                    <w:pStyle w:val="Betarp"/>
                    <w:rPr>
                      <w:sz w:val="24"/>
                      <w:szCs w:val="24"/>
                    </w:rPr>
                  </w:pPr>
                  <w:r w:rsidRPr="007C625D">
                    <w:rPr>
                      <w:sz w:val="24"/>
                      <w:szCs w:val="24"/>
                    </w:rPr>
                    <w:t xml:space="preserve">12. Finansavimo šaltinis: </w:t>
                  </w:r>
                  <w:r w:rsidRPr="007C625D">
                    <w:rPr>
                      <w:sz w:val="24"/>
                      <w:szCs w:val="24"/>
                    </w:rPr>
                    <w:br/>
                    <w:t>Užsakovo lėšos.</w:t>
                  </w:r>
                  <w:r w:rsidRPr="007C625D">
                    <w:rPr>
                      <w:sz w:val="24"/>
                      <w:szCs w:val="24"/>
                    </w:rPr>
                    <w:br/>
                  </w:r>
                  <w:r w:rsidRPr="007C625D">
                    <w:rPr>
                      <w:sz w:val="24"/>
                      <w:szCs w:val="24"/>
                    </w:rPr>
                    <w:br/>
                    <w:t xml:space="preserve">13. Projekto apimtis: </w:t>
                  </w:r>
                  <w:r w:rsidRPr="007C625D">
                    <w:rPr>
                      <w:sz w:val="24"/>
                      <w:szCs w:val="24"/>
                    </w:rPr>
                    <w:br/>
                    <w:t>Pagal STR 1.04.04:2017 „Statinio projektavimas, projekto ekspertizė“.</w:t>
                  </w:r>
                </w:p>
                <w:p w:rsidR="006F50BC" w:rsidRDefault="006F50BC" w:rsidP="006F50BC">
                  <w:pPr>
                    <w:pStyle w:val="Betarp"/>
                    <w:rPr>
                      <w:sz w:val="24"/>
                      <w:szCs w:val="24"/>
                    </w:rPr>
                  </w:pPr>
                </w:p>
                <w:p w:rsidR="006F50BC" w:rsidRDefault="006F50BC" w:rsidP="006F50BC">
                  <w:pPr>
                    <w:pStyle w:val="Betarp"/>
                    <w:rPr>
                      <w:sz w:val="24"/>
                      <w:szCs w:val="24"/>
                    </w:rPr>
                  </w:pPr>
                  <w:r>
                    <w:rPr>
                      <w:sz w:val="24"/>
                      <w:szCs w:val="24"/>
                    </w:rPr>
                    <w:t>14. Projekto sudėtis:</w:t>
                  </w:r>
                </w:p>
                <w:p w:rsidR="006F50BC" w:rsidRPr="00A23285" w:rsidRDefault="006F50BC" w:rsidP="006F50BC">
                  <w:pPr>
                    <w:pStyle w:val="Sraopastraipa"/>
                    <w:suppressAutoHyphens w:val="0"/>
                    <w:autoSpaceDN/>
                    <w:spacing w:after="200" w:line="276" w:lineRule="auto"/>
                    <w:contextualSpacing/>
                    <w:jc w:val="both"/>
                    <w:textAlignment w:val="auto"/>
                    <w:rPr>
                      <w:rFonts w:ascii="Arial" w:hAnsi="Arial"/>
                      <w:kern w:val="2"/>
                      <w:sz w:val="24"/>
                      <w:szCs w:val="24"/>
                      <w14:ligatures w14:val="standardContextual"/>
                    </w:rPr>
                  </w:pPr>
                  <w:r w:rsidRPr="00A23285">
                    <w:rPr>
                      <w:rFonts w:ascii="Arial" w:hAnsi="Arial"/>
                      <w:sz w:val="24"/>
                      <w:szCs w:val="24"/>
                    </w:rPr>
                    <w:t xml:space="preserve">     I dalis. </w:t>
                  </w:r>
                  <w:r w:rsidRPr="00A23285">
                    <w:rPr>
                      <w:rFonts w:ascii="Arial" w:eastAsia="Times New Roman" w:hAnsi="Arial"/>
                      <w:sz w:val="24"/>
                      <w:szCs w:val="24"/>
                    </w:rPr>
                    <w:t xml:space="preserve"> Š</w:t>
                  </w:r>
                  <w:r w:rsidRPr="00A23285">
                    <w:rPr>
                      <w:rFonts w:ascii="Arial" w:hAnsi="Arial"/>
                      <w:sz w:val="24"/>
                      <w:szCs w:val="24"/>
                      <w:lang w:eastAsia="lt-LT"/>
                    </w:rPr>
                    <w:t>viesoforų įrengimas.</w:t>
                  </w:r>
                  <w:r w:rsidRPr="00A23285">
                    <w:rPr>
                      <w:rFonts w:ascii="Arial" w:eastAsia="Times New Roman" w:hAnsi="Arial"/>
                      <w:sz w:val="24"/>
                      <w:szCs w:val="24"/>
                    </w:rPr>
                    <w:t xml:space="preserve"> Sudaro šviesoforų pastatymas, procesų valdymo ir automatizacijos dalis, elektrotechninė dalis (pagal poreikį), </w:t>
                  </w:r>
                  <w:r w:rsidRPr="00A23285">
                    <w:rPr>
                      <w:rFonts w:ascii="Arial" w:hAnsi="Arial"/>
                      <w:kern w:val="2"/>
                      <w:sz w:val="24"/>
                      <w:szCs w:val="24"/>
                      <w14:ligatures w14:val="standardContextual"/>
                    </w:rPr>
                    <w:t>elektroninių ryšių (telekomunikacijų) dalis (pagal poreikį).</w:t>
                  </w:r>
                </w:p>
                <w:p w:rsidR="006F50BC" w:rsidRDefault="006F50BC" w:rsidP="006F50BC">
                  <w:pPr>
                    <w:rPr>
                      <w:sz w:val="24"/>
                      <w:szCs w:val="24"/>
                    </w:rPr>
                  </w:pPr>
                  <w:r w:rsidRPr="00A23285">
                    <w:rPr>
                      <w:rFonts w:cs="Arial"/>
                      <w:sz w:val="24"/>
                      <w:szCs w:val="24"/>
                    </w:rPr>
                    <w:t xml:space="preserve">    </w:t>
                  </w:r>
                  <w:r>
                    <w:rPr>
                      <w:rFonts w:cs="Arial"/>
                      <w:sz w:val="24"/>
                      <w:szCs w:val="24"/>
                    </w:rPr>
                    <w:t xml:space="preserve">          </w:t>
                  </w:r>
                  <w:r w:rsidRPr="00A23285">
                    <w:rPr>
                      <w:rFonts w:cs="Arial"/>
                      <w:sz w:val="24"/>
                      <w:szCs w:val="24"/>
                    </w:rPr>
                    <w:t xml:space="preserve"> II dalis.  Sklypo sutvarkymas (sklypo planas), susisiekimo dalis,  konstrukcijų </w:t>
                  </w:r>
                  <w:r>
                    <w:rPr>
                      <w:rFonts w:cs="Arial"/>
                      <w:sz w:val="24"/>
                      <w:szCs w:val="24"/>
                    </w:rPr>
                    <w:t xml:space="preserve">    </w:t>
                  </w:r>
                  <w:r w:rsidRPr="00A23285">
                    <w:rPr>
                      <w:rFonts w:cs="Arial"/>
                      <w:sz w:val="24"/>
                      <w:szCs w:val="24"/>
                    </w:rPr>
                    <w:t>dalis (pagal poreikį),  vandentiekio ir nuotekų šalinimo dalis (pagal poreikį).</w:t>
                  </w:r>
                  <w:r w:rsidRPr="007C625D">
                    <w:rPr>
                      <w:sz w:val="24"/>
                      <w:szCs w:val="24"/>
                    </w:rPr>
                    <w:br/>
                  </w:r>
                  <w:r w:rsidRPr="007C625D">
                    <w:rPr>
                      <w:sz w:val="24"/>
                      <w:szCs w:val="24"/>
                    </w:rPr>
                    <w:br/>
                    <w:t>1</w:t>
                  </w:r>
                  <w:r>
                    <w:rPr>
                      <w:sz w:val="24"/>
                      <w:szCs w:val="24"/>
                    </w:rPr>
                    <w:t>5</w:t>
                  </w:r>
                  <w:r w:rsidRPr="007C625D">
                    <w:rPr>
                      <w:sz w:val="24"/>
                      <w:szCs w:val="24"/>
                    </w:rPr>
                    <w:t xml:space="preserve">. Papildomos paslaugos (paslaugos, deleguotos Statytojo projektuotojui): </w:t>
                  </w:r>
                  <w:r w:rsidRPr="007C625D">
                    <w:rPr>
                      <w:sz w:val="24"/>
                      <w:szCs w:val="24"/>
                    </w:rPr>
                    <w:br/>
                    <w:t>Atlikti kitas papildomas paslaugas, kaip tai numato sutarties sąlygos ir techninė specifikacija.</w:t>
                  </w:r>
                  <w:r w:rsidRPr="007C625D">
                    <w:rPr>
                      <w:sz w:val="24"/>
                      <w:szCs w:val="24"/>
                    </w:rPr>
                    <w:br/>
                  </w:r>
                  <w:r w:rsidRPr="007C625D">
                    <w:rPr>
                      <w:sz w:val="24"/>
                      <w:szCs w:val="24"/>
                    </w:rPr>
                    <w:br/>
                    <w:t>1</w:t>
                  </w:r>
                  <w:r>
                    <w:rPr>
                      <w:sz w:val="24"/>
                      <w:szCs w:val="24"/>
                    </w:rPr>
                    <w:t>6</w:t>
                  </w:r>
                  <w:r w:rsidRPr="007C625D">
                    <w:rPr>
                      <w:sz w:val="24"/>
                      <w:szCs w:val="24"/>
                    </w:rPr>
                    <w:t xml:space="preserve">. </w:t>
                  </w:r>
                  <w:r>
                    <w:rPr>
                      <w:sz w:val="24"/>
                      <w:szCs w:val="24"/>
                    </w:rPr>
                    <w:t>Prie šios</w:t>
                  </w:r>
                  <w:r w:rsidRPr="007C625D">
                    <w:rPr>
                      <w:sz w:val="24"/>
                      <w:szCs w:val="24"/>
                    </w:rPr>
                    <w:t xml:space="preserve"> užduot</w:t>
                  </w:r>
                  <w:r>
                    <w:rPr>
                      <w:sz w:val="24"/>
                      <w:szCs w:val="24"/>
                    </w:rPr>
                    <w:t>ies</w:t>
                  </w:r>
                  <w:r w:rsidRPr="007C625D">
                    <w:rPr>
                      <w:sz w:val="24"/>
                      <w:szCs w:val="24"/>
                    </w:rPr>
                    <w:t xml:space="preserve"> pateikiami Statytojo privalomieji  dokumentai projektui r</w:t>
                  </w:r>
                  <w:r>
                    <w:rPr>
                      <w:sz w:val="24"/>
                      <w:szCs w:val="24"/>
                    </w:rPr>
                    <w:t>engti</w:t>
                  </w:r>
                  <w:r w:rsidRPr="007C625D">
                    <w:rPr>
                      <w:sz w:val="24"/>
                      <w:szCs w:val="24"/>
                    </w:rPr>
                    <w:t xml:space="preserve">: </w:t>
                  </w:r>
                  <w:r w:rsidRPr="007C625D">
                    <w:rPr>
                      <w:sz w:val="24"/>
                      <w:szCs w:val="24"/>
                    </w:rPr>
                    <w:br/>
                  </w:r>
                  <w:r>
                    <w:rPr>
                      <w:sz w:val="24"/>
                      <w:szCs w:val="24"/>
                    </w:rPr>
                    <w:t xml:space="preserve">      1. </w:t>
                  </w:r>
                  <w:r w:rsidRPr="007C625D">
                    <w:rPr>
                      <w:sz w:val="24"/>
                      <w:szCs w:val="24"/>
                    </w:rPr>
                    <w:t>Techninė specifikacija</w:t>
                  </w:r>
                  <w:r>
                    <w:rPr>
                      <w:sz w:val="24"/>
                      <w:szCs w:val="24"/>
                    </w:rPr>
                    <w:t>.</w:t>
                  </w:r>
                </w:p>
                <w:p w:rsidR="006F50BC" w:rsidRDefault="006F50BC" w:rsidP="006F50BC">
                  <w:pPr>
                    <w:rPr>
                      <w:sz w:val="24"/>
                      <w:szCs w:val="24"/>
                    </w:rPr>
                  </w:pPr>
                  <w:r>
                    <w:rPr>
                      <w:sz w:val="24"/>
                      <w:szCs w:val="24"/>
                    </w:rPr>
                    <w:t xml:space="preserve">       2.</w:t>
                  </w:r>
                  <w:r w:rsidRPr="007C625D">
                    <w:rPr>
                      <w:sz w:val="24"/>
                      <w:szCs w:val="24"/>
                    </w:rPr>
                    <w:t xml:space="preserve"> TS priedas Nr.1.</w:t>
                  </w:r>
                </w:p>
                <w:p w:rsidR="006F50BC" w:rsidRDefault="006F50BC" w:rsidP="006F50BC">
                  <w:pPr>
                    <w:rPr>
                      <w:sz w:val="24"/>
                      <w:szCs w:val="24"/>
                    </w:rPr>
                  </w:pPr>
                  <w:r>
                    <w:rPr>
                      <w:sz w:val="24"/>
                      <w:szCs w:val="24"/>
                    </w:rPr>
                    <w:t>17.Atlikti rangos darbus pagal paruošto projekto I etapą „Šviesoforų irengimas“</w:t>
                  </w:r>
                </w:p>
                <w:p w:rsidR="006F50BC" w:rsidRDefault="006F50BC" w:rsidP="006F50BC">
                  <w:pPr>
                    <w:rPr>
                      <w:sz w:val="24"/>
                      <w:szCs w:val="24"/>
                    </w:rPr>
                  </w:pPr>
                  <w:r>
                    <w:rPr>
                      <w:sz w:val="24"/>
                      <w:szCs w:val="24"/>
                    </w:rPr>
                    <w:t>18. Vykdyti projekto vykdymo priežiūrą.</w:t>
                  </w:r>
                </w:p>
                <w:p w:rsidR="006F50BC" w:rsidRPr="004E6D93" w:rsidRDefault="006F50BC" w:rsidP="006F50BC">
                  <w:pPr>
                    <w:rPr>
                      <w:sz w:val="24"/>
                      <w:szCs w:val="24"/>
                    </w:rPr>
                  </w:pPr>
                  <w:r w:rsidRPr="007C625D">
                    <w:rPr>
                      <w:sz w:val="24"/>
                      <w:szCs w:val="24"/>
                    </w:rPr>
                    <w:br/>
                    <w:t>1</w:t>
                  </w:r>
                  <w:r>
                    <w:rPr>
                      <w:sz w:val="24"/>
                      <w:szCs w:val="24"/>
                    </w:rPr>
                    <w:t>9</w:t>
                  </w:r>
                  <w:r w:rsidRPr="007C625D">
                    <w:rPr>
                      <w:sz w:val="24"/>
                      <w:szCs w:val="24"/>
                    </w:rPr>
                    <w:t xml:space="preserve">. Žemės sklypo statinio teisinės registracijos Nekilnojamojo turto registre duomenys: </w:t>
                  </w:r>
                  <w:r w:rsidRPr="007C625D">
                    <w:rPr>
                      <w:sz w:val="24"/>
                      <w:szCs w:val="24"/>
                    </w:rPr>
                    <w:br/>
                    <w:t>Žemės sklypo unikalus Nr. 4400-5100-5548 Inžinerinio statinio unikalus Nr. 4400-2184-6913.</w:t>
                  </w:r>
                </w:p>
                <w:p w:rsidR="006F50BC" w:rsidRPr="007C625D" w:rsidRDefault="006F50BC" w:rsidP="006F50BC">
                  <w:pPr>
                    <w:pStyle w:val="Betarp"/>
                    <w:rPr>
                      <w:sz w:val="24"/>
                      <w:szCs w:val="24"/>
                    </w:rPr>
                  </w:pPr>
                </w:p>
                <w:p w:rsidR="006F50BC" w:rsidRPr="007C625D" w:rsidRDefault="006F50BC" w:rsidP="006F50BC">
                  <w:pPr>
                    <w:pStyle w:val="Betarp"/>
                    <w:rPr>
                      <w:sz w:val="24"/>
                      <w:szCs w:val="24"/>
                    </w:rPr>
                  </w:pPr>
                </w:p>
              </w:tc>
            </w:tr>
          </w:tbl>
          <w:p w:rsidR="006F50BC" w:rsidRPr="007C625D" w:rsidRDefault="006F50BC" w:rsidP="006F50BC">
            <w:pPr>
              <w:pStyle w:val="Betarp"/>
              <w:rPr>
                <w:sz w:val="24"/>
                <w:szCs w:val="24"/>
              </w:rPr>
            </w:pPr>
          </w:p>
          <w:p w:rsidR="006F50BC" w:rsidRPr="007C625D" w:rsidRDefault="006F50BC" w:rsidP="006F50BC">
            <w:pPr>
              <w:pStyle w:val="Betarp"/>
              <w:rPr>
                <w:sz w:val="24"/>
                <w:szCs w:val="24"/>
              </w:rPr>
            </w:pPr>
            <w:r w:rsidRPr="007C625D">
              <w:rPr>
                <w:sz w:val="24"/>
                <w:szCs w:val="24"/>
              </w:rPr>
              <w:t>Direktorius</w:t>
            </w:r>
            <w:r w:rsidRPr="007C625D">
              <w:rPr>
                <w:sz w:val="24"/>
                <w:szCs w:val="24"/>
              </w:rPr>
              <w:tab/>
            </w:r>
            <w:r w:rsidRPr="007C625D">
              <w:rPr>
                <w:sz w:val="24"/>
                <w:szCs w:val="24"/>
              </w:rPr>
              <w:tab/>
            </w:r>
            <w:r w:rsidRPr="007C625D">
              <w:rPr>
                <w:sz w:val="24"/>
                <w:szCs w:val="24"/>
              </w:rPr>
              <w:tab/>
            </w:r>
            <w:r w:rsidRPr="007C625D">
              <w:rPr>
                <w:sz w:val="24"/>
                <w:szCs w:val="24"/>
              </w:rPr>
              <w:tab/>
            </w:r>
            <w:r w:rsidRPr="007C625D">
              <w:rPr>
                <w:sz w:val="24"/>
                <w:szCs w:val="24"/>
              </w:rPr>
              <w:tab/>
            </w:r>
            <w:r w:rsidRPr="007C625D">
              <w:rPr>
                <w:sz w:val="24"/>
                <w:szCs w:val="24"/>
              </w:rPr>
              <w:tab/>
            </w:r>
            <w:r w:rsidRPr="007C625D">
              <w:rPr>
                <w:sz w:val="24"/>
                <w:szCs w:val="24"/>
              </w:rPr>
              <w:tab/>
            </w:r>
            <w:r w:rsidR="00292E95">
              <w:rPr>
                <w:sz w:val="24"/>
                <w:szCs w:val="24"/>
              </w:rPr>
              <w:t>Jevgenijus Bardauskas</w:t>
            </w:r>
          </w:p>
          <w:p w:rsidR="006F50BC" w:rsidRPr="007C625D" w:rsidRDefault="006F50BC" w:rsidP="006F50BC">
            <w:pPr>
              <w:pStyle w:val="Betarp"/>
              <w:rPr>
                <w:sz w:val="24"/>
                <w:szCs w:val="24"/>
              </w:rPr>
            </w:pPr>
          </w:p>
          <w:p w:rsidR="006F50BC" w:rsidRPr="007C625D" w:rsidRDefault="006F50BC" w:rsidP="00B922CF">
            <w:pPr>
              <w:tabs>
                <w:tab w:val="left" w:pos="1296"/>
                <w:tab w:val="center" w:pos="4153"/>
                <w:tab w:val="right" w:pos="8306"/>
              </w:tabs>
              <w:rPr>
                <w:rFonts w:cs="Arial"/>
                <w:sz w:val="24"/>
                <w:szCs w:val="24"/>
              </w:rPr>
            </w:pPr>
          </w:p>
        </w:tc>
      </w:tr>
    </w:tbl>
    <w:p w:rsidR="00C4078D" w:rsidRDefault="00C4078D" w:rsidP="00D25E90">
      <w:pPr>
        <w:ind w:right="215"/>
        <w:jc w:val="center"/>
        <w:rPr>
          <w:rFonts w:cs="Arial"/>
          <w:caps/>
          <w:sz w:val="24"/>
          <w:szCs w:val="24"/>
        </w:rPr>
      </w:pPr>
    </w:p>
    <w:p w:rsidR="0044473E" w:rsidRPr="005E1DC3" w:rsidRDefault="005E1DC3" w:rsidP="00D25E90">
      <w:pPr>
        <w:tabs>
          <w:tab w:val="left" w:pos="1884"/>
        </w:tabs>
        <w:rPr>
          <w:rFonts w:eastAsiaTheme="majorEastAsia" w:cs="Arial"/>
          <w:sz w:val="24"/>
          <w:szCs w:val="24"/>
        </w:rPr>
      </w:pPr>
      <w:r>
        <w:rPr>
          <w:rFonts w:eastAsiaTheme="majorEastAsia" w:cs="Arial"/>
          <w:sz w:val="24"/>
          <w:szCs w:val="24"/>
        </w:rPr>
        <w:t>V.Ramanauskas, tel. +370 673 28949, el. p. vitas.ramanauskas</w:t>
      </w:r>
      <w:r>
        <w:rPr>
          <w:rFonts w:eastAsiaTheme="majorEastAsia" w:cs="Arial"/>
          <w:sz w:val="24"/>
          <w:szCs w:val="24"/>
          <w:lang w:val="en-US"/>
        </w:rPr>
        <w:t>@</w:t>
      </w:r>
      <w:r>
        <w:rPr>
          <w:rFonts w:eastAsiaTheme="majorEastAsia" w:cs="Arial"/>
          <w:sz w:val="24"/>
          <w:szCs w:val="24"/>
        </w:rPr>
        <w:t>klaipedos-r.lt</w:t>
      </w:r>
    </w:p>
    <w:sectPr w:rsidR="0044473E" w:rsidRPr="005E1DC3" w:rsidSect="00B8530A">
      <w:headerReference w:type="even" r:id="rId9"/>
      <w:headerReference w:type="default" r:id="rId10"/>
      <w:footerReference w:type="even" r:id="rId11"/>
      <w:footerReference w:type="default" r:id="rId12"/>
      <w:headerReference w:type="first" r:id="rId13"/>
      <w:footerReference w:type="first" r:id="rId14"/>
      <w:type w:val="continuous"/>
      <w:pgSz w:w="11906" w:h="16838"/>
      <w:pgMar w:top="851" w:right="1134" w:bottom="1134" w:left="1701" w:header="567" w:footer="567" w:gutter="0"/>
      <w:pgNumType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4576" w:rsidRDefault="00A94576" w:rsidP="00062F2C">
      <w:pPr>
        <w:spacing w:before="0" w:after="0"/>
      </w:pPr>
      <w:r>
        <w:separator/>
      </w:r>
    </w:p>
    <w:p w:rsidR="00A94576" w:rsidRDefault="00A94576"/>
  </w:endnote>
  <w:endnote w:type="continuationSeparator" w:id="0">
    <w:p w:rsidR="00A94576" w:rsidRDefault="00A94576" w:rsidP="00062F2C">
      <w:pPr>
        <w:spacing w:before="0" w:after="0"/>
      </w:pPr>
      <w:r>
        <w:continuationSeparator/>
      </w:r>
    </w:p>
    <w:p w:rsidR="00A94576" w:rsidRDefault="00A945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HelveticaLT">
    <w:charset w:val="00"/>
    <w:family w:val="swiss"/>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3516" w:rsidRDefault="00033516">
    <w:pPr>
      <w:pStyle w:val="Porat"/>
    </w:pPr>
  </w:p>
  <w:p w:rsidR="00116361" w:rsidRDefault="00116361"/>
  <w:p w:rsidR="00116361" w:rsidRDefault="0011636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233099"/>
      <w:docPartObj>
        <w:docPartGallery w:val="Page Numbers (Bottom of Page)"/>
        <w:docPartUnique/>
      </w:docPartObj>
    </w:sdtPr>
    <w:sdtContent>
      <w:p w:rsidR="00062F2C" w:rsidRPr="00CF3D13" w:rsidRDefault="00CF3D13" w:rsidP="00CF3D13">
        <w:pPr>
          <w:pStyle w:val="Porat"/>
          <w:jc w:val="right"/>
        </w:pPr>
        <w:r>
          <w:fldChar w:fldCharType="begin"/>
        </w:r>
        <w:r>
          <w:instrText>PAGE   \* MERGEFORMAT</w:instrText>
        </w:r>
        <w:r>
          <w:fldChar w:fldCharType="separate"/>
        </w:r>
        <w:r>
          <w:t>2</w:t>
        </w:r>
        <w:r>
          <w:fldChar w:fldCharType="end"/>
        </w:r>
        <w:r w:rsidR="00960CAD">
          <w:t xml:space="preserve"> psl.</w:t>
        </w:r>
      </w:p>
    </w:sdtContent>
  </w:sdt>
  <w:p w:rsidR="00116361" w:rsidRDefault="00116361"/>
  <w:p w:rsidR="00116361" w:rsidRDefault="0011636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564" w:rsidRPr="00A57564" w:rsidRDefault="00FB1695" w:rsidP="00A57564">
    <w:pPr>
      <w:pStyle w:val="Porat"/>
      <w:tabs>
        <w:tab w:val="left" w:pos="4111"/>
      </w:tabs>
      <w:spacing w:before="0" w:after="0"/>
      <w:ind w:hanging="1134"/>
      <w:rPr>
        <w:rFonts w:cs="Arial"/>
        <w:sz w:val="24"/>
        <w:szCs w:val="24"/>
      </w:rPr>
    </w:pPr>
    <w:r>
      <w:rPr>
        <w:noProof/>
        <w:lang w:eastAsia="lt-LT"/>
      </w:rPr>
      <w:drawing>
        <wp:anchor distT="0" distB="0" distL="114300" distR="114300" simplePos="0" relativeHeight="251659264" behindDoc="1" locked="0" layoutInCell="1" allowOverlap="1" wp14:anchorId="104D425C" wp14:editId="4B8021A3">
          <wp:simplePos x="0" y="0"/>
          <wp:positionH relativeFrom="margin">
            <wp:posOffset>4655820</wp:posOffset>
          </wp:positionH>
          <wp:positionV relativeFrom="paragraph">
            <wp:posOffset>0</wp:posOffset>
          </wp:positionV>
          <wp:extent cx="1790700" cy="885825"/>
          <wp:effectExtent l="0" t="0" r="0" b="9525"/>
          <wp:wrapNone/>
          <wp:docPr id="936267535" name="Picture 2" descr="Įvairiaspalvis Klaipėdos rajono savivaldybės prekės ženklas su žodžiais &quot;Atveria horizontu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Įvairiaspalvis Klaipėdos rajono savivaldybės prekės ženklas su žodžiais &quot;Atveria horizontus&quot;"/>
                  <pic:cNvPicPr/>
                </pic:nvPicPr>
                <pic:blipFill>
                  <a:blip r:embed="rId1">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14:sizeRelH relativeFrom="page">
            <wp14:pctWidth>0</wp14:pctWidth>
          </wp14:sizeRelH>
          <wp14:sizeRelV relativeFrom="page">
            <wp14:pctHeight>0</wp14:pctHeight>
          </wp14:sizeRelV>
        </wp:anchor>
      </w:drawing>
    </w:r>
    <w:r w:rsidR="00A964F2">
      <w:rPr>
        <w:noProof/>
        <w:lang w:eastAsia="lt-LT"/>
      </w:rPr>
      <mc:AlternateContent>
        <mc:Choice Requires="wps">
          <w:drawing>
            <wp:anchor distT="0" distB="0" distL="114300" distR="114300" simplePos="0" relativeHeight="251661312" behindDoc="0" locked="0" layoutInCell="1" allowOverlap="1" wp14:anchorId="32CDD204" wp14:editId="71F78360">
              <wp:simplePos x="0" y="0"/>
              <wp:positionH relativeFrom="margin">
                <wp:posOffset>-1003935</wp:posOffset>
              </wp:positionH>
              <wp:positionV relativeFrom="paragraph">
                <wp:posOffset>18415</wp:posOffset>
              </wp:positionV>
              <wp:extent cx="8244840" cy="0"/>
              <wp:effectExtent l="0" t="0" r="0" b="0"/>
              <wp:wrapNone/>
              <wp:docPr id="3" name="Tiesioji jungtis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244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C95B05" id="Tiesioji jungtis 3" o:spid="_x0000_s1026" alt="&quot;&quot;"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9.05pt,1.45pt" to="570.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" strokecolor="black [3200]" strokeweight=".5pt">
              <v:stroke joinstyle="miter"/>
              <w10:wrap anchorx="margin"/>
            </v:line>
          </w:pict>
        </mc:Fallback>
      </mc:AlternateContent>
    </w:r>
    <w:r w:rsidR="00A57564" w:rsidRPr="00A57564">
      <w:rPr>
        <w:rFonts w:cs="Arial"/>
        <w:sz w:val="24"/>
        <w:szCs w:val="24"/>
      </w:rPr>
      <w:t>Biudžetinė įstaiga</w:t>
    </w:r>
    <w:r w:rsidR="00A57564" w:rsidRPr="00A57564">
      <w:rPr>
        <w:rFonts w:cs="Arial"/>
        <w:sz w:val="24"/>
        <w:szCs w:val="24"/>
      </w:rPr>
      <w:tab/>
      <w:t>Duomenys kaupiami ir saugomi</w:t>
    </w:r>
  </w:p>
  <w:p w:rsidR="00A57564" w:rsidRPr="00A57564" w:rsidRDefault="00A57564" w:rsidP="00A57564">
    <w:pPr>
      <w:pStyle w:val="Porat"/>
      <w:tabs>
        <w:tab w:val="left" w:pos="4111"/>
        <w:tab w:val="left" w:pos="9126"/>
      </w:tabs>
      <w:spacing w:before="0" w:after="0"/>
      <w:ind w:hanging="1134"/>
      <w:rPr>
        <w:rFonts w:cs="Arial"/>
        <w:sz w:val="24"/>
        <w:szCs w:val="24"/>
      </w:rPr>
    </w:pPr>
    <w:r w:rsidRPr="00A57564">
      <w:rPr>
        <w:rFonts w:cs="Arial"/>
        <w:sz w:val="24"/>
        <w:szCs w:val="24"/>
      </w:rPr>
      <w:t>Klaipėdos g. 2, LT-96130 Gargždai</w:t>
    </w:r>
    <w:r w:rsidRPr="00A57564">
      <w:rPr>
        <w:rFonts w:cs="Arial"/>
        <w:sz w:val="24"/>
        <w:szCs w:val="24"/>
      </w:rPr>
      <w:tab/>
      <w:t>Juridinių asmenų registre</w:t>
    </w:r>
  </w:p>
  <w:p w:rsidR="00A57564" w:rsidRPr="00A57564" w:rsidRDefault="00A57564" w:rsidP="00A57564">
    <w:pPr>
      <w:pStyle w:val="Porat"/>
      <w:tabs>
        <w:tab w:val="left" w:pos="4111"/>
        <w:tab w:val="left" w:pos="7698"/>
      </w:tabs>
      <w:spacing w:before="0" w:after="0"/>
      <w:ind w:hanging="1134"/>
      <w:rPr>
        <w:rFonts w:cs="Arial"/>
        <w:sz w:val="24"/>
        <w:szCs w:val="24"/>
      </w:rPr>
    </w:pPr>
    <w:r w:rsidRPr="00A57564">
      <w:rPr>
        <w:rFonts w:cs="Arial"/>
        <w:sz w:val="24"/>
        <w:szCs w:val="24"/>
      </w:rPr>
      <w:t xml:space="preserve">Tel. </w:t>
    </w:r>
    <w:r w:rsidR="007D5E0F">
      <w:rPr>
        <w:rFonts w:cs="Arial"/>
        <w:sz w:val="24"/>
        <w:szCs w:val="24"/>
      </w:rPr>
      <w:t>+370 46 21 11 16</w:t>
    </w:r>
    <w:r w:rsidRPr="00A57564">
      <w:rPr>
        <w:rFonts w:cs="Arial"/>
        <w:sz w:val="24"/>
        <w:szCs w:val="24"/>
      </w:rPr>
      <w:tab/>
      <w:t xml:space="preserve">Kodas </w:t>
    </w:r>
    <w:r w:rsidRPr="00A57564">
      <w:rPr>
        <w:rFonts w:cs="Arial"/>
        <w:sz w:val="24"/>
        <w:szCs w:val="24"/>
        <w:shd w:val="clear" w:color="auto" w:fill="FFFFFF"/>
      </w:rPr>
      <w:t>188773688</w:t>
    </w:r>
    <w:r w:rsidRPr="00A57564">
      <w:rPr>
        <w:rFonts w:cs="Arial"/>
        <w:sz w:val="24"/>
        <w:szCs w:val="24"/>
        <w:shd w:val="clear" w:color="auto" w:fill="FFFFFF"/>
      </w:rPr>
      <w:tab/>
    </w:r>
  </w:p>
  <w:p w:rsidR="00A57564" w:rsidRPr="00A57564" w:rsidRDefault="00A57564" w:rsidP="00A57564">
    <w:pPr>
      <w:pStyle w:val="Porat"/>
      <w:tabs>
        <w:tab w:val="left" w:pos="4111"/>
      </w:tabs>
      <w:spacing w:before="0" w:after="0"/>
      <w:ind w:hanging="1134"/>
      <w:rPr>
        <w:rFonts w:cs="Arial"/>
        <w:sz w:val="24"/>
        <w:szCs w:val="24"/>
        <w:lang w:val="en-US"/>
      </w:rPr>
    </w:pPr>
    <w:r w:rsidRPr="00A57564">
      <w:rPr>
        <w:rFonts w:cs="Arial"/>
        <w:sz w:val="24"/>
        <w:szCs w:val="24"/>
      </w:rPr>
      <w:t xml:space="preserve">El. paštas </w:t>
    </w:r>
    <w:hyperlink r:id="rId2" w:history="1">
      <w:r w:rsidRPr="00A57564">
        <w:rPr>
          <w:rStyle w:val="Hipersaitas"/>
          <w:rFonts w:eastAsiaTheme="majorEastAsia" w:cs="Arial"/>
          <w:sz w:val="24"/>
          <w:szCs w:val="24"/>
        </w:rPr>
        <w:t>savivaldybe@klaipedos-r.lt</w:t>
      </w:r>
    </w:hyperlink>
    <w:r w:rsidRPr="00A57564">
      <w:rPr>
        <w:rFonts w:cs="Arial"/>
        <w:sz w:val="24"/>
        <w:szCs w:val="24"/>
      </w:rPr>
      <w:t xml:space="preserve"> </w:t>
    </w:r>
    <w:r w:rsidRPr="00A57564">
      <w:rPr>
        <w:rFonts w:cs="Arial"/>
        <w:sz w:val="24"/>
        <w:szCs w:val="24"/>
      </w:rPr>
      <w:tab/>
      <w:t>www.klaipedos-r.lt</w:t>
    </w:r>
  </w:p>
  <w:p w:rsidR="00CF3D13" w:rsidRPr="00A57564" w:rsidRDefault="00A57564" w:rsidP="00A57564">
    <w:pPr>
      <w:pStyle w:val="Porat"/>
      <w:tabs>
        <w:tab w:val="clear" w:pos="4819"/>
        <w:tab w:val="clear" w:pos="9638"/>
        <w:tab w:val="left" w:pos="589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4576" w:rsidRDefault="00A94576" w:rsidP="00062F2C">
      <w:pPr>
        <w:spacing w:before="0" w:after="0"/>
      </w:pPr>
      <w:r>
        <w:separator/>
      </w:r>
    </w:p>
    <w:p w:rsidR="00A94576" w:rsidRDefault="00A94576"/>
  </w:footnote>
  <w:footnote w:type="continuationSeparator" w:id="0">
    <w:p w:rsidR="00A94576" w:rsidRDefault="00A94576" w:rsidP="00062F2C">
      <w:pPr>
        <w:spacing w:before="0" w:after="0"/>
      </w:pPr>
      <w:r>
        <w:continuationSeparator/>
      </w:r>
    </w:p>
    <w:p w:rsidR="00A94576" w:rsidRDefault="00A945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3516" w:rsidRDefault="00033516">
    <w:pPr>
      <w:pStyle w:val="Antrats"/>
    </w:pPr>
  </w:p>
  <w:p w:rsidR="00116361" w:rsidRDefault="00116361"/>
  <w:p w:rsidR="00116361" w:rsidRDefault="001163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3516" w:rsidRDefault="00033516">
    <w:pPr>
      <w:pStyle w:val="Antrats"/>
    </w:pPr>
  </w:p>
  <w:p w:rsidR="00116361" w:rsidRDefault="00116361"/>
  <w:p w:rsidR="00116361" w:rsidRDefault="0011636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3516" w:rsidRDefault="0003351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339AF"/>
    <w:multiLevelType w:val="multilevel"/>
    <w:tmpl w:val="FFFFFFFF"/>
    <w:lvl w:ilvl="0">
      <w:numFmt w:val="bullet"/>
      <w:lvlText w:val="-"/>
      <w:lvlJc w:val="left"/>
      <w:pPr>
        <w:tabs>
          <w:tab w:val="num" w:pos="720"/>
        </w:tabs>
        <w:ind w:left="720" w:hanging="360"/>
      </w:pPr>
      <w:rPr>
        <w:rFonts w:ascii="Calibri" w:eastAsia="Times New Roman" w:hAnsi="Calibri"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291964BC"/>
    <w:multiLevelType w:val="hybridMultilevel"/>
    <w:tmpl w:val="FFFFFFFF"/>
    <w:lvl w:ilvl="0" w:tplc="03AAF296">
      <w:numFmt w:val="bullet"/>
      <w:lvlText w:val="-"/>
      <w:lvlJc w:val="left"/>
      <w:pPr>
        <w:ind w:left="720" w:hanging="360"/>
      </w:pPr>
      <w:rPr>
        <w:rFonts w:ascii="Calibri" w:eastAsia="Times New Roman" w:hAnsi="Calibri"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C2104BF"/>
    <w:multiLevelType w:val="hybridMultilevel"/>
    <w:tmpl w:val="52306DA8"/>
    <w:lvl w:ilvl="0" w:tplc="D65AEC4A">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829442245">
    <w:abstractNumId w:val="2"/>
  </w:num>
  <w:num w:numId="2" w16cid:durableId="979312136">
    <w:abstractNumId w:val="1"/>
  </w:num>
  <w:num w:numId="3" w16cid:durableId="1534341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M34pxDi83r8K3Akk5RVnoXnD+az1vTYcGwSbJXukywHBPHE8MA5aE6Fg1WsLtKw+IVgz5zhJnJ9GwAHeofa3sQ==" w:salt="5o5vLNOi7Bs5m+/GwVaxmg=="/>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F2C"/>
    <w:rsid w:val="00003835"/>
    <w:rsid w:val="0001621C"/>
    <w:rsid w:val="00022A07"/>
    <w:rsid w:val="00033516"/>
    <w:rsid w:val="00040DF6"/>
    <w:rsid w:val="00062F2C"/>
    <w:rsid w:val="0007187E"/>
    <w:rsid w:val="00095283"/>
    <w:rsid w:val="000A75CC"/>
    <w:rsid w:val="000B0BB7"/>
    <w:rsid w:val="000B49A8"/>
    <w:rsid w:val="000C6A7A"/>
    <w:rsid w:val="000F5EA0"/>
    <w:rsid w:val="00111A87"/>
    <w:rsid w:val="00116361"/>
    <w:rsid w:val="00142533"/>
    <w:rsid w:val="001748AF"/>
    <w:rsid w:val="001A5D2A"/>
    <w:rsid w:val="001D47D1"/>
    <w:rsid w:val="001E52FA"/>
    <w:rsid w:val="001F1760"/>
    <w:rsid w:val="002010DC"/>
    <w:rsid w:val="00231E5F"/>
    <w:rsid w:val="00246AAB"/>
    <w:rsid w:val="00255379"/>
    <w:rsid w:val="00274184"/>
    <w:rsid w:val="00280F04"/>
    <w:rsid w:val="00292E95"/>
    <w:rsid w:val="00296375"/>
    <w:rsid w:val="00296D13"/>
    <w:rsid w:val="002B51F3"/>
    <w:rsid w:val="002C4CC4"/>
    <w:rsid w:val="002D3406"/>
    <w:rsid w:val="00331C6D"/>
    <w:rsid w:val="00354000"/>
    <w:rsid w:val="00356C03"/>
    <w:rsid w:val="00356FFB"/>
    <w:rsid w:val="00390064"/>
    <w:rsid w:val="003A723D"/>
    <w:rsid w:val="003C6A21"/>
    <w:rsid w:val="003E2B35"/>
    <w:rsid w:val="003E655D"/>
    <w:rsid w:val="00405415"/>
    <w:rsid w:val="0041301F"/>
    <w:rsid w:val="0044473E"/>
    <w:rsid w:val="00461BF3"/>
    <w:rsid w:val="00466C51"/>
    <w:rsid w:val="004A3CD2"/>
    <w:rsid w:val="004D4FB1"/>
    <w:rsid w:val="00507684"/>
    <w:rsid w:val="00534A1E"/>
    <w:rsid w:val="00547B39"/>
    <w:rsid w:val="00551C8A"/>
    <w:rsid w:val="00583F6E"/>
    <w:rsid w:val="005B07A5"/>
    <w:rsid w:val="005D4C5B"/>
    <w:rsid w:val="005E1DC3"/>
    <w:rsid w:val="005F0FA0"/>
    <w:rsid w:val="005F6947"/>
    <w:rsid w:val="00661798"/>
    <w:rsid w:val="006623A5"/>
    <w:rsid w:val="006B6EEF"/>
    <w:rsid w:val="006F3C30"/>
    <w:rsid w:val="006F50BC"/>
    <w:rsid w:val="007713CF"/>
    <w:rsid w:val="007847F7"/>
    <w:rsid w:val="007A6D7C"/>
    <w:rsid w:val="007B0A2E"/>
    <w:rsid w:val="007B2DDE"/>
    <w:rsid w:val="007C1D01"/>
    <w:rsid w:val="007C789B"/>
    <w:rsid w:val="007D5E0F"/>
    <w:rsid w:val="007E4C62"/>
    <w:rsid w:val="007F78D9"/>
    <w:rsid w:val="007F7A98"/>
    <w:rsid w:val="00812290"/>
    <w:rsid w:val="00813829"/>
    <w:rsid w:val="00872439"/>
    <w:rsid w:val="008902E7"/>
    <w:rsid w:val="00896E44"/>
    <w:rsid w:val="008C4FBC"/>
    <w:rsid w:val="0090050A"/>
    <w:rsid w:val="00900E8C"/>
    <w:rsid w:val="009029DF"/>
    <w:rsid w:val="0094022A"/>
    <w:rsid w:val="00943062"/>
    <w:rsid w:val="00960CAD"/>
    <w:rsid w:val="0097609B"/>
    <w:rsid w:val="009B0E02"/>
    <w:rsid w:val="009F682C"/>
    <w:rsid w:val="00A11C5D"/>
    <w:rsid w:val="00A175CC"/>
    <w:rsid w:val="00A37B87"/>
    <w:rsid w:val="00A422C4"/>
    <w:rsid w:val="00A460BD"/>
    <w:rsid w:val="00A469B8"/>
    <w:rsid w:val="00A57564"/>
    <w:rsid w:val="00A94576"/>
    <w:rsid w:val="00A964F2"/>
    <w:rsid w:val="00A9797F"/>
    <w:rsid w:val="00AA5598"/>
    <w:rsid w:val="00AB1AFF"/>
    <w:rsid w:val="00AB29E0"/>
    <w:rsid w:val="00B23594"/>
    <w:rsid w:val="00B23FDF"/>
    <w:rsid w:val="00B3706D"/>
    <w:rsid w:val="00B54B07"/>
    <w:rsid w:val="00B759CE"/>
    <w:rsid w:val="00B8530A"/>
    <w:rsid w:val="00B96935"/>
    <w:rsid w:val="00BB038A"/>
    <w:rsid w:val="00BB3153"/>
    <w:rsid w:val="00BB73F8"/>
    <w:rsid w:val="00BC7C38"/>
    <w:rsid w:val="00BD1964"/>
    <w:rsid w:val="00BF3BA6"/>
    <w:rsid w:val="00C16E37"/>
    <w:rsid w:val="00C30545"/>
    <w:rsid w:val="00C4078D"/>
    <w:rsid w:val="00C47291"/>
    <w:rsid w:val="00C5715B"/>
    <w:rsid w:val="00CB3FDC"/>
    <w:rsid w:val="00CC2C01"/>
    <w:rsid w:val="00CD087A"/>
    <w:rsid w:val="00CF3D13"/>
    <w:rsid w:val="00D25E90"/>
    <w:rsid w:val="00D37F4C"/>
    <w:rsid w:val="00D72D86"/>
    <w:rsid w:val="00D857D0"/>
    <w:rsid w:val="00DD2D86"/>
    <w:rsid w:val="00DD79EF"/>
    <w:rsid w:val="00DE5DBE"/>
    <w:rsid w:val="00DF7581"/>
    <w:rsid w:val="00E65DBF"/>
    <w:rsid w:val="00E82C17"/>
    <w:rsid w:val="00EB4E7E"/>
    <w:rsid w:val="00EB7139"/>
    <w:rsid w:val="00ED25CE"/>
    <w:rsid w:val="00EE2341"/>
    <w:rsid w:val="00F046A2"/>
    <w:rsid w:val="00F15773"/>
    <w:rsid w:val="00F2269F"/>
    <w:rsid w:val="00F24F68"/>
    <w:rsid w:val="00FB1695"/>
    <w:rsid w:val="00FE1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62D98"/>
  <w15:chartTrackingRefBased/>
  <w15:docId w15:val="{FF5BE1F1-B487-41D0-AC1E-D865DB145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Įprastasis_rastams"/>
    <w:qFormat/>
    <w:rsid w:val="00003835"/>
    <w:pPr>
      <w:spacing w:before="120" w:after="120" w:line="240" w:lineRule="auto"/>
    </w:pPr>
    <w:rPr>
      <w:rFonts w:ascii="Arial" w:eastAsia="Times New Roman" w:hAnsi="Arial" w:cs="Times New Roman"/>
      <w:sz w:val="28"/>
      <w:szCs w:val="20"/>
      <w:lang w:val="lt-LT"/>
    </w:rPr>
  </w:style>
  <w:style w:type="paragraph" w:styleId="Antrat1">
    <w:name w:val="heading 1"/>
    <w:basedOn w:val="prastasis"/>
    <w:link w:val="Antrat1Diagrama"/>
    <w:uiPriority w:val="9"/>
    <w:qFormat/>
    <w:rsid w:val="00B23FDF"/>
    <w:pPr>
      <w:spacing w:before="1080" w:after="480"/>
      <w:outlineLvl w:val="0"/>
    </w:pPr>
    <w:rPr>
      <w:b/>
      <w:bCs/>
    </w:rPr>
  </w:style>
  <w:style w:type="paragraph" w:styleId="Antrat2">
    <w:name w:val="heading 2"/>
    <w:basedOn w:val="Antrat1"/>
    <w:link w:val="Antrat2Diagrama"/>
    <w:uiPriority w:val="9"/>
    <w:unhideWhenUsed/>
    <w:qFormat/>
    <w:rsid w:val="00003835"/>
    <w:pPr>
      <w:spacing w:before="240" w:after="120"/>
      <w:ind w:firstLine="851"/>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62F2C"/>
    <w:rPr>
      <w:color w:val="0000FF"/>
      <w:u w:val="single"/>
    </w:rPr>
  </w:style>
  <w:style w:type="paragraph" w:customStyle="1" w:styleId="Default">
    <w:name w:val="Default"/>
    <w:rsid w:val="00062F2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avadinimas">
    <w:name w:val="Title"/>
    <w:basedOn w:val="prastasis"/>
    <w:next w:val="prastasis"/>
    <w:link w:val="PavadinimasDiagrama"/>
    <w:qFormat/>
    <w:rsid w:val="00354000"/>
    <w:pPr>
      <w:contextualSpacing/>
    </w:pPr>
    <w:rPr>
      <w:rFonts w:eastAsiaTheme="majorEastAsia" w:cstheme="majorBidi"/>
      <w:b/>
      <w:caps/>
      <w:spacing w:val="-10"/>
      <w:kern w:val="28"/>
      <w:szCs w:val="56"/>
    </w:rPr>
  </w:style>
  <w:style w:type="character" w:customStyle="1" w:styleId="PavadinimasDiagrama">
    <w:name w:val="Pavadinimas Diagrama"/>
    <w:basedOn w:val="Numatytasispastraiposriftas"/>
    <w:link w:val="Pavadinimas"/>
    <w:rsid w:val="00354000"/>
    <w:rPr>
      <w:rFonts w:ascii="Arial" w:eastAsiaTheme="majorEastAsia" w:hAnsi="Arial" w:cstheme="majorBidi"/>
      <w:b/>
      <w:caps/>
      <w:spacing w:val="-10"/>
      <w:kern w:val="28"/>
      <w:sz w:val="28"/>
      <w:szCs w:val="56"/>
      <w:lang w:val="lt-LT"/>
    </w:rPr>
  </w:style>
  <w:style w:type="paragraph" w:styleId="Antrats">
    <w:name w:val="header"/>
    <w:basedOn w:val="prastasis"/>
    <w:link w:val="AntratsDiagrama"/>
    <w:uiPriority w:val="99"/>
    <w:unhideWhenUsed/>
    <w:rsid w:val="00062F2C"/>
    <w:pPr>
      <w:tabs>
        <w:tab w:val="center" w:pos="4819"/>
        <w:tab w:val="right" w:pos="9638"/>
      </w:tabs>
    </w:pPr>
  </w:style>
  <w:style w:type="character" w:customStyle="1" w:styleId="AntratsDiagrama">
    <w:name w:val="Antraštės Diagrama"/>
    <w:basedOn w:val="Numatytasispastraiposriftas"/>
    <w:link w:val="Antrats"/>
    <w:uiPriority w:val="99"/>
    <w:rsid w:val="00062F2C"/>
    <w:rPr>
      <w:rFonts w:ascii="TimesLT" w:eastAsia="Times New Roman" w:hAnsi="TimesLT" w:cs="Times New Roman"/>
      <w:sz w:val="24"/>
      <w:szCs w:val="20"/>
      <w:lang w:val="en-GB"/>
    </w:rPr>
  </w:style>
  <w:style w:type="paragraph" w:styleId="Porat">
    <w:name w:val="footer"/>
    <w:basedOn w:val="prastasis"/>
    <w:link w:val="PoratDiagrama"/>
    <w:unhideWhenUsed/>
    <w:rsid w:val="00062F2C"/>
    <w:pPr>
      <w:tabs>
        <w:tab w:val="center" w:pos="4819"/>
        <w:tab w:val="right" w:pos="9638"/>
      </w:tabs>
    </w:pPr>
  </w:style>
  <w:style w:type="character" w:customStyle="1" w:styleId="PoratDiagrama">
    <w:name w:val="Poraštė Diagrama"/>
    <w:basedOn w:val="Numatytasispastraiposriftas"/>
    <w:link w:val="Porat"/>
    <w:rsid w:val="00062F2C"/>
    <w:rPr>
      <w:rFonts w:ascii="TimesLT" w:eastAsia="Times New Roman" w:hAnsi="TimesLT" w:cs="Times New Roman"/>
      <w:sz w:val="24"/>
      <w:szCs w:val="20"/>
      <w:lang w:val="en-GB"/>
    </w:rPr>
  </w:style>
  <w:style w:type="paragraph" w:customStyle="1" w:styleId="Rekvizitai">
    <w:name w:val="Rekvizitai"/>
    <w:basedOn w:val="Paraas"/>
    <w:qFormat/>
    <w:rsid w:val="00CF3D13"/>
    <w:pPr>
      <w:keepNext/>
      <w:ind w:left="0"/>
    </w:pPr>
    <w:rPr>
      <w:rFonts w:cs="Arial"/>
      <w:sz w:val="20"/>
    </w:rPr>
  </w:style>
  <w:style w:type="paragraph" w:customStyle="1" w:styleId="staigospavadinimas">
    <w:name w:val="Įstaigos pavadinimas"/>
    <w:basedOn w:val="Pavadinimas"/>
    <w:qFormat/>
    <w:rsid w:val="00DE5DBE"/>
    <w:pPr>
      <w:jc w:val="center"/>
    </w:pPr>
    <w:rPr>
      <w:sz w:val="24"/>
    </w:rPr>
  </w:style>
  <w:style w:type="paragraph" w:styleId="Paraas">
    <w:name w:val="Signature"/>
    <w:basedOn w:val="prastasis"/>
    <w:link w:val="ParaasDiagrama"/>
    <w:uiPriority w:val="99"/>
    <w:semiHidden/>
    <w:unhideWhenUsed/>
    <w:rsid w:val="00062F2C"/>
    <w:pPr>
      <w:ind w:left="4252"/>
    </w:pPr>
  </w:style>
  <w:style w:type="character" w:customStyle="1" w:styleId="ParaasDiagrama">
    <w:name w:val="Parašas Diagrama"/>
    <w:basedOn w:val="Numatytasispastraiposriftas"/>
    <w:link w:val="Paraas"/>
    <w:uiPriority w:val="99"/>
    <w:semiHidden/>
    <w:rsid w:val="00062F2C"/>
    <w:rPr>
      <w:rFonts w:ascii="TimesLT" w:eastAsia="Times New Roman" w:hAnsi="TimesLT" w:cs="Times New Roman"/>
      <w:sz w:val="24"/>
      <w:szCs w:val="20"/>
      <w:lang w:val="en-GB"/>
    </w:rPr>
  </w:style>
  <w:style w:type="character" w:customStyle="1" w:styleId="Antrat1Diagrama">
    <w:name w:val="Antraštė 1 Diagrama"/>
    <w:basedOn w:val="Numatytasispastraiposriftas"/>
    <w:link w:val="Antrat1"/>
    <w:uiPriority w:val="9"/>
    <w:rsid w:val="00B23FDF"/>
    <w:rPr>
      <w:rFonts w:ascii="Arial" w:eastAsia="Times New Roman" w:hAnsi="Arial" w:cs="Times New Roman"/>
      <w:b/>
      <w:bCs/>
      <w:sz w:val="28"/>
      <w:szCs w:val="20"/>
      <w:lang w:val="lt-LT"/>
    </w:rPr>
  </w:style>
  <w:style w:type="character" w:styleId="Neapdorotaspaminjimas">
    <w:name w:val="Unresolved Mention"/>
    <w:basedOn w:val="Numatytasispastraiposriftas"/>
    <w:uiPriority w:val="99"/>
    <w:semiHidden/>
    <w:unhideWhenUsed/>
    <w:rsid w:val="00EE2341"/>
    <w:rPr>
      <w:color w:val="605E5C"/>
      <w:shd w:val="clear" w:color="auto" w:fill="E1DFDD"/>
    </w:rPr>
  </w:style>
  <w:style w:type="character" w:customStyle="1" w:styleId="Antrat2Diagrama">
    <w:name w:val="Antraštė 2 Diagrama"/>
    <w:basedOn w:val="Numatytasispastraiposriftas"/>
    <w:link w:val="Antrat2"/>
    <w:uiPriority w:val="9"/>
    <w:rsid w:val="00003835"/>
    <w:rPr>
      <w:rFonts w:ascii="Arial" w:eastAsia="Times New Roman" w:hAnsi="Arial" w:cs="Times New Roman"/>
      <w:b/>
      <w:bCs/>
      <w:sz w:val="28"/>
      <w:szCs w:val="20"/>
      <w:lang w:val="lt-LT"/>
    </w:rPr>
  </w:style>
  <w:style w:type="table" w:styleId="Lentelstinklelis">
    <w:name w:val="Table Grid"/>
    <w:basedOn w:val="prastojilentel"/>
    <w:uiPriority w:val="39"/>
    <w:rsid w:val="00A46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ymopavad">
    <w:name w:val="?statymo pavad."/>
    <w:basedOn w:val="prastasis"/>
    <w:rsid w:val="00A57564"/>
    <w:pPr>
      <w:spacing w:before="0" w:after="0" w:line="360" w:lineRule="auto"/>
      <w:ind w:firstLine="720"/>
      <w:jc w:val="center"/>
    </w:pPr>
    <w:rPr>
      <w:rFonts w:ascii="TimesLT" w:hAnsi="TimesLT"/>
      <w:caps/>
      <w:sz w:val="24"/>
    </w:rPr>
  </w:style>
  <w:style w:type="character" w:customStyle="1" w:styleId="statymoNr">
    <w:name w:val="?statymo Nr."/>
    <w:rsid w:val="00A57564"/>
    <w:rPr>
      <w:rFonts w:ascii="HelveticaLT" w:hAnsi="HelveticaLT"/>
    </w:rPr>
  </w:style>
  <w:style w:type="paragraph" w:styleId="Pataisymai">
    <w:name w:val="Revision"/>
    <w:hidden/>
    <w:uiPriority w:val="99"/>
    <w:semiHidden/>
    <w:rsid w:val="007C1D01"/>
    <w:pPr>
      <w:spacing w:after="0" w:line="240" w:lineRule="auto"/>
    </w:pPr>
    <w:rPr>
      <w:rFonts w:ascii="Arial" w:eastAsia="Times New Roman" w:hAnsi="Arial" w:cs="Times New Roman"/>
      <w:sz w:val="28"/>
      <w:szCs w:val="20"/>
      <w:lang w:val="lt-LT"/>
    </w:rPr>
  </w:style>
  <w:style w:type="character" w:styleId="Komentaronuoroda">
    <w:name w:val="annotation reference"/>
    <w:basedOn w:val="Numatytasispastraiposriftas"/>
    <w:uiPriority w:val="99"/>
    <w:semiHidden/>
    <w:unhideWhenUsed/>
    <w:rsid w:val="007C1D01"/>
    <w:rPr>
      <w:sz w:val="16"/>
      <w:szCs w:val="16"/>
    </w:rPr>
  </w:style>
  <w:style w:type="paragraph" w:styleId="Komentarotekstas">
    <w:name w:val="annotation text"/>
    <w:basedOn w:val="prastasis"/>
    <w:link w:val="KomentarotekstasDiagrama"/>
    <w:uiPriority w:val="99"/>
    <w:semiHidden/>
    <w:unhideWhenUsed/>
    <w:rsid w:val="007C1D01"/>
    <w:rPr>
      <w:sz w:val="20"/>
    </w:rPr>
  </w:style>
  <w:style w:type="character" w:customStyle="1" w:styleId="KomentarotekstasDiagrama">
    <w:name w:val="Komentaro tekstas Diagrama"/>
    <w:basedOn w:val="Numatytasispastraiposriftas"/>
    <w:link w:val="Komentarotekstas"/>
    <w:uiPriority w:val="99"/>
    <w:semiHidden/>
    <w:rsid w:val="007C1D01"/>
    <w:rPr>
      <w:rFonts w:ascii="Arial" w:eastAsia="Times New Roman" w:hAnsi="Arial"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7C1D01"/>
    <w:rPr>
      <w:b/>
      <w:bCs/>
    </w:rPr>
  </w:style>
  <w:style w:type="character" w:customStyle="1" w:styleId="KomentarotemaDiagrama">
    <w:name w:val="Komentaro tema Diagrama"/>
    <w:basedOn w:val="KomentarotekstasDiagrama"/>
    <w:link w:val="Komentarotema"/>
    <w:uiPriority w:val="99"/>
    <w:semiHidden/>
    <w:rsid w:val="007C1D01"/>
    <w:rPr>
      <w:rFonts w:ascii="Arial" w:eastAsia="Times New Roman" w:hAnsi="Arial" w:cs="Times New Roman"/>
      <w:b/>
      <w:bCs/>
      <w:sz w:val="20"/>
      <w:szCs w:val="20"/>
      <w:lang w:val="lt-LT"/>
    </w:rPr>
  </w:style>
  <w:style w:type="paragraph" w:styleId="Sraopastraipa">
    <w:name w:val="List Paragraph"/>
    <w:basedOn w:val="prastasis"/>
    <w:uiPriority w:val="34"/>
    <w:qFormat/>
    <w:rsid w:val="002010DC"/>
    <w:pPr>
      <w:suppressAutoHyphens/>
      <w:autoSpaceDN w:val="0"/>
      <w:spacing w:before="0" w:after="160"/>
      <w:ind w:left="720"/>
      <w:textAlignment w:val="baseline"/>
    </w:pPr>
    <w:rPr>
      <w:rFonts w:ascii="Calibri" w:eastAsia="Calibri" w:hAnsi="Calibri" w:cs="Arial"/>
      <w:sz w:val="22"/>
      <w:szCs w:val="22"/>
    </w:rPr>
  </w:style>
  <w:style w:type="paragraph" w:styleId="Betarp">
    <w:name w:val="No Spacing"/>
    <w:uiPriority w:val="1"/>
    <w:qFormat/>
    <w:rsid w:val="006F50BC"/>
    <w:pPr>
      <w:spacing w:after="0" w:line="240" w:lineRule="auto"/>
    </w:pPr>
    <w:rPr>
      <w:rFonts w:ascii="Arial" w:eastAsia="Times New Roman" w:hAnsi="Arial" w:cs="Times New Roman"/>
      <w:sz w:val="28"/>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BE558-DFF7-4BCD-B583-B5E5787F6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4567</Words>
  <Characters>2604</Characters>
  <Application>Microsoft Office Word</Application>
  <DocSecurity>8</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Gulbinė</dc:creator>
  <cp:keywords/>
  <dc:description/>
  <cp:lastModifiedBy>Monika Petkė</cp:lastModifiedBy>
  <cp:revision>1</cp:revision>
  <cp:lastPrinted>2025-03-04T08:29:00Z</cp:lastPrinted>
  <dcterms:created xsi:type="dcterms:W3CDTF">2025-04-10T08:40:00Z</dcterms:created>
  <dcterms:modified xsi:type="dcterms:W3CDTF">2025-04-10T08:40:00Z</dcterms:modified>
</cp:coreProperties>
</file>