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00D" w:rsidR="00AF0A9D" w:rsidP="1F5EB41F" w:rsidRDefault="00AF0A9D" w14:paraId="209D2E7C" w14:textId="77777777">
      <w:pPr>
        <w:jc w:val="both"/>
        <w:rPr>
          <w:b w:val="1"/>
          <w:bCs w:val="1"/>
          <w:noProof w:val="0"/>
          <w:sz w:val="24"/>
          <w:szCs w:val="24"/>
          <w:lang w:val="lt-LT"/>
        </w:rPr>
      </w:pPr>
      <w:r w:rsidRPr="1F5EB41F" w:rsidR="00AF0A9D">
        <w:rPr>
          <w:b w:val="1"/>
          <w:bCs w:val="1"/>
          <w:noProof w:val="0"/>
          <w:sz w:val="24"/>
          <w:szCs w:val="24"/>
          <w:lang w:val="lt-LT"/>
        </w:rPr>
        <w:t>DĖL RINKOS KONSULTACIJOS</w:t>
      </w:r>
    </w:p>
    <w:p w:rsidRPr="00D7400D" w:rsidR="00AF0A9D" w:rsidP="1F5EB41F" w:rsidRDefault="00AF0A9D" w14:paraId="490D1766" w14:textId="77777777">
      <w:pPr>
        <w:jc w:val="both"/>
        <w:rPr>
          <w:b w:val="1"/>
          <w:bCs w:val="1"/>
          <w:noProof w:val="0"/>
          <w:sz w:val="24"/>
          <w:szCs w:val="24"/>
          <w:lang w:val="lt-LT"/>
        </w:rPr>
      </w:pPr>
    </w:p>
    <w:p w:rsidRPr="00D7400D" w:rsidR="00AF0A9D" w:rsidP="00923113" w:rsidRDefault="002D3D1A" w14:paraId="1CD58DD3" w14:textId="6A5CFCFB">
      <w:pPr>
        <w:spacing w:line="276" w:lineRule="auto"/>
        <w:contextualSpacing/>
        <w:jc w:val="both"/>
        <w:rPr>
          <w:noProof w:val="0"/>
          <w:lang w:val="lt-LT"/>
        </w:rPr>
      </w:pPr>
      <w:r w:rsidRPr="1F5EB41F" w:rsidR="002D3D1A">
        <w:rPr>
          <w:noProof w:val="0"/>
          <w:sz w:val="24"/>
          <w:szCs w:val="24"/>
          <w:lang w:val="lt-LT"/>
        </w:rPr>
        <w:t>Valstybės skaitmeninių sprendimų agentūra</w:t>
      </w:r>
      <w:r w:rsidRPr="1F5EB41F" w:rsidR="00753AD5">
        <w:rPr>
          <w:noProof w:val="0"/>
          <w:sz w:val="24"/>
          <w:szCs w:val="24"/>
          <w:lang w:val="lt-LT"/>
        </w:rPr>
        <w:t>,</w:t>
      </w:r>
      <w:r w:rsidRPr="1F5EB41F" w:rsidR="0F397138">
        <w:rPr>
          <w:noProof w:val="0"/>
          <w:sz w:val="24"/>
          <w:szCs w:val="24"/>
          <w:lang w:val="lt-LT"/>
        </w:rPr>
        <w:t xml:space="preserve"> siekdama tinkamai pasiruošti numatomam pirkimui </w:t>
      </w:r>
      <w:r w:rsidRPr="1F5EB41F" w:rsidR="0F397138">
        <w:rPr>
          <w:noProof w:val="0"/>
          <w:sz w:val="24"/>
          <w:szCs w:val="24"/>
          <w:lang w:val="lt-LT"/>
        </w:rPr>
        <w:t>„</w:t>
      </w:r>
      <w:r w:rsidRPr="1F5EB41F" w:rsidR="7F3AD83A">
        <w:rPr>
          <w:noProof w:val="0"/>
          <w:sz w:val="24"/>
          <w:szCs w:val="24"/>
          <w:lang w:val="lt-LT"/>
        </w:rPr>
        <w:t>Informacinių sistemų ir registrų informacinės sistemos sukūrimo ir vystymo paslaug</w:t>
      </w:r>
      <w:r w:rsidRPr="1F5EB41F" w:rsidR="4CB937E3">
        <w:rPr>
          <w:noProof w:val="0"/>
          <w:sz w:val="24"/>
          <w:szCs w:val="24"/>
          <w:lang w:val="lt-LT"/>
        </w:rPr>
        <w:t>os</w:t>
      </w:r>
      <w:r w:rsidRPr="1F5EB41F" w:rsidR="0F397138">
        <w:rPr>
          <w:noProof w:val="0"/>
          <w:sz w:val="24"/>
          <w:szCs w:val="24"/>
          <w:lang w:val="lt-LT"/>
        </w:rPr>
        <w:t>” (toliau – Pirkimas)</w:t>
      </w:r>
      <w:r w:rsidRPr="1F5EB41F" w:rsidR="00753AD5">
        <w:rPr>
          <w:noProof w:val="0"/>
          <w:sz w:val="24"/>
          <w:szCs w:val="24"/>
          <w:lang w:val="lt-LT"/>
        </w:rPr>
        <w:t>,</w:t>
      </w:r>
      <w:r w:rsidRPr="1F5EB41F" w:rsidR="0F397138">
        <w:rPr>
          <w:noProof w:val="0"/>
          <w:sz w:val="24"/>
          <w:szCs w:val="24"/>
          <w:lang w:val="lt-LT"/>
        </w:rPr>
        <w:t xml:space="preserve"> vadovaudamasi Lietuvos Respu</w:t>
      </w:r>
      <w:r w:rsidRPr="1F5EB41F" w:rsidR="0F397138">
        <w:rPr>
          <w:noProof w:val="0"/>
          <w:sz w:val="24"/>
          <w:szCs w:val="24"/>
          <w:lang w:val="lt-LT"/>
        </w:rPr>
        <w:t>blikos viešųjų pirkimų įstatymo 27 straipsnio nuostatomis, organizuoja konsultaciją su rinkos dalyviais.</w:t>
      </w:r>
    </w:p>
    <w:p w:rsidRPr="00D7400D" w:rsidR="00AF0A9D" w:rsidP="007E4679" w:rsidRDefault="00AF0A9D" w14:paraId="7EAA7B44" w14:textId="77777777">
      <w:pPr>
        <w:ind w:firstLine="567"/>
        <w:jc w:val="both"/>
        <w:rPr>
          <w:noProof w:val="0"/>
          <w:sz w:val="24"/>
          <w:szCs w:val="24"/>
          <w:lang w:val="lt-LT"/>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5"/>
        <w:gridCol w:w="7872"/>
      </w:tblGrid>
      <w:tr w:rsidRPr="00D7400D" w:rsidR="00AF0A9D" w:rsidTr="1F5EB41F" w14:paraId="7F6BF69C" w14:textId="77777777">
        <w:tc>
          <w:tcPr>
            <w:tcW w:w="1875" w:type="dxa"/>
            <w:tcMar/>
          </w:tcPr>
          <w:p w:rsidRPr="00D7400D" w:rsidR="00AF0A9D" w:rsidP="1F5EB41F" w:rsidRDefault="00AF0A9D" w14:paraId="41B0E789" w14:textId="77777777">
            <w:pPr>
              <w:rPr>
                <w:b w:val="1"/>
                <w:bCs w:val="1"/>
                <w:noProof w:val="0"/>
                <w:sz w:val="24"/>
                <w:szCs w:val="24"/>
                <w:lang w:val="lt-LT"/>
              </w:rPr>
            </w:pPr>
            <w:r w:rsidRPr="1F5EB41F" w:rsidR="00AF0A9D">
              <w:rPr>
                <w:b w:val="1"/>
                <w:bCs w:val="1"/>
                <w:noProof w:val="0"/>
                <w:sz w:val="24"/>
                <w:szCs w:val="24"/>
                <w:lang w:val="lt-LT"/>
              </w:rPr>
              <w:t>Konsultacijos objektas:</w:t>
            </w:r>
          </w:p>
        </w:tc>
        <w:tc>
          <w:tcPr>
            <w:tcW w:w="7872" w:type="dxa"/>
            <w:tcMar/>
          </w:tcPr>
          <w:p w:rsidRPr="00923113" w:rsidR="00AF0A9D" w:rsidP="1F5EB41F" w:rsidRDefault="00AF0A9D" w14:paraId="7300C3FF" w14:textId="20918E99">
            <w:pPr>
              <w:jc w:val="both"/>
              <w:rPr>
                <w:noProof w:val="0"/>
                <w:sz w:val="24"/>
                <w:szCs w:val="24"/>
                <w:lang w:val="lt-LT"/>
              </w:rPr>
            </w:pPr>
            <w:r w:rsidRPr="1F5EB41F" w:rsidR="00AF0A9D">
              <w:rPr>
                <w:rFonts w:eastAsia="Calibri"/>
                <w:b w:val="1"/>
                <w:bCs w:val="1"/>
                <w:noProof w:val="0"/>
                <w:sz w:val="24"/>
                <w:szCs w:val="24"/>
                <w:lang w:val="lt-LT"/>
              </w:rPr>
              <w:t>Tinkamas pasirengimas Pirkimui „</w:t>
            </w:r>
            <w:r w:rsidRPr="1F5EB41F" w:rsidR="70D26300">
              <w:rPr>
                <w:rFonts w:eastAsia="Calibri"/>
                <w:b w:val="1"/>
                <w:bCs w:val="1"/>
                <w:noProof w:val="0"/>
                <w:sz w:val="24"/>
                <w:szCs w:val="24"/>
                <w:lang w:val="lt-LT"/>
              </w:rPr>
              <w:t>I</w:t>
            </w:r>
            <w:r w:rsidRPr="1F5EB41F" w:rsidR="70D26300">
              <w:rPr>
                <w:b w:val="1"/>
                <w:bCs w:val="1"/>
                <w:noProof w:val="0"/>
                <w:sz w:val="24"/>
                <w:szCs w:val="24"/>
                <w:lang w:val="lt-LT"/>
              </w:rPr>
              <w:t>nformacinių sistemų ir registrų informacinės sistemos sukūrimo ir vystymo paslaugos</w:t>
            </w:r>
            <w:r w:rsidRPr="1F5EB41F" w:rsidR="00AF0A9D">
              <w:rPr>
                <w:rFonts w:eastAsia="Calibri"/>
                <w:b w:val="1"/>
                <w:bCs w:val="1"/>
                <w:noProof w:val="0"/>
                <w:sz w:val="24"/>
                <w:szCs w:val="24"/>
                <w:lang w:val="lt-LT"/>
              </w:rPr>
              <w:t>“</w:t>
            </w:r>
            <w:r w:rsidRPr="1F5EB41F" w:rsidR="3ED3456C">
              <w:rPr>
                <w:rFonts w:eastAsia="Calibri"/>
                <w:b w:val="1"/>
                <w:bCs w:val="1"/>
                <w:noProof w:val="0"/>
                <w:sz w:val="24"/>
                <w:szCs w:val="24"/>
                <w:lang w:val="lt-LT"/>
              </w:rPr>
              <w:t xml:space="preserve"> (BVPŽ kodas: </w:t>
            </w:r>
            <w:r w:rsidRPr="1F5EB41F" w:rsidR="047DA1B9">
              <w:rPr>
                <w:rFonts w:eastAsia="Calibri"/>
                <w:b w:val="1"/>
                <w:bCs w:val="1"/>
                <w:noProof w:val="0"/>
                <w:sz w:val="24"/>
                <w:szCs w:val="24"/>
                <w:lang w:val="lt-LT"/>
              </w:rPr>
              <w:t>72200000-7</w:t>
            </w:r>
            <w:r w:rsidRPr="1F5EB41F" w:rsidR="3ED3456C">
              <w:rPr>
                <w:rFonts w:eastAsia="Calibri"/>
                <w:b w:val="1"/>
                <w:bCs w:val="1"/>
                <w:noProof w:val="0"/>
                <w:sz w:val="24"/>
                <w:szCs w:val="24"/>
                <w:lang w:val="lt-LT"/>
              </w:rPr>
              <w:t>)</w:t>
            </w:r>
          </w:p>
        </w:tc>
      </w:tr>
      <w:tr w:rsidRPr="00D7400D" w:rsidR="00AF0A9D" w:rsidTr="1F5EB41F" w14:paraId="2A2EA3C8" w14:textId="77777777">
        <w:tc>
          <w:tcPr>
            <w:tcW w:w="1875" w:type="dxa"/>
            <w:tcMar/>
          </w:tcPr>
          <w:p w:rsidRPr="00D7400D" w:rsidR="00AF0A9D" w:rsidP="1F5EB41F" w:rsidRDefault="00AF0A9D" w14:paraId="6BE0AAF1" w14:textId="77777777">
            <w:pPr>
              <w:rPr>
                <w:b w:val="1"/>
                <w:bCs w:val="1"/>
                <w:noProof w:val="0"/>
                <w:sz w:val="24"/>
                <w:szCs w:val="24"/>
                <w:lang w:val="lt-LT"/>
              </w:rPr>
            </w:pPr>
            <w:r w:rsidRPr="1F5EB41F" w:rsidR="00AF0A9D">
              <w:rPr>
                <w:b w:val="1"/>
                <w:bCs w:val="1"/>
                <w:noProof w:val="0"/>
                <w:sz w:val="24"/>
                <w:szCs w:val="24"/>
                <w:lang w:val="lt-LT"/>
              </w:rPr>
              <w:t>Konsultacijos tikslas:</w:t>
            </w:r>
          </w:p>
        </w:tc>
        <w:tc>
          <w:tcPr>
            <w:tcW w:w="7872" w:type="dxa"/>
            <w:tcMar/>
          </w:tcPr>
          <w:p w:rsidRPr="00D7400D" w:rsidR="009B2683" w:rsidP="1F5EB41F" w:rsidRDefault="00AF0A9D" w14:paraId="250ACB86" w14:textId="1CF2BF23">
            <w:pPr>
              <w:jc w:val="both"/>
              <w:rPr>
                <w:noProof w:val="0"/>
                <w:sz w:val="24"/>
                <w:szCs w:val="24"/>
                <w:lang w:val="lt-LT"/>
              </w:rPr>
            </w:pPr>
            <w:r w:rsidRPr="1F5EB41F" w:rsidR="00AF0A9D">
              <w:rPr>
                <w:noProof w:val="0"/>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Pr="1F5EB41F" w:rsidR="195BC1B3">
              <w:rPr>
                <w:noProof w:val="0"/>
                <w:sz w:val="24"/>
                <w:szCs w:val="24"/>
                <w:lang w:val="lt-LT"/>
              </w:rPr>
              <w:t>t</w:t>
            </w:r>
            <w:r w:rsidRPr="1F5EB41F" w:rsidR="2C3FAAF0">
              <w:rPr>
                <w:noProof w:val="0"/>
                <w:sz w:val="24"/>
                <w:szCs w:val="24"/>
                <w:lang w:val="lt-LT"/>
              </w:rPr>
              <w:t>echninės specifikacijos</w:t>
            </w:r>
            <w:r w:rsidRPr="1F5EB41F" w:rsidR="1A4034E1">
              <w:rPr>
                <w:noProof w:val="0"/>
                <w:sz w:val="24"/>
                <w:szCs w:val="24"/>
                <w:lang w:val="lt-LT"/>
              </w:rPr>
              <w:t xml:space="preserve">. </w:t>
            </w:r>
          </w:p>
        </w:tc>
      </w:tr>
      <w:tr w:rsidRPr="00D7400D" w:rsidR="00AF0A9D" w:rsidTr="1F5EB41F" w14:paraId="357A49F0" w14:textId="77777777">
        <w:tc>
          <w:tcPr>
            <w:tcW w:w="1875" w:type="dxa"/>
            <w:tcMar/>
          </w:tcPr>
          <w:p w:rsidRPr="00D7400D" w:rsidR="00AF0A9D" w:rsidP="1F5EB41F" w:rsidRDefault="00AF0A9D" w14:paraId="5A4DE9CD" w14:textId="77777777">
            <w:pPr>
              <w:rPr>
                <w:b w:val="1"/>
                <w:bCs w:val="1"/>
                <w:noProof w:val="0"/>
                <w:sz w:val="24"/>
                <w:szCs w:val="24"/>
                <w:lang w:val="lt-LT"/>
              </w:rPr>
            </w:pPr>
            <w:r w:rsidRPr="1F5EB41F" w:rsidR="00AF0A9D">
              <w:rPr>
                <w:b w:val="1"/>
                <w:bCs w:val="1"/>
                <w:noProof w:val="0"/>
                <w:sz w:val="24"/>
                <w:szCs w:val="24"/>
                <w:lang w:val="lt-LT"/>
              </w:rPr>
              <w:t>Konsultacijos su rinka laikas bei</w:t>
            </w:r>
          </w:p>
          <w:p w:rsidRPr="00D7400D" w:rsidR="00AF0A9D" w:rsidP="1F5EB41F" w:rsidRDefault="00AF0A9D" w14:paraId="7A0F3583" w14:textId="77777777">
            <w:pPr>
              <w:rPr>
                <w:b w:val="1"/>
                <w:bCs w:val="1"/>
                <w:noProof w:val="0"/>
                <w:sz w:val="24"/>
                <w:szCs w:val="24"/>
                <w:lang w:val="lt-LT"/>
              </w:rPr>
            </w:pPr>
            <w:r w:rsidRPr="1F5EB41F" w:rsidR="00AF0A9D">
              <w:rPr>
                <w:b w:val="1"/>
                <w:bCs w:val="1"/>
                <w:noProof w:val="0"/>
                <w:sz w:val="24"/>
                <w:szCs w:val="24"/>
                <w:lang w:val="lt-LT"/>
              </w:rPr>
              <w:t>pastabų ir pasiūlymų pateikimo terminas:</w:t>
            </w:r>
          </w:p>
        </w:tc>
        <w:tc>
          <w:tcPr>
            <w:tcW w:w="7872" w:type="dxa"/>
            <w:tcMar/>
          </w:tcPr>
          <w:p w:rsidRPr="00D7400D" w:rsidR="00AF0A9D" w:rsidP="1F5EB41F" w:rsidRDefault="00AF0A9D" w14:paraId="3484CCD7" w14:textId="77777777">
            <w:pPr>
              <w:tabs>
                <w:tab w:val="left" w:pos="720"/>
              </w:tabs>
              <w:spacing/>
              <w:contextualSpacing/>
              <w:jc w:val="both"/>
              <w:rPr>
                <w:noProof w:val="0"/>
                <w:kern w:val="24"/>
                <w:sz w:val="24"/>
                <w:szCs w:val="24"/>
                <w:lang w:val="lt-LT" w:eastAsia="lt-LT"/>
              </w:rPr>
            </w:pPr>
            <w:r w:rsidRPr="1F5EB41F" w:rsidR="00AF0A9D">
              <w:rPr>
                <w:noProof w:val="0"/>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rsidRPr="00D7400D" w:rsidR="00AF0A9D" w:rsidP="3564CECB" w:rsidRDefault="00AF0A9D" w14:paraId="65B31D75" w14:textId="7A06B424">
            <w:pPr>
              <w:tabs>
                <w:tab w:val="left" w:pos="720"/>
              </w:tabs>
              <w:spacing/>
              <w:contextualSpacing/>
              <w:jc w:val="both"/>
              <w:rPr>
                <w:noProof w:val="0"/>
                <w:kern w:val="24"/>
                <w:sz w:val="24"/>
                <w:szCs w:val="24"/>
                <w:lang w:val="lt-LT" w:eastAsia="lt-LT"/>
              </w:rPr>
            </w:pPr>
            <w:r w:rsidRPr="3564CECB" w:rsidR="00AF0A9D">
              <w:rPr>
                <w:noProof w:val="0"/>
                <w:kern w:val="24"/>
                <w:sz w:val="24"/>
                <w:szCs w:val="24"/>
                <w:lang w:val="lt-LT" w:eastAsia="lt-LT"/>
              </w:rPr>
              <w:t xml:space="preserve">Tiekėjai prašomi </w:t>
            </w:r>
            <w:r w:rsidRPr="3564CECB" w:rsidR="00AF0A9D">
              <w:rPr>
                <w:noProof w:val="0"/>
                <w:kern w:val="24"/>
                <w:sz w:val="24"/>
                <w:szCs w:val="24"/>
                <w:shd w:val="clear" w:color="auto" w:fill="FBE4D5" w:themeFill="accent2" w:themeFillTint="33"/>
                <w:lang w:val="lt-LT" w:eastAsia="lt-LT"/>
              </w:rPr>
              <w:t xml:space="preserve">ne vėliau kaip iki </w:t>
            </w:r>
            <w:r w:rsidRPr="00D7400D" w:rsidR="00AF0A9D">
              <w:rPr>
                <w:b w:val="1"/>
                <w:bCs w:val="1"/>
                <w:noProof w:val="0"/>
                <w:kern w:val="24"/>
                <w:sz w:val="24"/>
                <w:szCs w:val="24"/>
                <w:shd w:val="clear" w:color="auto" w:fill="FBE4D5" w:themeFill="accent2" w:themeFillTint="33"/>
                <w:lang w:val="lt-LT" w:eastAsia="lt-LT"/>
              </w:rPr>
              <w:t>202</w:t>
            </w:r>
            <w:r w:rsidRPr="1F5EB41F" w:rsidR="3CDFBD3E">
              <w:rPr>
                <w:b w:val="1"/>
                <w:bCs w:val="1"/>
                <w:noProof w:val="0"/>
                <w:kern w:val="24"/>
                <w:sz w:val="24"/>
                <w:szCs w:val="24"/>
                <w:shd w:val="clear" w:color="auto" w:fill="FBE4D5" w:themeFill="accent2" w:themeFillTint="33"/>
                <w:lang w:val="lt-LT" w:eastAsia="lt-LT"/>
              </w:rPr>
              <w:t>5</w:t>
            </w:r>
            <w:r w:rsidRPr="00D7400D" w:rsidR="00AF0A9D">
              <w:rPr>
                <w:b w:val="1"/>
                <w:bCs w:val="1"/>
                <w:noProof w:val="0"/>
                <w:kern w:val="24"/>
                <w:sz w:val="24"/>
                <w:szCs w:val="24"/>
                <w:shd w:val="clear" w:color="auto" w:fill="FBE4D5" w:themeFill="accent2" w:themeFillTint="33"/>
                <w:lang w:val="lt-LT" w:eastAsia="lt-LT"/>
              </w:rPr>
              <w:t xml:space="preserve"> m. </w:t>
            </w:r>
            <w:r w:rsidR="4F6064AB">
              <w:rPr>
                <w:b w:val="1"/>
                <w:bCs w:val="1"/>
                <w:noProof w:val="0"/>
                <w:kern w:val="24"/>
                <w:sz w:val="24"/>
                <w:szCs w:val="24"/>
                <w:shd w:val="clear" w:color="auto" w:fill="FBE4D5" w:themeFill="accent2" w:themeFillTint="33"/>
                <w:lang w:val="lt-LT" w:eastAsia="lt-LT"/>
              </w:rPr>
              <w:t xml:space="preserve">balandžio 18 </w:t>
            </w:r>
            <w:r w:rsidRPr="00D7400D" w:rsidR="00AF0A9D">
              <w:rPr>
                <w:b w:val="1"/>
                <w:bCs w:val="1"/>
                <w:noProof w:val="0"/>
                <w:kern w:val="24"/>
                <w:sz w:val="24"/>
                <w:szCs w:val="24"/>
                <w:shd w:val="clear" w:color="auto" w:fill="FBE4D5" w:themeFill="accent2" w:themeFillTint="33"/>
                <w:lang w:val="lt-LT" w:eastAsia="lt-LT"/>
              </w:rPr>
              <w:t xml:space="preserve">d. </w:t>
            </w:r>
            <w:r w:rsidRPr="00D7400D" w:rsidR="07BD7FF8">
              <w:rPr>
                <w:b w:val="1"/>
                <w:bCs w:val="1"/>
                <w:noProof w:val="0"/>
                <w:kern w:val="24"/>
                <w:sz w:val="24"/>
                <w:szCs w:val="24"/>
                <w:shd w:val="clear" w:color="auto" w:fill="FBE4D5" w:themeFill="accent2" w:themeFillTint="33"/>
                <w:lang w:val="lt-LT" w:eastAsia="lt-LT"/>
              </w:rPr>
              <w:t xml:space="preserve">09</w:t>
            </w:r>
            <w:r w:rsidRPr="00D7400D" w:rsidR="00AF0A9D">
              <w:rPr>
                <w:b w:val="1"/>
                <w:bCs w:val="1"/>
                <w:noProof w:val="0"/>
                <w:kern w:val="24"/>
                <w:sz w:val="24"/>
                <w:szCs w:val="24"/>
                <w:shd w:val="clear" w:color="auto" w:fill="FBE4D5" w:themeFill="accent2" w:themeFillTint="33"/>
                <w:lang w:val="lt-LT" w:eastAsia="lt-LT"/>
              </w:rPr>
              <w:t>:00 val.</w:t>
            </w:r>
            <w:r w:rsidRPr="00D7400D" w:rsidR="00AF0A9D">
              <w:rPr>
                <w:b w:val="1"/>
                <w:bCs w:val="1"/>
                <w:noProof w:val="0"/>
                <w:kern w:val="24"/>
                <w:sz w:val="24"/>
                <w:szCs w:val="24"/>
                <w:lang w:val="lt-LT" w:eastAsia="lt-LT"/>
              </w:rPr>
              <w:t xml:space="preserve"> </w:t>
            </w:r>
            <w:r w:rsidRPr="3564CECB" w:rsidR="00AF0A9D">
              <w:rPr>
                <w:noProof w:val="0"/>
                <w:kern w:val="24"/>
                <w:sz w:val="24"/>
                <w:szCs w:val="24"/>
                <w:lang w:val="lt-LT" w:eastAsia="lt-LT"/>
              </w:rPr>
              <w:t>pateikti siūlymus CVP IS priemonėmis.</w:t>
            </w:r>
          </w:p>
          <w:p w:rsidRPr="00D7400D" w:rsidR="00752A4E" w:rsidP="1F5EB41F" w:rsidRDefault="00752A4E" w14:paraId="237E0B0A" w14:textId="1122B8DC">
            <w:pPr>
              <w:tabs>
                <w:tab w:val="left" w:pos="720"/>
              </w:tabs>
              <w:spacing/>
              <w:contextualSpacing/>
              <w:jc w:val="both"/>
              <w:rPr>
                <w:noProof w:val="0"/>
                <w:kern w:val="24"/>
                <w:sz w:val="24"/>
                <w:szCs w:val="24"/>
                <w:lang w:val="lt-LT" w:eastAsia="lt-LT"/>
              </w:rPr>
            </w:pPr>
            <w:r w:rsidRPr="1F5EB41F" w:rsidR="4EC40188">
              <w:rPr>
                <w:noProof w:val="0"/>
                <w:kern w:val="24"/>
                <w:sz w:val="24"/>
                <w:szCs w:val="24"/>
                <w:lang w:val="lt-LT" w:eastAsia="lt-LT"/>
              </w:rPr>
              <w:t>Susitikimai rengiami nebus.</w:t>
            </w:r>
          </w:p>
        </w:tc>
      </w:tr>
      <w:tr w:rsidRPr="00D7400D" w:rsidR="00AF0A9D" w:rsidTr="1F5EB41F" w14:paraId="0E95B6A1" w14:textId="77777777">
        <w:trPr>
          <w:trHeight w:val="519"/>
        </w:trPr>
        <w:tc>
          <w:tcPr>
            <w:tcW w:w="1875" w:type="dxa"/>
            <w:tcMar/>
          </w:tcPr>
          <w:p w:rsidRPr="00D7400D" w:rsidR="00AF0A9D" w:rsidP="1F5EB41F" w:rsidRDefault="00AF0A9D" w14:paraId="2F7344B8" w14:textId="77777777">
            <w:pPr>
              <w:rPr>
                <w:b w:val="1"/>
                <w:bCs w:val="1"/>
                <w:noProof w:val="0"/>
                <w:sz w:val="24"/>
                <w:szCs w:val="24"/>
                <w:lang w:val="lt-LT"/>
              </w:rPr>
            </w:pPr>
            <w:r w:rsidRPr="1F5EB41F" w:rsidR="00AF0A9D">
              <w:rPr>
                <w:b w:val="1"/>
                <w:bCs w:val="1"/>
                <w:noProof w:val="0"/>
                <w:sz w:val="24"/>
                <w:szCs w:val="24"/>
                <w:lang w:val="lt-LT"/>
              </w:rPr>
              <w:t>Suinteresuotų asmenų informavimas:</w:t>
            </w:r>
          </w:p>
        </w:tc>
        <w:tc>
          <w:tcPr>
            <w:tcW w:w="7872" w:type="dxa"/>
            <w:tcMar/>
          </w:tcPr>
          <w:p w:rsidRPr="00D7400D" w:rsidR="00AF0A9D" w:rsidP="007E4679" w:rsidRDefault="00AF0A9D" w14:paraId="74201A16" w14:textId="6CAB6DEF">
            <w:pPr>
              <w:jc w:val="both"/>
              <w:rPr>
                <w:noProof w:val="0"/>
                <w:sz w:val="24"/>
                <w:szCs w:val="24"/>
                <w:lang w:val="lt-LT"/>
              </w:rPr>
            </w:pPr>
            <w:r w:rsidRPr="1F5EB41F" w:rsidR="00AF0A9D">
              <w:rPr>
                <w:noProof w:val="0"/>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rsidRPr="00D7400D" w:rsidR="00B40AB3" w:rsidP="00656464" w:rsidRDefault="00B40AB3" w14:paraId="69E285E6" w14:textId="77777777">
      <w:pPr>
        <w:rPr>
          <w:rFonts w:eastAsia="Calibri"/>
          <w:noProof w:val="0"/>
          <w:sz w:val="24"/>
          <w:szCs w:val="24"/>
          <w:lang w:val="lt-LT" w:eastAsia="lt-LT"/>
        </w:rPr>
      </w:pPr>
    </w:p>
    <w:p w:rsidRPr="00D7400D" w:rsidR="00656464" w:rsidP="1F5EB41F" w:rsidRDefault="00656464" w14:paraId="25C71E90" w14:textId="28268C56">
      <w:pPr>
        <w:rPr>
          <w:rFonts w:eastAsia="Calibri"/>
          <w:b w:val="1"/>
          <w:bCs w:val="1"/>
          <w:noProof w:val="0"/>
          <w:sz w:val="24"/>
          <w:szCs w:val="24"/>
          <w:lang w:val="lt-LT"/>
        </w:rPr>
      </w:pPr>
      <w:r w:rsidRPr="1F5EB41F" w:rsidR="00656464">
        <w:rPr>
          <w:rFonts w:eastAsia="Calibri"/>
          <w:b w:val="1"/>
          <w:bCs w:val="1"/>
          <w:noProof w:val="0"/>
          <w:sz w:val="24"/>
          <w:szCs w:val="24"/>
          <w:lang w:val="lt-LT" w:eastAsia="lt-LT"/>
        </w:rPr>
        <w:t>KLAUSIMAI RINKOS KONSULTACIJOS</w:t>
      </w:r>
      <w:r w:rsidRPr="1F5EB41F" w:rsidR="00656464">
        <w:rPr>
          <w:rFonts w:eastAsia="Calibri"/>
          <w:b w:val="1"/>
          <w:bCs w:val="1"/>
          <w:noProof w:val="0"/>
          <w:sz w:val="24"/>
          <w:szCs w:val="24"/>
          <w:lang w:val="lt-LT"/>
        </w:rPr>
        <w:t xml:space="preserve"> DALYVIAMS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88"/>
        <w:gridCol w:w="4046"/>
        <w:gridCol w:w="4851"/>
      </w:tblGrid>
      <w:tr w:rsidRPr="00D7400D" w:rsidR="00ED3715" w:rsidTr="1F5EB41F" w14:paraId="5FCA4B7B" w14:textId="77777777">
        <w:trPr>
          <w:trHeight w:val="300"/>
        </w:trPr>
        <w:tc>
          <w:tcPr>
            <w:tcW w:w="588" w:type="dxa"/>
            <w:tcMar>
              <w:left w:w="105" w:type="dxa"/>
              <w:right w:w="105" w:type="dxa"/>
            </w:tcMar>
          </w:tcPr>
          <w:p w:rsidRPr="00D7400D" w:rsidR="00ED3715" w:rsidP="00390A2D" w:rsidRDefault="00182DBC" w14:paraId="54FF3A7F" w14:textId="5C97A2E7">
            <w:pPr>
              <w:rPr>
                <w:noProof w:val="0"/>
                <w:color w:val="000000" w:themeColor="text1"/>
                <w:lang w:val="lt-LT"/>
              </w:rPr>
            </w:pPr>
            <w:bookmarkStart w:name="_Hlk160525082" w:id="0"/>
            <w:r w:rsidRPr="1F5EB41F" w:rsidR="0662E1E9">
              <w:rPr>
                <w:b w:val="1"/>
                <w:bCs w:val="1"/>
                <w:noProof w:val="0"/>
                <w:color w:val="000000" w:themeColor="text1" w:themeTint="FF" w:themeShade="FF"/>
                <w:sz w:val="24"/>
                <w:szCs w:val="24"/>
                <w:lang w:val="lt-LT"/>
              </w:rPr>
              <w:t xml:space="preserve">Eil. </w:t>
            </w:r>
            <w:r w:rsidRPr="1F5EB41F" w:rsidR="00ED3715">
              <w:rPr>
                <w:b w:val="1"/>
                <w:bCs w:val="1"/>
                <w:noProof w:val="0"/>
                <w:color w:val="000000" w:themeColor="text1" w:themeTint="FF" w:themeShade="FF"/>
                <w:sz w:val="24"/>
                <w:szCs w:val="24"/>
                <w:lang w:val="lt-LT"/>
              </w:rPr>
              <w:t>Nr.</w:t>
            </w:r>
          </w:p>
        </w:tc>
        <w:tc>
          <w:tcPr>
            <w:tcW w:w="4046" w:type="dxa"/>
            <w:tcMar>
              <w:left w:w="105" w:type="dxa"/>
              <w:right w:w="105" w:type="dxa"/>
            </w:tcMar>
          </w:tcPr>
          <w:p w:rsidRPr="00D7400D" w:rsidR="00ED3715" w:rsidP="00390A2D" w:rsidRDefault="00ED3715" w14:paraId="5E74043C" w14:textId="77777777">
            <w:pPr>
              <w:rPr>
                <w:b w:val="1"/>
                <w:bCs w:val="1"/>
                <w:noProof w:val="0"/>
                <w:color w:val="000000" w:themeColor="text1"/>
                <w:lang w:val="lt-LT"/>
              </w:rPr>
            </w:pPr>
            <w:r w:rsidRPr="1F5EB41F" w:rsidR="00ED3715">
              <w:rPr>
                <w:b w:val="1"/>
                <w:bCs w:val="1"/>
                <w:noProof w:val="0"/>
                <w:color w:val="000000" w:themeColor="text1" w:themeTint="FF" w:themeShade="FF"/>
                <w:sz w:val="24"/>
                <w:szCs w:val="24"/>
                <w:lang w:val="lt-LT"/>
              </w:rPr>
              <w:t>Klausimas</w:t>
            </w:r>
          </w:p>
        </w:tc>
        <w:tc>
          <w:tcPr>
            <w:tcW w:w="4851" w:type="dxa"/>
            <w:tcMar>
              <w:left w:w="105" w:type="dxa"/>
              <w:right w:w="105" w:type="dxa"/>
            </w:tcMar>
          </w:tcPr>
          <w:p w:rsidRPr="00D7400D" w:rsidR="00ED3715" w:rsidP="00182DBC" w:rsidRDefault="00182DBC" w14:paraId="23D3536E" w14:textId="3648CDB9">
            <w:pPr>
              <w:jc w:val="center"/>
              <w:rPr>
                <w:b w:val="1"/>
                <w:bCs w:val="1"/>
                <w:noProof w:val="0"/>
                <w:color w:val="000000" w:themeColor="text1"/>
                <w:lang w:val="lt-LT"/>
              </w:rPr>
            </w:pPr>
            <w:r w:rsidRPr="1F5EB41F" w:rsidR="0662E1E9">
              <w:rPr>
                <w:b w:val="1"/>
                <w:bCs w:val="1"/>
                <w:noProof w:val="0"/>
                <w:color w:val="000000" w:themeColor="text1" w:themeTint="FF" w:themeShade="FF"/>
                <w:sz w:val="24"/>
                <w:szCs w:val="24"/>
                <w:lang w:val="lt-LT"/>
              </w:rPr>
              <w:t xml:space="preserve">Teikėjo </w:t>
            </w:r>
            <w:r w:rsidRPr="1F5EB41F" w:rsidR="00ED3715">
              <w:rPr>
                <w:b w:val="1"/>
                <w:bCs w:val="1"/>
                <w:noProof w:val="0"/>
                <w:color w:val="000000" w:themeColor="text1" w:themeTint="FF" w:themeShade="FF"/>
                <w:sz w:val="24"/>
                <w:szCs w:val="24"/>
                <w:lang w:val="lt-LT"/>
              </w:rPr>
              <w:t>Atsakymas</w:t>
            </w:r>
          </w:p>
          <w:p w:rsidRPr="00D7400D" w:rsidR="00ED3715" w:rsidP="00182DBC" w:rsidRDefault="00ED3715" w14:paraId="7D34706F" w14:textId="77777777">
            <w:pPr>
              <w:jc w:val="center"/>
              <w:rPr>
                <w:noProof w:val="0"/>
                <w:color w:val="000000" w:themeColor="text1"/>
                <w:lang w:val="lt-LT"/>
              </w:rPr>
            </w:pPr>
            <w:r w:rsidRPr="1F5EB41F" w:rsidR="00ED3715">
              <w:rPr>
                <w:noProof w:val="0"/>
                <w:color w:val="000000" w:themeColor="text1" w:themeTint="FF" w:themeShade="FF"/>
                <w:sz w:val="24"/>
                <w:szCs w:val="24"/>
                <w:lang w:val="lt-LT"/>
              </w:rPr>
              <w:t>(jeigu atsakymas nėra vienareikšmiškas “Taip”, prašome pateikti pagrįstus argumentus ir rekomendacijas)</w:t>
            </w:r>
          </w:p>
        </w:tc>
      </w:tr>
      <w:tr w:rsidRPr="00D7400D" w:rsidR="000B1F27" w:rsidTr="1F5EB41F" w14:paraId="4E458D36" w14:textId="77777777">
        <w:trPr>
          <w:trHeight w:val="300"/>
        </w:trPr>
        <w:tc>
          <w:tcPr>
            <w:tcW w:w="588" w:type="dxa"/>
            <w:tcMar>
              <w:left w:w="105" w:type="dxa"/>
              <w:right w:w="105" w:type="dxa"/>
            </w:tcMar>
          </w:tcPr>
          <w:p w:rsidRPr="00EC6912" w:rsidR="000B1F27" w:rsidP="1F5EB41F" w:rsidRDefault="00EC6912" w14:paraId="4BF6C6ED" w14:textId="07A35379">
            <w:pPr>
              <w:rPr>
                <w:b w:val="1"/>
                <w:bCs w:val="1"/>
                <w:noProof w:val="0"/>
                <w:color w:val="000000" w:themeColor="text1"/>
                <w:sz w:val="24"/>
                <w:szCs w:val="24"/>
                <w:lang w:val="lt-LT"/>
              </w:rPr>
            </w:pPr>
            <w:r w:rsidRPr="1F5EB41F" w:rsidR="2B9D7FE1">
              <w:rPr>
                <w:b w:val="1"/>
                <w:bCs w:val="1"/>
                <w:noProof w:val="0"/>
                <w:color w:val="000000" w:themeColor="text1" w:themeTint="FF" w:themeShade="FF"/>
                <w:sz w:val="24"/>
                <w:szCs w:val="24"/>
                <w:lang w:val="lt-LT"/>
              </w:rPr>
              <w:t>1.</w:t>
            </w:r>
          </w:p>
        </w:tc>
        <w:tc>
          <w:tcPr>
            <w:tcW w:w="4046" w:type="dxa"/>
            <w:tcMar>
              <w:left w:w="105" w:type="dxa"/>
              <w:right w:w="105" w:type="dxa"/>
            </w:tcMar>
          </w:tcPr>
          <w:p w:rsidRPr="00182DBC" w:rsidR="000B1F27" w:rsidP="00FC4F13" w:rsidRDefault="000B1F27" w14:paraId="553A4318" w14:textId="2ECB2FD7">
            <w:pPr>
              <w:jc w:val="both"/>
              <w:rPr>
                <w:noProof w:val="0"/>
                <w:color w:val="000000" w:themeColor="text1"/>
                <w:sz w:val="24"/>
                <w:szCs w:val="24"/>
                <w:lang w:val="lt-LT"/>
              </w:rPr>
            </w:pPr>
            <w:r w:rsidRPr="1F5EB41F" w:rsidR="3DD563FE">
              <w:rPr>
                <w:noProof w:val="0"/>
                <w:color w:val="000000" w:themeColor="text1" w:themeTint="FF" w:themeShade="FF"/>
                <w:sz w:val="24"/>
                <w:szCs w:val="24"/>
                <w:lang w:val="lt-LT"/>
              </w:rPr>
              <w:t>Ar techninėje specifikacijoje nurodyti reikalavimai</w:t>
            </w:r>
            <w:r w:rsidRPr="1F5EB41F" w:rsidR="166F1D91">
              <w:rPr>
                <w:noProof w:val="0"/>
                <w:color w:val="000000" w:themeColor="text1" w:themeTint="FF" w:themeShade="FF"/>
                <w:sz w:val="24"/>
                <w:szCs w:val="24"/>
                <w:lang w:val="lt-LT"/>
              </w:rPr>
              <w:t xml:space="preserve"> ir sąlygos Jums priimtinos ir aiškios?</w:t>
            </w:r>
          </w:p>
        </w:tc>
        <w:tc>
          <w:tcPr>
            <w:tcW w:w="4851" w:type="dxa"/>
            <w:tcMar>
              <w:left w:w="105" w:type="dxa"/>
              <w:right w:w="105" w:type="dxa"/>
            </w:tcMar>
          </w:tcPr>
          <w:p w:rsidRPr="00D7400D" w:rsidR="000B1F27" w:rsidP="00390A2D" w:rsidRDefault="000B1F27" w14:paraId="372CD71F" w14:textId="77777777">
            <w:pPr>
              <w:rPr>
                <w:b w:val="1"/>
                <w:bCs w:val="1"/>
                <w:noProof w:val="0"/>
                <w:color w:val="000000" w:themeColor="text1"/>
                <w:sz w:val="24"/>
                <w:szCs w:val="24"/>
                <w:lang w:val="lt-LT"/>
              </w:rPr>
            </w:pPr>
          </w:p>
        </w:tc>
      </w:tr>
      <w:tr w:rsidRPr="00D7400D" w:rsidR="00BE1334" w:rsidTr="1F5EB41F" w14:paraId="380B2E0A" w14:textId="77777777">
        <w:trPr>
          <w:trHeight w:val="300"/>
        </w:trPr>
        <w:tc>
          <w:tcPr>
            <w:tcW w:w="588" w:type="dxa"/>
            <w:tcMar>
              <w:left w:w="105" w:type="dxa"/>
              <w:right w:w="105" w:type="dxa"/>
            </w:tcMar>
          </w:tcPr>
          <w:p w:rsidRPr="00D7400D" w:rsidR="00BE1334" w:rsidP="00390A2D" w:rsidRDefault="00EC6912" w14:paraId="24CE3619" w14:textId="0780B660">
            <w:pPr>
              <w:rPr>
                <w:b w:val="1"/>
                <w:bCs w:val="1"/>
                <w:noProof w:val="0"/>
                <w:color w:val="000000" w:themeColor="text1"/>
                <w:sz w:val="24"/>
                <w:szCs w:val="24"/>
                <w:lang w:val="lt-LT"/>
              </w:rPr>
            </w:pPr>
            <w:r w:rsidRPr="1F5EB41F" w:rsidR="2B9D7FE1">
              <w:rPr>
                <w:b w:val="1"/>
                <w:bCs w:val="1"/>
                <w:noProof w:val="0"/>
                <w:color w:val="000000" w:themeColor="text1" w:themeTint="FF" w:themeShade="FF"/>
                <w:sz w:val="24"/>
                <w:szCs w:val="24"/>
                <w:lang w:val="lt-LT"/>
              </w:rPr>
              <w:t>2.</w:t>
            </w:r>
          </w:p>
        </w:tc>
        <w:tc>
          <w:tcPr>
            <w:tcW w:w="4046" w:type="dxa"/>
            <w:tcMar>
              <w:left w:w="105" w:type="dxa"/>
              <w:right w:w="105" w:type="dxa"/>
            </w:tcMar>
          </w:tcPr>
          <w:p w:rsidRPr="00182DBC" w:rsidR="00BE1334" w:rsidP="00FC4F13" w:rsidRDefault="00BE1334" w14:paraId="15FE27F0" w14:textId="3B6B75FE">
            <w:pPr>
              <w:jc w:val="both"/>
              <w:rPr>
                <w:noProof w:val="0"/>
                <w:color w:val="000000" w:themeColor="text1"/>
                <w:sz w:val="24"/>
                <w:szCs w:val="24"/>
                <w:lang w:val="lt-LT"/>
              </w:rPr>
            </w:pPr>
            <w:r w:rsidRPr="1F5EB41F" w:rsidR="70AA9E4F">
              <w:rPr>
                <w:noProof w:val="0"/>
                <w:color w:val="000000" w:themeColor="text1" w:themeTint="FF" w:themeShade="FF"/>
                <w:sz w:val="24"/>
                <w:szCs w:val="24"/>
                <w:lang w:val="lt-LT"/>
              </w:rPr>
              <w:t xml:space="preserve">Ar turite pastabų, </w:t>
            </w:r>
            <w:r w:rsidRPr="1F5EB41F" w:rsidR="0662E1E9">
              <w:rPr>
                <w:noProof w:val="0"/>
                <w:color w:val="000000" w:themeColor="text1" w:themeTint="FF" w:themeShade="FF"/>
                <w:sz w:val="24"/>
                <w:szCs w:val="24"/>
                <w:lang w:val="lt-LT"/>
              </w:rPr>
              <w:t>klausimų</w:t>
            </w:r>
            <w:r w:rsidRPr="1F5EB41F" w:rsidR="216EF2CC">
              <w:rPr>
                <w:noProof w:val="0"/>
                <w:color w:val="000000" w:themeColor="text1" w:themeTint="FF" w:themeShade="FF"/>
                <w:sz w:val="24"/>
                <w:szCs w:val="24"/>
                <w:lang w:val="lt-LT"/>
              </w:rPr>
              <w:t xml:space="preserve"> ar pasiūlymų</w:t>
            </w:r>
            <w:r w:rsidRPr="1F5EB41F" w:rsidR="0662E1E9">
              <w:rPr>
                <w:noProof w:val="0"/>
                <w:color w:val="000000" w:themeColor="text1" w:themeTint="FF" w:themeShade="FF"/>
                <w:sz w:val="24"/>
                <w:szCs w:val="24"/>
                <w:lang w:val="lt-LT"/>
              </w:rPr>
              <w:t xml:space="preserve"> techninės specifikacijos projektui</w:t>
            </w:r>
            <w:r w:rsidRPr="1F5EB41F" w:rsidR="0662E1E9">
              <w:rPr>
                <w:noProof w:val="0"/>
                <w:color w:val="000000" w:themeColor="text1" w:themeTint="FF" w:themeShade="FF"/>
                <w:sz w:val="24"/>
                <w:szCs w:val="24"/>
                <w:lang w:val="lt-LT"/>
              </w:rPr>
              <w:t>?</w:t>
            </w:r>
          </w:p>
        </w:tc>
        <w:tc>
          <w:tcPr>
            <w:tcW w:w="4851" w:type="dxa"/>
            <w:tcMar>
              <w:left w:w="105" w:type="dxa"/>
              <w:right w:w="105" w:type="dxa"/>
            </w:tcMar>
          </w:tcPr>
          <w:p w:rsidRPr="00D7400D" w:rsidR="00BE1334" w:rsidP="00390A2D" w:rsidRDefault="00BE1334" w14:paraId="524EE745" w14:textId="77777777">
            <w:pPr>
              <w:rPr>
                <w:b w:val="1"/>
                <w:bCs w:val="1"/>
                <w:noProof w:val="0"/>
                <w:color w:val="000000" w:themeColor="text1"/>
                <w:sz w:val="24"/>
                <w:szCs w:val="24"/>
                <w:lang w:val="lt-LT"/>
              </w:rPr>
            </w:pPr>
          </w:p>
        </w:tc>
      </w:tr>
      <w:tr w:rsidRPr="00D7400D" w:rsidR="00182DBC" w:rsidTr="1F5EB41F" w14:paraId="44C4B744" w14:textId="77777777">
        <w:trPr>
          <w:trHeight w:val="300"/>
        </w:trPr>
        <w:tc>
          <w:tcPr>
            <w:tcW w:w="588" w:type="dxa"/>
            <w:tcMar>
              <w:left w:w="105" w:type="dxa"/>
              <w:right w:w="105" w:type="dxa"/>
            </w:tcMar>
          </w:tcPr>
          <w:p w:rsidRPr="00D7400D" w:rsidR="00182DBC" w:rsidP="00390A2D" w:rsidRDefault="00EC6912" w14:paraId="2B560019" w14:textId="2B2CAEB1">
            <w:pPr>
              <w:rPr>
                <w:b w:val="1"/>
                <w:bCs w:val="1"/>
                <w:noProof w:val="0"/>
                <w:color w:val="000000" w:themeColor="text1"/>
                <w:sz w:val="24"/>
                <w:szCs w:val="24"/>
                <w:lang w:val="lt-LT"/>
              </w:rPr>
            </w:pPr>
            <w:r w:rsidRPr="1F5EB41F" w:rsidR="2B9D7FE1">
              <w:rPr>
                <w:b w:val="1"/>
                <w:bCs w:val="1"/>
                <w:noProof w:val="0"/>
                <w:color w:val="000000" w:themeColor="text1" w:themeTint="FF" w:themeShade="FF"/>
                <w:sz w:val="24"/>
                <w:szCs w:val="24"/>
                <w:lang w:val="lt-LT"/>
              </w:rPr>
              <w:t>3.</w:t>
            </w:r>
          </w:p>
        </w:tc>
        <w:tc>
          <w:tcPr>
            <w:tcW w:w="4046" w:type="dxa"/>
            <w:tcMar>
              <w:left w:w="105" w:type="dxa"/>
              <w:right w:w="105" w:type="dxa"/>
            </w:tcMar>
          </w:tcPr>
          <w:p w:rsidRPr="00182DBC" w:rsidR="00182DBC" w:rsidP="00FC4F13" w:rsidRDefault="008A7E9A" w14:paraId="1D4E982D" w14:textId="50F6660C">
            <w:pPr>
              <w:jc w:val="both"/>
              <w:rPr>
                <w:noProof w:val="0"/>
                <w:color w:val="000000" w:themeColor="text1"/>
                <w:sz w:val="24"/>
                <w:szCs w:val="24"/>
                <w:lang w:val="lt-LT"/>
              </w:rPr>
            </w:pPr>
            <w:r w:rsidRPr="1F5EB41F" w:rsidR="5FA764AF">
              <w:rPr>
                <w:noProof w:val="0"/>
                <w:color w:val="000000" w:themeColor="text1" w:themeTint="FF" w:themeShade="FF"/>
                <w:sz w:val="24"/>
                <w:szCs w:val="24"/>
                <w:lang w:val="lt-LT"/>
              </w:rPr>
              <w:t>Ar techninė specifikacija neriboja konkurencijos?</w:t>
            </w:r>
          </w:p>
        </w:tc>
        <w:tc>
          <w:tcPr>
            <w:tcW w:w="4851" w:type="dxa"/>
            <w:tcMar>
              <w:left w:w="105" w:type="dxa"/>
              <w:right w:w="105" w:type="dxa"/>
            </w:tcMar>
          </w:tcPr>
          <w:p w:rsidRPr="00D7400D" w:rsidR="00182DBC" w:rsidP="00390A2D" w:rsidRDefault="00182DBC" w14:paraId="6B30A8B2" w14:textId="77777777">
            <w:pPr>
              <w:rPr>
                <w:b w:val="1"/>
                <w:bCs w:val="1"/>
                <w:noProof w:val="0"/>
                <w:color w:val="000000" w:themeColor="text1"/>
                <w:sz w:val="24"/>
                <w:szCs w:val="24"/>
                <w:lang w:val="lt-LT"/>
              </w:rPr>
            </w:pPr>
          </w:p>
        </w:tc>
      </w:tr>
      <w:bookmarkEnd w:id="0"/>
    </w:tbl>
    <w:p w:rsidRPr="00D7400D" w:rsidR="00ED3715" w:rsidP="00ED3715" w:rsidRDefault="00ED3715" w14:paraId="25FF0ACF" w14:textId="77777777">
      <w:pPr>
        <w:rPr>
          <w:noProof w:val="0"/>
          <w:lang w:val="lt-LT"/>
        </w:rPr>
      </w:pPr>
    </w:p>
    <w:p w:rsidRPr="00D7400D" w:rsidR="004C4534" w:rsidP="00783A88" w:rsidRDefault="00783A88" w14:paraId="234AF31B" w14:textId="6AA14128">
      <w:pPr>
        <w:jc w:val="both"/>
        <w:rPr>
          <w:noProof w:val="0"/>
          <w:sz w:val="24"/>
          <w:szCs w:val="24"/>
          <w:lang w:val="lt-LT"/>
        </w:rPr>
      </w:pPr>
      <w:r w:rsidRPr="1F5EB41F" w:rsidR="00783A88">
        <w:rPr>
          <w:b w:val="1"/>
          <w:bCs w:val="1"/>
          <w:noProof w:val="0"/>
          <w:sz w:val="24"/>
          <w:szCs w:val="24"/>
          <w:lang w:val="lt-LT"/>
        </w:rPr>
        <w:t>Pridedama:</w:t>
      </w:r>
      <w:r w:rsidRPr="1F5EB41F" w:rsidR="00783A88">
        <w:rPr>
          <w:noProof w:val="0"/>
          <w:sz w:val="24"/>
          <w:szCs w:val="24"/>
          <w:lang w:val="lt-LT"/>
        </w:rPr>
        <w:t xml:space="preserve"> </w:t>
      </w:r>
      <w:r w:rsidRPr="1F5EB41F" w:rsidR="00AF3957">
        <w:rPr>
          <w:noProof w:val="0"/>
          <w:sz w:val="24"/>
          <w:szCs w:val="24"/>
          <w:lang w:val="lt-LT"/>
        </w:rPr>
        <w:t>Duomenų saugyklų techninės įrangos gamintojo garantijos priežiūros pratęsimo</w:t>
      </w:r>
      <w:r w:rsidRPr="1F5EB41F" w:rsidR="00783A88">
        <w:rPr>
          <w:noProof w:val="0"/>
          <w:sz w:val="24"/>
          <w:szCs w:val="24"/>
          <w:lang w:val="lt-LT"/>
        </w:rPr>
        <w:t xml:space="preserve"> paslaug</w:t>
      </w:r>
      <w:r w:rsidRPr="1F5EB41F" w:rsidR="00783A88">
        <w:rPr>
          <w:noProof w:val="0"/>
          <w:sz w:val="24"/>
          <w:szCs w:val="24"/>
          <w:lang w:val="lt-LT"/>
        </w:rPr>
        <w:t>ų techninė specifikacija.</w:t>
      </w:r>
    </w:p>
    <w:sectPr w:rsidRPr="00D7400D" w:rsidR="004C4534" w:rsidSect="00C10B68">
      <w:headerReference w:type="default" r:id="rId10"/>
      <w:footerReference w:type="default" r:id="rId11"/>
      <w:pgSz w:w="11906" w:h="16838" w:orient="portrait"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F2F" w:rsidP="009B2683" w:rsidRDefault="00160F2F" w14:paraId="4726B8A7" w14:textId="77777777">
      <w:r>
        <w:separator/>
      </w:r>
    </w:p>
  </w:endnote>
  <w:endnote w:type="continuationSeparator" w:id="0">
    <w:p w:rsidR="00160F2F" w:rsidP="009B2683" w:rsidRDefault="00160F2F" w14:paraId="554F6325" w14:textId="77777777">
      <w:r>
        <w:continuationSeparator/>
      </w:r>
    </w:p>
  </w:endnote>
  <w:endnote w:type="continuationNotice" w:id="1">
    <w:p w:rsidR="00160F2F" w:rsidRDefault="00160F2F" w14:paraId="1FE82B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4285" w:rsidP="00390A2D" w:rsidRDefault="00AF0A9D" w14:paraId="356693C0" w14:textId="648E48CF">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F2F" w:rsidP="009B2683" w:rsidRDefault="00160F2F" w14:paraId="4FD1290A" w14:textId="77777777">
      <w:r>
        <w:separator/>
      </w:r>
    </w:p>
  </w:footnote>
  <w:footnote w:type="continuationSeparator" w:id="0">
    <w:p w:rsidR="00160F2F" w:rsidP="009B2683" w:rsidRDefault="00160F2F" w14:paraId="3D9C3E8B" w14:textId="77777777">
      <w:r>
        <w:continuationSeparator/>
      </w:r>
    </w:p>
  </w:footnote>
  <w:footnote w:type="continuationNotice" w:id="1">
    <w:p w:rsidR="00160F2F" w:rsidRDefault="00160F2F" w14:paraId="7204144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6F7B" w:rsidR="002A4285" w:rsidP="00390A2D" w:rsidRDefault="003C092D" w14:paraId="34D4E28A" w14:textId="77777777">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hint="default" w:ascii="Symbol" w:hAnsi="Symbol"/>
      </w:rPr>
    </w:lvl>
    <w:lvl w:ilvl="1" w:tplc="04090003" w:tentative="1">
      <w:start w:val="1"/>
      <w:numFmt w:val="bullet"/>
      <w:lvlText w:val="o"/>
      <w:lvlJc w:val="left"/>
      <w:pPr>
        <w:ind w:left="2736" w:hanging="360"/>
      </w:pPr>
      <w:rPr>
        <w:rFonts w:hint="default" w:ascii="Courier New" w:hAnsi="Courier New" w:cs="Courier New"/>
      </w:rPr>
    </w:lvl>
    <w:lvl w:ilvl="2" w:tplc="04090005" w:tentative="1">
      <w:start w:val="1"/>
      <w:numFmt w:val="bullet"/>
      <w:lvlText w:val=""/>
      <w:lvlJc w:val="left"/>
      <w:pPr>
        <w:ind w:left="3456" w:hanging="360"/>
      </w:pPr>
      <w:rPr>
        <w:rFonts w:hint="default" w:ascii="Wingdings" w:hAnsi="Wingdings"/>
      </w:rPr>
    </w:lvl>
    <w:lvl w:ilvl="3" w:tplc="04090001" w:tentative="1">
      <w:start w:val="1"/>
      <w:numFmt w:val="bullet"/>
      <w:lvlText w:val=""/>
      <w:lvlJc w:val="left"/>
      <w:pPr>
        <w:ind w:left="4176" w:hanging="360"/>
      </w:pPr>
      <w:rPr>
        <w:rFonts w:hint="default" w:ascii="Symbol" w:hAnsi="Symbol"/>
      </w:rPr>
    </w:lvl>
    <w:lvl w:ilvl="4" w:tplc="04090003" w:tentative="1">
      <w:start w:val="1"/>
      <w:numFmt w:val="bullet"/>
      <w:lvlText w:val="o"/>
      <w:lvlJc w:val="left"/>
      <w:pPr>
        <w:ind w:left="4896" w:hanging="360"/>
      </w:pPr>
      <w:rPr>
        <w:rFonts w:hint="default" w:ascii="Courier New" w:hAnsi="Courier New" w:cs="Courier New"/>
      </w:rPr>
    </w:lvl>
    <w:lvl w:ilvl="5" w:tplc="04090005" w:tentative="1">
      <w:start w:val="1"/>
      <w:numFmt w:val="bullet"/>
      <w:lvlText w:val=""/>
      <w:lvlJc w:val="left"/>
      <w:pPr>
        <w:ind w:left="5616" w:hanging="360"/>
      </w:pPr>
      <w:rPr>
        <w:rFonts w:hint="default" w:ascii="Wingdings" w:hAnsi="Wingdings"/>
      </w:rPr>
    </w:lvl>
    <w:lvl w:ilvl="6" w:tplc="04090001" w:tentative="1">
      <w:start w:val="1"/>
      <w:numFmt w:val="bullet"/>
      <w:lvlText w:val=""/>
      <w:lvlJc w:val="left"/>
      <w:pPr>
        <w:ind w:left="6336" w:hanging="360"/>
      </w:pPr>
      <w:rPr>
        <w:rFonts w:hint="default" w:ascii="Symbol" w:hAnsi="Symbol"/>
      </w:rPr>
    </w:lvl>
    <w:lvl w:ilvl="7" w:tplc="04090003" w:tentative="1">
      <w:start w:val="1"/>
      <w:numFmt w:val="bullet"/>
      <w:lvlText w:val="o"/>
      <w:lvlJc w:val="left"/>
      <w:pPr>
        <w:ind w:left="7056" w:hanging="360"/>
      </w:pPr>
      <w:rPr>
        <w:rFonts w:hint="default" w:ascii="Courier New" w:hAnsi="Courier New" w:cs="Courier New"/>
      </w:rPr>
    </w:lvl>
    <w:lvl w:ilvl="8" w:tplc="04090005" w:tentative="1">
      <w:start w:val="1"/>
      <w:numFmt w:val="bullet"/>
      <w:lvlText w:val=""/>
      <w:lvlJc w:val="left"/>
      <w:pPr>
        <w:ind w:left="7776" w:hanging="360"/>
      </w:pPr>
      <w:rPr>
        <w:rFonts w:hint="default" w:ascii="Wingdings" w:hAnsi="Wingdings"/>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720F2"/>
    <w:rsid w:val="000829F9"/>
    <w:rsid w:val="00083F86"/>
    <w:rsid w:val="000B0041"/>
    <w:rsid w:val="000B1F27"/>
    <w:rsid w:val="000C74FF"/>
    <w:rsid w:val="000C75F7"/>
    <w:rsid w:val="000F60E8"/>
    <w:rsid w:val="00115A9D"/>
    <w:rsid w:val="00160F2F"/>
    <w:rsid w:val="00182DBC"/>
    <w:rsid w:val="00187B6E"/>
    <w:rsid w:val="001915C2"/>
    <w:rsid w:val="001E2908"/>
    <w:rsid w:val="001F5DB2"/>
    <w:rsid w:val="00253A7F"/>
    <w:rsid w:val="00260036"/>
    <w:rsid w:val="00280780"/>
    <w:rsid w:val="0029306F"/>
    <w:rsid w:val="002A4285"/>
    <w:rsid w:val="002D3D1A"/>
    <w:rsid w:val="002D5E97"/>
    <w:rsid w:val="002E24BB"/>
    <w:rsid w:val="00312CB5"/>
    <w:rsid w:val="00330B76"/>
    <w:rsid w:val="00366565"/>
    <w:rsid w:val="00390A2D"/>
    <w:rsid w:val="003C092D"/>
    <w:rsid w:val="003E1D4A"/>
    <w:rsid w:val="00415D68"/>
    <w:rsid w:val="00437DEF"/>
    <w:rsid w:val="00446B0F"/>
    <w:rsid w:val="00450B3F"/>
    <w:rsid w:val="00453436"/>
    <w:rsid w:val="0046178E"/>
    <w:rsid w:val="004629E2"/>
    <w:rsid w:val="004C4534"/>
    <w:rsid w:val="004C51E5"/>
    <w:rsid w:val="004D7A1E"/>
    <w:rsid w:val="004E2939"/>
    <w:rsid w:val="004E711D"/>
    <w:rsid w:val="00574352"/>
    <w:rsid w:val="00577A7C"/>
    <w:rsid w:val="00580A85"/>
    <w:rsid w:val="00594AB8"/>
    <w:rsid w:val="005E7B63"/>
    <w:rsid w:val="00656464"/>
    <w:rsid w:val="00682991"/>
    <w:rsid w:val="00697CD1"/>
    <w:rsid w:val="006A00C5"/>
    <w:rsid w:val="006C0D09"/>
    <w:rsid w:val="006E012D"/>
    <w:rsid w:val="00704857"/>
    <w:rsid w:val="0070545E"/>
    <w:rsid w:val="0074370E"/>
    <w:rsid w:val="00752A4E"/>
    <w:rsid w:val="00753AD5"/>
    <w:rsid w:val="0075527E"/>
    <w:rsid w:val="00783A88"/>
    <w:rsid w:val="00796867"/>
    <w:rsid w:val="007A31DA"/>
    <w:rsid w:val="007E4679"/>
    <w:rsid w:val="007E5F05"/>
    <w:rsid w:val="008316D9"/>
    <w:rsid w:val="00872C9B"/>
    <w:rsid w:val="00877EAA"/>
    <w:rsid w:val="00891904"/>
    <w:rsid w:val="008A7E9A"/>
    <w:rsid w:val="008B1922"/>
    <w:rsid w:val="008B43DA"/>
    <w:rsid w:val="008D2210"/>
    <w:rsid w:val="008D2C0C"/>
    <w:rsid w:val="008D3334"/>
    <w:rsid w:val="00923113"/>
    <w:rsid w:val="00924A98"/>
    <w:rsid w:val="00936F76"/>
    <w:rsid w:val="00937D2B"/>
    <w:rsid w:val="00971FD1"/>
    <w:rsid w:val="00972015"/>
    <w:rsid w:val="00984B40"/>
    <w:rsid w:val="00995D55"/>
    <w:rsid w:val="009B2683"/>
    <w:rsid w:val="00A17430"/>
    <w:rsid w:val="00A53829"/>
    <w:rsid w:val="00A63B97"/>
    <w:rsid w:val="00A80C29"/>
    <w:rsid w:val="00A95B97"/>
    <w:rsid w:val="00AA3697"/>
    <w:rsid w:val="00AC1DDC"/>
    <w:rsid w:val="00AC2305"/>
    <w:rsid w:val="00AF0A9D"/>
    <w:rsid w:val="00AF3957"/>
    <w:rsid w:val="00AF67BB"/>
    <w:rsid w:val="00B03570"/>
    <w:rsid w:val="00B26507"/>
    <w:rsid w:val="00B40AB3"/>
    <w:rsid w:val="00B63401"/>
    <w:rsid w:val="00B66615"/>
    <w:rsid w:val="00B71493"/>
    <w:rsid w:val="00B80C60"/>
    <w:rsid w:val="00B822CA"/>
    <w:rsid w:val="00BE1334"/>
    <w:rsid w:val="00C10B68"/>
    <w:rsid w:val="00C34979"/>
    <w:rsid w:val="00C56EA7"/>
    <w:rsid w:val="00C631BD"/>
    <w:rsid w:val="00CB467B"/>
    <w:rsid w:val="00CD3F57"/>
    <w:rsid w:val="00CE23AD"/>
    <w:rsid w:val="00D239D1"/>
    <w:rsid w:val="00D35D78"/>
    <w:rsid w:val="00D35E00"/>
    <w:rsid w:val="00D62293"/>
    <w:rsid w:val="00D6233D"/>
    <w:rsid w:val="00D7400D"/>
    <w:rsid w:val="00D81BAD"/>
    <w:rsid w:val="00D91E08"/>
    <w:rsid w:val="00DB2CB4"/>
    <w:rsid w:val="00DB38E9"/>
    <w:rsid w:val="00DD28BD"/>
    <w:rsid w:val="00DD2DC0"/>
    <w:rsid w:val="00DD473E"/>
    <w:rsid w:val="00DE63A3"/>
    <w:rsid w:val="00DF4F2B"/>
    <w:rsid w:val="00E049A3"/>
    <w:rsid w:val="00E14FA6"/>
    <w:rsid w:val="00E70249"/>
    <w:rsid w:val="00EC6912"/>
    <w:rsid w:val="00ED3715"/>
    <w:rsid w:val="00ED634C"/>
    <w:rsid w:val="00EE28EB"/>
    <w:rsid w:val="00EF1D25"/>
    <w:rsid w:val="00F464CF"/>
    <w:rsid w:val="00F571AE"/>
    <w:rsid w:val="00F81031"/>
    <w:rsid w:val="00F91663"/>
    <w:rsid w:val="00FC2267"/>
    <w:rsid w:val="00FC4F13"/>
    <w:rsid w:val="00FF63F0"/>
    <w:rsid w:val="00FF7480"/>
    <w:rsid w:val="02928357"/>
    <w:rsid w:val="0380283B"/>
    <w:rsid w:val="047DA1B9"/>
    <w:rsid w:val="0662E1E9"/>
    <w:rsid w:val="07BD7FF8"/>
    <w:rsid w:val="0BD7648A"/>
    <w:rsid w:val="0F397138"/>
    <w:rsid w:val="166F1D91"/>
    <w:rsid w:val="195BC1B3"/>
    <w:rsid w:val="1A4034E1"/>
    <w:rsid w:val="1F5EB41F"/>
    <w:rsid w:val="216EF2CC"/>
    <w:rsid w:val="29413A28"/>
    <w:rsid w:val="2B9D7FE1"/>
    <w:rsid w:val="2C3FAAF0"/>
    <w:rsid w:val="2F9B8599"/>
    <w:rsid w:val="3564CECB"/>
    <w:rsid w:val="373034F1"/>
    <w:rsid w:val="375FBBD1"/>
    <w:rsid w:val="3CDFBD3E"/>
    <w:rsid w:val="3DD563FE"/>
    <w:rsid w:val="3ED3456C"/>
    <w:rsid w:val="40E571C4"/>
    <w:rsid w:val="42B31AFE"/>
    <w:rsid w:val="466BEA8E"/>
    <w:rsid w:val="48D956F7"/>
    <w:rsid w:val="4BBBDB01"/>
    <w:rsid w:val="4C4954CE"/>
    <w:rsid w:val="4CB937E3"/>
    <w:rsid w:val="4EC40188"/>
    <w:rsid w:val="4F6064AB"/>
    <w:rsid w:val="5B6FCFC1"/>
    <w:rsid w:val="5FA764AF"/>
    <w:rsid w:val="5FD85EBC"/>
    <w:rsid w:val="6326CC5D"/>
    <w:rsid w:val="6B1723F1"/>
    <w:rsid w:val="6D5E420C"/>
    <w:rsid w:val="70AA9E4F"/>
    <w:rsid w:val="70D26300"/>
    <w:rsid w:val="7181BC8D"/>
    <w:rsid w:val="7694D2CA"/>
    <w:rsid w:val="79F4294C"/>
    <w:rsid w:val="7F3AD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0A9D"/>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styleId="HeaderChar" w:customStyle="1">
    <w:name w:val="Header Char"/>
    <w:basedOn w:val="DefaultParagraphFont"/>
    <w:link w:val="Header"/>
    <w:uiPriority w:val="99"/>
    <w:rsid w:val="00AF0A9D"/>
    <w:rPr>
      <w:rFonts w:ascii="Times New Roman" w:hAnsi="Times New Roman" w:eastAsia="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styleId="FooterChar" w:customStyle="1">
    <w:name w:val="Footer Char"/>
    <w:basedOn w:val="DefaultParagraphFont"/>
    <w:link w:val="Footer"/>
    <w:rsid w:val="00AF0A9D"/>
    <w:rPr>
      <w:rFonts w:ascii="Times New Roman" w:hAnsi="Times New Roman" w:eastAsia="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styleId="BodyTextIndent2Char" w:customStyle="1">
    <w:name w:val="Body Text Indent 2 Char"/>
    <w:basedOn w:val="DefaultParagraphFont"/>
    <w:link w:val="BodyTextIndent2"/>
    <w:rsid w:val="00AF0A9D"/>
    <w:rPr>
      <w:rFonts w:ascii="Times New Roman" w:hAnsi="Times New Roman" w:eastAsia="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hAnsiTheme="minorHAnsi" w:eastAsiaTheme="minorHAnsi" w:cstheme="minorBidi"/>
      <w:sz w:val="22"/>
      <w:szCs w:val="22"/>
      <w:lang w:val="lt-LT"/>
    </w:rPr>
  </w:style>
  <w:style w:type="character" w:styleId="ListParagraphChar" w:customStyle="1">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styleId="Default" w:customStyle="1">
    <w:name w:val="Default"/>
    <w:rsid w:val="009B2683"/>
    <w:pPr>
      <w:autoSpaceDE w:val="0"/>
      <w:autoSpaceDN w:val="0"/>
      <w:adjustRightInd w:val="0"/>
      <w:spacing w:after="0" w:line="240" w:lineRule="auto"/>
    </w:pPr>
    <w:rPr>
      <w:rFonts w:ascii="Arial" w:hAnsi="Arial" w:eastAsia="Times New Roman" w:cs="Arial"/>
      <w:color w:val="000000"/>
      <w:sz w:val="24"/>
      <w:szCs w:val="24"/>
      <w:lang w:val="lt-LT"/>
    </w:rPr>
  </w:style>
  <w:style w:type="paragraph" w:styleId="CommentText">
    <w:name w:val="annotation text"/>
    <w:basedOn w:val="Normal"/>
    <w:link w:val="CommentTextChar"/>
    <w:uiPriority w:val="99"/>
    <w:unhideWhenUsed/>
    <w:rsid w:val="009B2683"/>
  </w:style>
  <w:style w:type="character" w:styleId="CommentTextChar" w:customStyle="1">
    <w:name w:val="Comment Text Char"/>
    <w:basedOn w:val="DefaultParagraphFont"/>
    <w:link w:val="CommentText"/>
    <w:uiPriority w:val="99"/>
    <w:rsid w:val="009B268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hAnsiTheme="minorHAnsi" w:eastAsiaTheme="minorHAnsi" w:cstheme="minorBidi"/>
      <w:b/>
      <w:bCs/>
      <w:lang w:val="lt-LT"/>
    </w:rPr>
  </w:style>
  <w:style w:type="character" w:styleId="CommentSubjectChar" w:customStyle="1">
    <w:name w:val="Comment Subject Char"/>
    <w:basedOn w:val="CommentTextChar"/>
    <w:link w:val="CommentSubject"/>
    <w:uiPriority w:val="99"/>
    <w:semiHidden/>
    <w:rsid w:val="009B2683"/>
    <w:rPr>
      <w:rFonts w:ascii="Times New Roman" w:hAnsi="Times New Roman" w:eastAsia="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styleId="Heading1Char" w:customStyle="1">
    <w:name w:val="Heading 1 Char"/>
    <w:basedOn w:val="DefaultParagraphFont"/>
    <w:link w:val="Heading1"/>
    <w:uiPriority w:val="9"/>
    <w:rsid w:val="00ED3715"/>
    <w:rPr>
      <w:rFonts w:ascii="Times New Roman" w:hAnsi="Times New Roman" w:eastAsia="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22E92-739F-4E53-BA47-DB296C19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Milda Viteikienė</dc:creator>
  <keywords/>
  <dc:description/>
  <lastModifiedBy>Eglė Macijauskienė</lastModifiedBy>
  <revision>55</revision>
  <dcterms:created xsi:type="dcterms:W3CDTF">2024-03-05T17:57:00.0000000Z</dcterms:created>
  <dcterms:modified xsi:type="dcterms:W3CDTF">2025-04-10T07:49:12.0036969Z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