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1F4CD23C" w14:textId="170FB5A4" w:rsidR="003F0F69" w:rsidRDefault="00E06628" w:rsidP="00E06628">
            <w:pPr>
              <w:pStyle w:val="pf0"/>
              <w:jc w:val="both"/>
              <w:rPr>
                <w:rStyle w:val="cf01"/>
                <w:rFonts w:ascii="Times New Roman" w:hAnsi="Times New Roman" w:cs="Times New Roman"/>
                <w:sz w:val="24"/>
                <w:szCs w:val="24"/>
              </w:rPr>
            </w:pPr>
            <w:r>
              <w:rPr>
                <w:rStyle w:val="cf01"/>
                <w:rFonts w:ascii="Times New Roman" w:hAnsi="Times New Roman" w:cs="Times New Roman"/>
                <w:sz w:val="24"/>
                <w:szCs w:val="24"/>
              </w:rPr>
              <w:t>U</w:t>
            </w:r>
            <w:r w:rsidRPr="00E06628">
              <w:rPr>
                <w:rStyle w:val="cf01"/>
                <w:rFonts w:ascii="Times New Roman" w:hAnsi="Times New Roman" w:cs="Times New Roman"/>
                <w:sz w:val="24"/>
                <w:szCs w:val="24"/>
              </w:rPr>
              <w:t>ž 1-</w:t>
            </w:r>
            <w:r w:rsidR="002E1B55">
              <w:rPr>
                <w:rStyle w:val="cf01"/>
                <w:rFonts w:ascii="Times New Roman" w:hAnsi="Times New Roman" w:cs="Times New Roman"/>
                <w:sz w:val="24"/>
                <w:szCs w:val="24"/>
              </w:rPr>
              <w:t>11</w:t>
            </w:r>
            <w:r w:rsidR="002E1B55" w:rsidRPr="00E06628">
              <w:rPr>
                <w:rStyle w:val="cf01"/>
                <w:rFonts w:ascii="Times New Roman" w:hAnsi="Times New Roman" w:cs="Times New Roman"/>
                <w:sz w:val="24"/>
                <w:szCs w:val="24"/>
              </w:rPr>
              <w:t xml:space="preserve"> </w:t>
            </w:r>
            <w:r w:rsidRPr="00E06628">
              <w:rPr>
                <w:rStyle w:val="cf01"/>
                <w:rFonts w:ascii="Times New Roman" w:hAnsi="Times New Roman" w:cs="Times New Roman"/>
                <w:sz w:val="24"/>
                <w:szCs w:val="24"/>
              </w:rPr>
              <w:t>pirkimo dalis - Laboratorinių tyrimų skyriaus vedėj</w:t>
            </w:r>
            <w:r>
              <w:rPr>
                <w:rStyle w:val="cf01"/>
                <w:rFonts w:ascii="Times New Roman" w:hAnsi="Times New Roman" w:cs="Times New Roman"/>
                <w:sz w:val="24"/>
                <w:szCs w:val="24"/>
              </w:rPr>
              <w:t>a</w:t>
            </w:r>
            <w:r w:rsidRPr="00E06628">
              <w:rPr>
                <w:rStyle w:val="cf01"/>
                <w:rFonts w:ascii="Times New Roman" w:hAnsi="Times New Roman" w:cs="Times New Roman"/>
                <w:sz w:val="24"/>
                <w:szCs w:val="24"/>
              </w:rPr>
              <w:t xml:space="preserve"> Gražvil</w:t>
            </w:r>
            <w:r>
              <w:rPr>
                <w:rStyle w:val="cf01"/>
                <w:rFonts w:ascii="Times New Roman" w:hAnsi="Times New Roman" w:cs="Times New Roman"/>
                <w:sz w:val="24"/>
                <w:szCs w:val="24"/>
              </w:rPr>
              <w:t>ė</w:t>
            </w:r>
            <w:r w:rsidRPr="00E06628">
              <w:rPr>
                <w:rStyle w:val="cf01"/>
                <w:rFonts w:ascii="Times New Roman" w:hAnsi="Times New Roman" w:cs="Times New Roman"/>
                <w:sz w:val="24"/>
                <w:szCs w:val="24"/>
              </w:rPr>
              <w:t xml:space="preserve"> Vitkauskien</w:t>
            </w:r>
            <w:r>
              <w:rPr>
                <w:rStyle w:val="cf01"/>
                <w:rFonts w:ascii="Times New Roman" w:hAnsi="Times New Roman" w:cs="Times New Roman"/>
                <w:sz w:val="24"/>
                <w:szCs w:val="24"/>
              </w:rPr>
              <w:t>ė</w:t>
            </w:r>
            <w:r w:rsidRPr="00E06628">
              <w:rPr>
                <w:rStyle w:val="cf01"/>
                <w:rFonts w:ascii="Times New Roman" w:hAnsi="Times New Roman" w:cs="Times New Roman"/>
                <w:sz w:val="24"/>
                <w:szCs w:val="24"/>
              </w:rPr>
              <w:t xml:space="preserve">, tel.: +370 5 234 6221, el. p. </w:t>
            </w:r>
            <w:hyperlink r:id="rId11" w:history="1">
              <w:r w:rsidRPr="00E06628">
                <w:rPr>
                  <w:rStyle w:val="cf11"/>
                  <w:rFonts w:ascii="Times New Roman" w:hAnsi="Times New Roman" w:cs="Times New Roman"/>
                  <w:color w:val="0000FF"/>
                  <w:sz w:val="24"/>
                  <w:szCs w:val="24"/>
                  <w:u w:val="single"/>
                </w:rPr>
                <w:t>g.vitkauskiene@vmkl.lt</w:t>
              </w:r>
            </w:hyperlink>
            <w:r w:rsidRPr="00E06628">
              <w:rPr>
                <w:rStyle w:val="cf01"/>
                <w:rFonts w:ascii="Times New Roman" w:hAnsi="Times New Roman" w:cs="Times New Roman"/>
                <w:sz w:val="24"/>
                <w:szCs w:val="24"/>
              </w:rPr>
              <w:t xml:space="preserve"> </w:t>
            </w:r>
            <w:r w:rsidR="003F0F69">
              <w:rPr>
                <w:rStyle w:val="cf01"/>
                <w:rFonts w:ascii="Times New Roman" w:hAnsi="Times New Roman" w:cs="Times New Roman"/>
                <w:sz w:val="24"/>
                <w:szCs w:val="24"/>
              </w:rPr>
              <w:t>;</w:t>
            </w:r>
          </w:p>
          <w:p w14:paraId="0BE9341C" w14:textId="4109A9DB" w:rsidR="003F0F69" w:rsidRDefault="003F0F69" w:rsidP="00E06628">
            <w:pPr>
              <w:pStyle w:val="pf0"/>
              <w:jc w:val="both"/>
            </w:pPr>
            <w:r>
              <w:rPr>
                <w:rStyle w:val="cf01"/>
                <w:rFonts w:ascii="Times New Roman" w:hAnsi="Times New Roman" w:cs="Times New Roman"/>
                <w:sz w:val="24"/>
                <w:szCs w:val="24"/>
              </w:rPr>
              <w:t>U</w:t>
            </w:r>
            <w:r w:rsidR="00E06628" w:rsidRPr="00E06628">
              <w:rPr>
                <w:rStyle w:val="cf01"/>
                <w:rFonts w:ascii="Times New Roman" w:hAnsi="Times New Roman" w:cs="Times New Roman"/>
                <w:sz w:val="24"/>
                <w:szCs w:val="24"/>
              </w:rPr>
              <w:t xml:space="preserve">ž </w:t>
            </w:r>
            <w:r w:rsidR="0054753E" w:rsidRPr="0054753E">
              <w:rPr>
                <w:rStyle w:val="cf01"/>
                <w:rFonts w:ascii="Times New Roman" w:hAnsi="Times New Roman" w:cs="Times New Roman"/>
                <w:sz w:val="24"/>
                <w:szCs w:val="24"/>
              </w:rPr>
              <w:t>12</w:t>
            </w:r>
            <w:r w:rsidR="00E06628" w:rsidRPr="0054753E">
              <w:rPr>
                <w:rStyle w:val="cf01"/>
                <w:rFonts w:ascii="Times New Roman" w:hAnsi="Times New Roman" w:cs="Times New Roman"/>
                <w:sz w:val="24"/>
                <w:szCs w:val="24"/>
              </w:rPr>
              <w:t>-</w:t>
            </w:r>
            <w:r w:rsidR="0054753E" w:rsidRPr="0054753E">
              <w:rPr>
                <w:rStyle w:val="cf01"/>
                <w:rFonts w:ascii="Times New Roman" w:hAnsi="Times New Roman" w:cs="Times New Roman"/>
                <w:sz w:val="24"/>
                <w:szCs w:val="24"/>
              </w:rPr>
              <w:t>42</w:t>
            </w:r>
            <w:r w:rsidR="0054753E" w:rsidRPr="00E06628">
              <w:rPr>
                <w:rStyle w:val="cf01"/>
                <w:rFonts w:ascii="Times New Roman" w:hAnsi="Times New Roman" w:cs="Times New Roman"/>
                <w:sz w:val="24"/>
                <w:szCs w:val="24"/>
              </w:rPr>
              <w:t xml:space="preserve"> </w:t>
            </w:r>
            <w:r w:rsidR="00E06628" w:rsidRPr="00E06628">
              <w:rPr>
                <w:rStyle w:val="cf01"/>
                <w:rFonts w:ascii="Times New Roman" w:hAnsi="Times New Roman" w:cs="Times New Roman"/>
                <w:sz w:val="24"/>
                <w:szCs w:val="24"/>
              </w:rPr>
              <w:t>pirkimo dalis - Mikrobiologinių tyrimų laboratorijos vedėj</w:t>
            </w:r>
            <w:r>
              <w:rPr>
                <w:rStyle w:val="cf01"/>
                <w:rFonts w:ascii="Times New Roman" w:hAnsi="Times New Roman" w:cs="Times New Roman"/>
                <w:sz w:val="24"/>
                <w:szCs w:val="24"/>
              </w:rPr>
              <w:t>a</w:t>
            </w:r>
            <w:r w:rsidR="00E06628" w:rsidRPr="00E06628">
              <w:rPr>
                <w:rStyle w:val="cf01"/>
                <w:rFonts w:ascii="Times New Roman" w:hAnsi="Times New Roman" w:cs="Times New Roman"/>
                <w:sz w:val="24"/>
                <w:szCs w:val="24"/>
              </w:rPr>
              <w:t xml:space="preserve"> dr. Jolant</w:t>
            </w:r>
            <w:r>
              <w:rPr>
                <w:rStyle w:val="cf01"/>
                <w:rFonts w:ascii="Times New Roman" w:hAnsi="Times New Roman" w:cs="Times New Roman"/>
                <w:sz w:val="24"/>
                <w:szCs w:val="24"/>
              </w:rPr>
              <w:t>a</w:t>
            </w:r>
            <w:r w:rsidR="00E06628" w:rsidRPr="00E06628">
              <w:rPr>
                <w:rStyle w:val="cf01"/>
                <w:rFonts w:ascii="Times New Roman" w:hAnsi="Times New Roman" w:cs="Times New Roman"/>
                <w:sz w:val="24"/>
                <w:szCs w:val="24"/>
              </w:rPr>
              <w:t xml:space="preserve"> </w:t>
            </w:r>
            <w:proofErr w:type="spellStart"/>
            <w:r w:rsidR="00E06628" w:rsidRPr="00E06628">
              <w:rPr>
                <w:rStyle w:val="cf01"/>
                <w:rFonts w:ascii="Times New Roman" w:hAnsi="Times New Roman" w:cs="Times New Roman"/>
                <w:sz w:val="24"/>
                <w:szCs w:val="24"/>
              </w:rPr>
              <w:t>Miciulevičien</w:t>
            </w:r>
            <w:r>
              <w:rPr>
                <w:rStyle w:val="cf01"/>
                <w:rFonts w:ascii="Times New Roman" w:hAnsi="Times New Roman" w:cs="Times New Roman"/>
                <w:sz w:val="24"/>
                <w:szCs w:val="24"/>
              </w:rPr>
              <w:t>ė</w:t>
            </w:r>
            <w:proofErr w:type="spellEnd"/>
            <w:r w:rsidR="00E06628" w:rsidRPr="00E06628">
              <w:rPr>
                <w:rStyle w:val="cf01"/>
                <w:rFonts w:ascii="Times New Roman" w:hAnsi="Times New Roman" w:cs="Times New Roman"/>
                <w:sz w:val="24"/>
                <w:szCs w:val="24"/>
              </w:rPr>
              <w:t xml:space="preserve">, tel.: +370 5 234 4484, el. p. </w:t>
            </w:r>
            <w:hyperlink r:id="rId12" w:history="1">
              <w:r w:rsidR="00E06628" w:rsidRPr="00E06628">
                <w:rPr>
                  <w:rStyle w:val="cf11"/>
                  <w:rFonts w:ascii="Times New Roman" w:hAnsi="Times New Roman" w:cs="Times New Roman"/>
                  <w:color w:val="0000FF"/>
                  <w:sz w:val="24"/>
                  <w:szCs w:val="24"/>
                  <w:u w:val="single"/>
                </w:rPr>
                <w:t>j.miciuleviciene@vmkl.lt</w:t>
              </w:r>
            </w:hyperlink>
            <w:r>
              <w:t>;</w:t>
            </w:r>
          </w:p>
          <w:p w14:paraId="7790B86D" w14:textId="42ABC98C" w:rsidR="005A5832" w:rsidRPr="00E06628" w:rsidRDefault="003F0F69" w:rsidP="003F0F69">
            <w:pPr>
              <w:pStyle w:val="pf0"/>
              <w:jc w:val="both"/>
              <w:rPr>
                <w:color w:val="4472C4"/>
                <w:kern w:val="2"/>
              </w:rPr>
            </w:pPr>
            <w:r>
              <w:rPr>
                <w:rStyle w:val="cf01"/>
                <w:rFonts w:ascii="Times New Roman" w:hAnsi="Times New Roman" w:cs="Times New Roman"/>
                <w:sz w:val="24"/>
                <w:szCs w:val="24"/>
              </w:rPr>
              <w:t>U</w:t>
            </w:r>
            <w:r w:rsidR="00E06628" w:rsidRPr="00E06628">
              <w:rPr>
                <w:rStyle w:val="cf01"/>
                <w:rFonts w:ascii="Times New Roman" w:hAnsi="Times New Roman" w:cs="Times New Roman"/>
                <w:sz w:val="24"/>
                <w:szCs w:val="24"/>
              </w:rPr>
              <w:t xml:space="preserve">ž </w:t>
            </w:r>
            <w:r w:rsidR="00257DEB" w:rsidRPr="00576EA4">
              <w:rPr>
                <w:rStyle w:val="cf01"/>
                <w:rFonts w:ascii="Times New Roman" w:hAnsi="Times New Roman" w:cs="Times New Roman"/>
                <w:sz w:val="24"/>
                <w:szCs w:val="24"/>
              </w:rPr>
              <w:t>4</w:t>
            </w:r>
            <w:r w:rsidR="00257DEB" w:rsidRPr="00AE72CE">
              <w:rPr>
                <w:rStyle w:val="cf01"/>
                <w:rFonts w:ascii="Times New Roman" w:hAnsi="Times New Roman" w:cs="Times New Roman"/>
                <w:sz w:val="24"/>
                <w:szCs w:val="24"/>
              </w:rPr>
              <w:t>3-</w:t>
            </w:r>
            <w:r w:rsidR="00F959B9" w:rsidRPr="00AE72CE">
              <w:rPr>
                <w:rStyle w:val="cf01"/>
                <w:rFonts w:ascii="Times New Roman" w:hAnsi="Times New Roman" w:cs="Times New Roman"/>
                <w:sz w:val="24"/>
                <w:szCs w:val="24"/>
              </w:rPr>
              <w:t>61</w:t>
            </w:r>
            <w:r w:rsidR="00E06628" w:rsidRPr="00E06628">
              <w:rPr>
                <w:rStyle w:val="cf01"/>
                <w:rFonts w:ascii="Times New Roman" w:hAnsi="Times New Roman" w:cs="Times New Roman"/>
                <w:sz w:val="24"/>
                <w:szCs w:val="24"/>
              </w:rPr>
              <w:t xml:space="preserve"> pirkimo dalis - Patologijos skyriaus vedėj</w:t>
            </w:r>
            <w:r>
              <w:rPr>
                <w:rStyle w:val="cf01"/>
                <w:rFonts w:ascii="Times New Roman" w:hAnsi="Times New Roman" w:cs="Times New Roman"/>
                <w:sz w:val="24"/>
                <w:szCs w:val="24"/>
              </w:rPr>
              <w:t>as</w:t>
            </w:r>
            <w:r w:rsidR="00E06628" w:rsidRPr="00E06628">
              <w:rPr>
                <w:rStyle w:val="cf01"/>
                <w:rFonts w:ascii="Times New Roman" w:hAnsi="Times New Roman" w:cs="Times New Roman"/>
                <w:sz w:val="24"/>
                <w:szCs w:val="24"/>
              </w:rPr>
              <w:t xml:space="preserve"> dr. Arvyd</w:t>
            </w:r>
            <w:r>
              <w:rPr>
                <w:rStyle w:val="cf01"/>
                <w:rFonts w:ascii="Times New Roman" w:hAnsi="Times New Roman" w:cs="Times New Roman"/>
                <w:sz w:val="24"/>
                <w:szCs w:val="24"/>
              </w:rPr>
              <w:t>as</w:t>
            </w:r>
            <w:r w:rsidR="00E06628" w:rsidRPr="00E06628">
              <w:rPr>
                <w:rStyle w:val="cf01"/>
                <w:rFonts w:ascii="Times New Roman" w:hAnsi="Times New Roman" w:cs="Times New Roman"/>
                <w:sz w:val="24"/>
                <w:szCs w:val="24"/>
              </w:rPr>
              <w:t xml:space="preserve"> Rimkeviči</w:t>
            </w:r>
            <w:r>
              <w:rPr>
                <w:rStyle w:val="cf01"/>
                <w:rFonts w:ascii="Times New Roman" w:hAnsi="Times New Roman" w:cs="Times New Roman"/>
                <w:sz w:val="24"/>
                <w:szCs w:val="24"/>
              </w:rPr>
              <w:t>us</w:t>
            </w:r>
            <w:r w:rsidR="00E06628" w:rsidRPr="00E06628">
              <w:rPr>
                <w:rStyle w:val="cf01"/>
                <w:rFonts w:ascii="Times New Roman" w:hAnsi="Times New Roman" w:cs="Times New Roman"/>
                <w:sz w:val="24"/>
                <w:szCs w:val="24"/>
              </w:rPr>
              <w:t xml:space="preserve">, tel.: +370 5 239 3087, el. p. </w:t>
            </w:r>
            <w:hyperlink r:id="rId13" w:history="1">
              <w:r w:rsidR="00E06628" w:rsidRPr="00E06628">
                <w:rPr>
                  <w:rStyle w:val="cf11"/>
                  <w:rFonts w:ascii="Times New Roman" w:hAnsi="Times New Roman" w:cs="Times New Roman"/>
                  <w:color w:val="0000FF"/>
                  <w:sz w:val="24"/>
                  <w:szCs w:val="24"/>
                  <w:u w:val="single"/>
                </w:rPr>
                <w:t>a.rimkevicius@vmkl.lt</w:t>
              </w:r>
            </w:hyperlink>
            <w:r w:rsidR="00E06628" w:rsidRPr="00E06628">
              <w:rPr>
                <w:rStyle w:val="cf01"/>
                <w:rFonts w:ascii="Times New Roman" w:hAnsi="Times New Roman" w:cs="Times New Roman"/>
                <w:sz w:val="24"/>
                <w:szCs w:val="24"/>
              </w:rPr>
              <w:t xml:space="preserve">. </w:t>
            </w: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6C0B55D8"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1AEB7A8E"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(įrašomas modelis, gamintojas)</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6AF8DDE4" w14:textId="1B3F50A3"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4"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AD4A3D0" w:rsidR="00C2032B" w:rsidRPr="009D1E9B" w:rsidRDefault="00AC6604" w:rsidP="00FB5F67">
            <w:pPr>
              <w:jc w:val="both"/>
              <w:rPr>
                <w:kern w:val="2"/>
                <w:szCs w:val="24"/>
              </w:rPr>
            </w:pPr>
            <w:r>
              <w:rPr>
                <w:szCs w:val="24"/>
              </w:rPr>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774442CB" w:rsidR="00030FE7" w:rsidRDefault="00030FE7" w:rsidP="00030FE7">
            <w:pPr>
              <w:jc w:val="both"/>
              <w:rPr>
                <w:kern w:val="2"/>
                <w:szCs w:val="24"/>
              </w:rPr>
            </w:pPr>
            <w:r>
              <w:rPr>
                <w:kern w:val="2"/>
                <w:szCs w:val="24"/>
              </w:rPr>
              <w:t xml:space="preserve">Prekių saugos duomenų </w:t>
            </w:r>
            <w:r w:rsidR="0009328B">
              <w:rPr>
                <w:kern w:val="2"/>
                <w:szCs w:val="24"/>
              </w:rPr>
              <w:t>lapai</w:t>
            </w:r>
            <w:r w:rsidR="009E54CA">
              <w:rPr>
                <w:kern w:val="2"/>
                <w:szCs w:val="24"/>
              </w:rPr>
              <w:t xml:space="preserve"> </w:t>
            </w:r>
            <w:r w:rsidR="00A72210">
              <w:rPr>
                <w:kern w:val="2"/>
                <w:szCs w:val="24"/>
              </w:rPr>
              <w:t xml:space="preserve">originalo ir lietuvių kalbomis </w:t>
            </w:r>
            <w:r w:rsidR="009E54CA" w:rsidRPr="009E54CA">
              <w:rPr>
                <w:i/>
                <w:iCs/>
                <w:kern w:val="2"/>
                <w:szCs w:val="24"/>
              </w:rPr>
              <w:t xml:space="preserve">(jei taikoma) </w:t>
            </w:r>
            <w:r w:rsidR="009E54CA">
              <w:rPr>
                <w:kern w:val="2"/>
                <w:szCs w:val="24"/>
              </w:rPr>
              <w:t>pateikiami pirmą kartą 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77777777" w:rsidR="005A5832" w:rsidRDefault="00A10867" w:rsidP="001F2B4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1EC493E" w14:textId="78151AC0" w:rsidR="005A5832" w:rsidRDefault="0004725A" w:rsidP="001F2B43">
            <w:pPr>
              <w:jc w:val="both"/>
              <w:rPr>
                <w:kern w:val="2"/>
                <w:szCs w:val="24"/>
              </w:rPr>
            </w:pPr>
            <w:r>
              <w:rPr>
                <w:kern w:val="2"/>
                <w:szCs w:val="24"/>
              </w:rPr>
              <w:t xml:space="preserve">Sutarties kaina: </w:t>
            </w:r>
            <w:r w:rsidR="00A10867">
              <w:rPr>
                <w:kern w:val="2"/>
                <w:szCs w:val="24"/>
              </w:rPr>
              <w:t xml:space="preserve">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 xml:space="preserve"> Eur su PVM.</w:t>
            </w:r>
            <w:r>
              <w:rPr>
                <w:kern w:val="2"/>
                <w:szCs w:val="24"/>
              </w:rPr>
              <w:t xml:space="preserve"> </w:t>
            </w:r>
          </w:p>
          <w:p w14:paraId="30AF7C2D" w14:textId="77777777" w:rsidR="0004725A" w:rsidRDefault="0004725A" w:rsidP="001F2B4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3E1B8D0F" w14:textId="79BA6CB2" w:rsidR="00D9363A" w:rsidRPr="00D9363A" w:rsidRDefault="00D9363A">
            <w:pPr>
              <w:rPr>
                <w:i/>
                <w:iCs/>
                <w:color w:val="FF0000"/>
                <w:kern w:val="2"/>
                <w:szCs w:val="24"/>
              </w:rPr>
            </w:pPr>
            <w:r w:rsidRPr="00D9363A">
              <w:rPr>
                <w:i/>
                <w:iCs/>
                <w:color w:val="FF0000"/>
                <w:kern w:val="2"/>
                <w:szCs w:val="24"/>
              </w:rPr>
              <w:t>arba, jei sutartis sudaroma</w:t>
            </w:r>
            <w:r w:rsidR="006F7E39">
              <w:rPr>
                <w:i/>
                <w:iCs/>
                <w:color w:val="FF0000"/>
                <w:kern w:val="2"/>
                <w:szCs w:val="24"/>
              </w:rPr>
              <w:t xml:space="preserve"> dėl</w:t>
            </w:r>
            <w:r w:rsidRPr="00D9363A">
              <w:rPr>
                <w:i/>
                <w:iCs/>
                <w:color w:val="FF0000"/>
                <w:kern w:val="2"/>
                <w:szCs w:val="24"/>
              </w:rPr>
              <w:t xml:space="preserve"> daugiau nei 10 </w:t>
            </w:r>
            <w:proofErr w:type="spellStart"/>
            <w:r w:rsidRPr="00D9363A">
              <w:rPr>
                <w:i/>
                <w:iCs/>
                <w:color w:val="FF0000"/>
                <w:kern w:val="2"/>
                <w:szCs w:val="24"/>
              </w:rPr>
              <w:t>p.o.d</w:t>
            </w:r>
            <w:proofErr w:type="spellEnd"/>
            <w:r w:rsidRPr="00D9363A">
              <w:rPr>
                <w:i/>
                <w:iCs/>
                <w:color w:val="FF0000"/>
                <w:kern w:val="2"/>
                <w:szCs w:val="24"/>
              </w:rPr>
              <w:t>.,</w:t>
            </w:r>
          </w:p>
          <w:p w14:paraId="4B026844" w14:textId="77777777" w:rsidR="00A73699" w:rsidRDefault="00A73699">
            <w:pPr>
              <w:rPr>
                <w:kern w:val="2"/>
                <w:szCs w:val="24"/>
              </w:rPr>
            </w:pPr>
          </w:p>
          <w:p w14:paraId="78A68B8B" w14:textId="60077C46" w:rsidR="00A73699" w:rsidRPr="008D3818" w:rsidRDefault="00BB0236" w:rsidP="00812A9F">
            <w:pPr>
              <w:jc w:val="both"/>
              <w:rPr>
                <w:kern w:val="2"/>
                <w:szCs w:val="24"/>
              </w:rPr>
            </w:pPr>
            <w:r w:rsidRPr="008D3818">
              <w:rPr>
                <w:kern w:val="2"/>
                <w:szCs w:val="24"/>
              </w:rPr>
              <w:t xml:space="preserve">Pradinė </w:t>
            </w:r>
            <w:r w:rsidR="002D7959" w:rsidRPr="008D3818">
              <w:rPr>
                <w:kern w:val="2"/>
                <w:szCs w:val="24"/>
              </w:rPr>
              <w:t>S</w:t>
            </w:r>
            <w:r w:rsidRPr="008D3818">
              <w:rPr>
                <w:kern w:val="2"/>
                <w:szCs w:val="24"/>
              </w:rPr>
              <w:t xml:space="preserve">utarties vertė kiekvienai konkrečiai </w:t>
            </w:r>
            <w:r w:rsidR="002D7959" w:rsidRPr="008D3818">
              <w:rPr>
                <w:kern w:val="2"/>
                <w:szCs w:val="24"/>
              </w:rPr>
              <w:t>pirkimo objekto daliai nustatyta Techninėje specifikacijoje.</w:t>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w:t>
            </w:r>
            <w:r>
              <w:rPr>
                <w:color w:val="000000"/>
                <w:kern w:val="2"/>
                <w:szCs w:val="24"/>
              </w:rPr>
              <w:lastRenderedPageBreak/>
              <w:t xml:space="preserve">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A7221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1EFD5EF"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0DBB82A7"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2951C5" w:rsidRPr="00BE0345">
              <w:rPr>
                <w:kern w:val="2"/>
                <w:szCs w:val="24"/>
              </w:rPr>
              <w:t>0</w:t>
            </w:r>
            <w:r w:rsidR="002951C5">
              <w:rPr>
                <w:kern w:val="2"/>
                <w:szCs w:val="24"/>
              </w:rPr>
              <w:t>2</w:t>
            </w:r>
            <w:r w:rsidR="002951C5" w:rsidRPr="00BE0345">
              <w:rPr>
                <w:kern w:val="2"/>
                <w:szCs w:val="24"/>
              </w:rPr>
              <w:t xml:space="preserve"> </w:t>
            </w:r>
            <w:r w:rsidR="00A10867" w:rsidRPr="00BE0345">
              <w:rPr>
                <w:kern w:val="2"/>
                <w:szCs w:val="24"/>
              </w:rPr>
              <w:t>(</w:t>
            </w:r>
            <w:r w:rsidR="002951C5">
              <w:rPr>
                <w:kern w:val="2"/>
                <w:szCs w:val="24"/>
              </w:rPr>
              <w:t>dvi</w:t>
            </w:r>
            <w:r w:rsidR="002951C5"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29C07752"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58FFDA5"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77AB8BE7" w14:textId="77777777" w:rsidTr="00E4772E">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46C65150" w:rsidR="008C7A54" w:rsidRDefault="00231D50" w:rsidP="00231D50">
            <w:pPr>
              <w:tabs>
                <w:tab w:val="left" w:pos="490"/>
              </w:tabs>
              <w:rPr>
                <w:b/>
                <w:bCs/>
                <w:kern w:val="2"/>
                <w:szCs w:val="24"/>
              </w:rPr>
            </w:pPr>
            <w:r>
              <w:rPr>
                <w:kern w:val="2"/>
                <w:szCs w:val="24"/>
              </w:rPr>
              <w:t>Sutarties vykdymui pasitelkiami subtiekėjai ir (ar) specialistai</w:t>
            </w:r>
          </w:p>
        </w:tc>
      </w:tr>
      <w:tr w:rsidR="008C7A54" w14:paraId="35169698" w14:textId="77777777" w:rsidTr="00E4772E">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E4772E">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E4772E">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481C4C4">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CCAD9" w14:textId="77777777" w:rsidR="00B10040" w:rsidRDefault="00B10040">
      <w:pPr>
        <w:rPr>
          <w:kern w:val="2"/>
          <w:sz w:val="22"/>
          <w:szCs w:val="22"/>
          <w:lang w:val="en-US"/>
        </w:rPr>
      </w:pPr>
      <w:r>
        <w:rPr>
          <w:kern w:val="2"/>
          <w:sz w:val="22"/>
          <w:szCs w:val="22"/>
          <w:lang w:val="en-US"/>
        </w:rPr>
        <w:separator/>
      </w:r>
    </w:p>
  </w:endnote>
  <w:endnote w:type="continuationSeparator" w:id="0">
    <w:p w14:paraId="022AA6E7" w14:textId="77777777" w:rsidR="00B10040" w:rsidRDefault="00B10040">
      <w:pPr>
        <w:rPr>
          <w:kern w:val="2"/>
          <w:sz w:val="22"/>
          <w:szCs w:val="22"/>
          <w:lang w:val="en-US"/>
        </w:rPr>
      </w:pPr>
      <w:r>
        <w:rPr>
          <w:kern w:val="2"/>
          <w:sz w:val="22"/>
          <w:szCs w:val="22"/>
          <w:lang w:val="en-US"/>
        </w:rPr>
        <w:continuationSeparator/>
      </w:r>
    </w:p>
  </w:endnote>
  <w:endnote w:type="continuationNotice" w:id="1">
    <w:p w14:paraId="0CB5A7DA" w14:textId="77777777" w:rsidR="00B10040" w:rsidRDefault="00B100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93032" w14:textId="77777777" w:rsidR="00B10040" w:rsidRDefault="00B10040">
      <w:pPr>
        <w:rPr>
          <w:kern w:val="2"/>
          <w:sz w:val="22"/>
          <w:szCs w:val="22"/>
          <w:lang w:val="en-US"/>
        </w:rPr>
      </w:pPr>
      <w:r>
        <w:rPr>
          <w:kern w:val="2"/>
          <w:sz w:val="22"/>
          <w:szCs w:val="22"/>
          <w:lang w:val="en-US"/>
        </w:rPr>
        <w:separator/>
      </w:r>
    </w:p>
  </w:footnote>
  <w:footnote w:type="continuationSeparator" w:id="0">
    <w:p w14:paraId="12DDBF09" w14:textId="77777777" w:rsidR="00B10040" w:rsidRDefault="00B10040">
      <w:pPr>
        <w:rPr>
          <w:kern w:val="2"/>
          <w:sz w:val="22"/>
          <w:szCs w:val="22"/>
          <w:lang w:val="en-US"/>
        </w:rPr>
      </w:pPr>
      <w:r>
        <w:rPr>
          <w:kern w:val="2"/>
          <w:sz w:val="22"/>
          <w:szCs w:val="22"/>
          <w:lang w:val="en-US"/>
        </w:rPr>
        <w:continuationSeparator/>
      </w:r>
    </w:p>
  </w:footnote>
  <w:footnote w:type="continuationNotice" w:id="1">
    <w:p w14:paraId="0CA27EA1" w14:textId="77777777" w:rsidR="00B10040" w:rsidRDefault="00B100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36223B97" w:rsidR="005A5832" w:rsidRDefault="00A40A81" w:rsidP="00A40A81">
    <w:pPr>
      <w:tabs>
        <w:tab w:val="center" w:pos="4819"/>
        <w:tab w:val="right" w:pos="9638"/>
      </w:tabs>
      <w:jc w:val="right"/>
      <w:rPr>
        <w:rFonts w:eastAsia="Arial"/>
      </w:rPr>
    </w:pPr>
    <w:r>
      <w:rPr>
        <w:rStyle w:val="normaltextrun"/>
        <w:color w:val="000000"/>
        <w:shd w:val="clear" w:color="auto" w:fill="FFFFFF"/>
      </w:rPr>
      <w:t>Pirkimo sąlygų 3.2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33FBA"/>
    <w:rsid w:val="00140A58"/>
    <w:rsid w:val="0016440D"/>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130"/>
    <w:rsid w:val="00381576"/>
    <w:rsid w:val="0038785B"/>
    <w:rsid w:val="0039023D"/>
    <w:rsid w:val="003A5A78"/>
    <w:rsid w:val="003A631C"/>
    <w:rsid w:val="003B14FA"/>
    <w:rsid w:val="003B338F"/>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D1640"/>
    <w:rsid w:val="005D78C1"/>
    <w:rsid w:val="005E14A4"/>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5A66"/>
    <w:rsid w:val="00986AF6"/>
    <w:rsid w:val="00986F97"/>
    <w:rsid w:val="00994FD6"/>
    <w:rsid w:val="009952C1"/>
    <w:rsid w:val="00996B7C"/>
    <w:rsid w:val="009A3A82"/>
    <w:rsid w:val="009A3A9A"/>
    <w:rsid w:val="009A6005"/>
    <w:rsid w:val="009A684C"/>
    <w:rsid w:val="009B1B9C"/>
    <w:rsid w:val="009B591C"/>
    <w:rsid w:val="009C22A9"/>
    <w:rsid w:val="009C5757"/>
    <w:rsid w:val="009C5D40"/>
    <w:rsid w:val="009C7046"/>
    <w:rsid w:val="009C73B2"/>
    <w:rsid w:val="009D1E9B"/>
    <w:rsid w:val="009D3436"/>
    <w:rsid w:val="009D6E17"/>
    <w:rsid w:val="009E54CA"/>
    <w:rsid w:val="009F048E"/>
    <w:rsid w:val="009F1389"/>
    <w:rsid w:val="009F3B6C"/>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210"/>
    <w:rsid w:val="00A72786"/>
    <w:rsid w:val="00A73699"/>
    <w:rsid w:val="00A776EA"/>
    <w:rsid w:val="00A84FE6"/>
    <w:rsid w:val="00A96394"/>
    <w:rsid w:val="00AB068E"/>
    <w:rsid w:val="00AB3CB0"/>
    <w:rsid w:val="00AC6604"/>
    <w:rsid w:val="00AD35E5"/>
    <w:rsid w:val="00AD3D13"/>
    <w:rsid w:val="00AD5EAB"/>
    <w:rsid w:val="00AE63D6"/>
    <w:rsid w:val="00AE72CE"/>
    <w:rsid w:val="00AF1D00"/>
    <w:rsid w:val="00AF3F20"/>
    <w:rsid w:val="00AF4837"/>
    <w:rsid w:val="00B10040"/>
    <w:rsid w:val="00B12EBB"/>
    <w:rsid w:val="00B16E34"/>
    <w:rsid w:val="00B2057E"/>
    <w:rsid w:val="00B216A9"/>
    <w:rsid w:val="00B23A78"/>
    <w:rsid w:val="00B2724C"/>
    <w:rsid w:val="00B42798"/>
    <w:rsid w:val="00B515E3"/>
    <w:rsid w:val="00B602A1"/>
    <w:rsid w:val="00B67ADB"/>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24D5"/>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5F4F"/>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D0139"/>
    <w:rsid w:val="00EE5B7A"/>
    <w:rsid w:val="00EF1504"/>
    <w:rsid w:val="00EF25A1"/>
    <w:rsid w:val="00F02C68"/>
    <w:rsid w:val="00F079FB"/>
    <w:rsid w:val="00F10E32"/>
    <w:rsid w:val="00F122CC"/>
    <w:rsid w:val="00F2021A"/>
    <w:rsid w:val="00F202AE"/>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mkevicius@vmk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miciuleviciene@vmk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itkauskiene@vmk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girdas.pilvelis@antakpo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13</Pages>
  <Words>18485</Words>
  <Characters>10538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101</cp:revision>
  <dcterms:created xsi:type="dcterms:W3CDTF">2024-07-04T06:42:00Z</dcterms:created>
  <dcterms:modified xsi:type="dcterms:W3CDTF">2024-10-30T09:34:00Z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