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78381A9C"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740F55">
        <w:rPr>
          <w:rFonts w:ascii="Times New Roman" w:hAnsi="Times New Roman" w:cs="Times New Roman"/>
          <w:sz w:val="24"/>
          <w:szCs w:val="24"/>
        </w:rPr>
        <w:t xml:space="preserve">balandžio </w:t>
      </w:r>
      <w:r w:rsidR="008D50CD">
        <w:rPr>
          <w:rFonts w:ascii="Times New Roman" w:hAnsi="Times New Roman" w:cs="Times New Roman"/>
          <w:sz w:val="24"/>
          <w:szCs w:val="24"/>
        </w:rPr>
        <w:t>4</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8D50CD">
        <w:rPr>
          <w:rFonts w:ascii="Times New Roman" w:hAnsi="Times New Roman" w:cs="Times New Roman"/>
          <w:sz w:val="24"/>
          <w:szCs w:val="24"/>
        </w:rPr>
        <w:t>132</w:t>
      </w:r>
    </w:p>
    <w:p w14:paraId="7DB91059" w14:textId="71A2B1F6" w:rsidR="00066C2A" w:rsidRDefault="00066C2A" w:rsidP="009474FD">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PATISLINTA 2025-04-10 </w:t>
      </w:r>
      <w:r w:rsidRPr="00E53C73">
        <w:rPr>
          <w:rFonts w:ascii="Times New Roman" w:hAnsi="Times New Roman" w:cs="Times New Roman"/>
          <w:sz w:val="24"/>
          <w:szCs w:val="24"/>
        </w:rPr>
        <w:t>protokolu Nr.</w:t>
      </w:r>
      <w:r>
        <w:rPr>
          <w:rFonts w:ascii="Times New Roman" w:hAnsi="Times New Roman" w:cs="Times New Roman"/>
          <w:sz w:val="24"/>
          <w:szCs w:val="24"/>
        </w:rPr>
        <w:t xml:space="preserve"> VPN(C)-1</w:t>
      </w:r>
      <w:r>
        <w:rPr>
          <w:rFonts w:ascii="Times New Roman" w:hAnsi="Times New Roman" w:cs="Times New Roman"/>
          <w:sz w:val="24"/>
          <w:szCs w:val="24"/>
        </w:rPr>
        <w:t>43</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238673C1" w:rsidR="0032056A" w:rsidRPr="00BD1001" w:rsidRDefault="009409B8" w:rsidP="00740F55">
      <w:pPr>
        <w:spacing w:after="0"/>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740F55" w:rsidRPr="00740F55">
        <w:rPr>
          <w:rFonts w:ascii="Times New Roman" w:hAnsi="Times New Roman" w:cs="Times New Roman"/>
          <w:b/>
          <w:bCs/>
          <w:caps/>
          <w:sz w:val="28"/>
          <w:szCs w:val="28"/>
        </w:rPr>
        <w:t>Krakių kultūros centro patalpų dalies pritaikymas kultūros reikmėms statybos rangos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BD1001">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BD1001">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429919E8"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4865FD8E" w14:textId="2176323E" w:rsidR="00837E7C" w:rsidRPr="004C398A" w:rsidRDefault="00C80B02" w:rsidP="004C398A">
      <w:pPr>
        <w:pStyle w:val="Betarp"/>
        <w:ind w:firstLine="567"/>
        <w:contextualSpacing/>
        <w:jc w:val="both"/>
        <w:rPr>
          <w:rFonts w:eastAsia="Calibri"/>
          <w:color w:val="000000"/>
          <w:szCs w:val="24"/>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837E7C">
        <w:rPr>
          <w:rFonts w:eastAsia="Calibri"/>
          <w:color w:val="000000" w:themeColor="text1"/>
        </w:rPr>
        <w:t xml:space="preserve">darbo projekto parengimo paslaugas </w:t>
      </w:r>
      <w:r w:rsidR="0069493A">
        <w:rPr>
          <w:rFonts w:eastAsia="Calibri"/>
          <w:color w:val="000000" w:themeColor="text1"/>
        </w:rPr>
        <w:t>ir</w:t>
      </w:r>
      <w:r w:rsidR="0069493A" w:rsidRPr="0069493A">
        <w:rPr>
          <w:rFonts w:eastAsia="Times New Roman" w:cs="Times New Roman"/>
          <w:szCs w:val="24"/>
        </w:rPr>
        <w:t xml:space="preserve"> </w:t>
      </w:r>
      <w:r w:rsidR="0069493A" w:rsidRPr="004B1584">
        <w:rPr>
          <w:rFonts w:eastAsia="Times New Roman" w:cs="Times New Roman"/>
          <w:szCs w:val="24"/>
        </w:rPr>
        <w:t>Krakių kultūros centro patalpų dalies pritaikymo kultūros reikmėms</w:t>
      </w:r>
      <w:r w:rsidR="0069493A">
        <w:rPr>
          <w:rFonts w:eastAsia="Times New Roman" w:cs="Times New Roman"/>
          <w:szCs w:val="24"/>
        </w:rPr>
        <w:t>, pagal</w:t>
      </w:r>
      <w:r w:rsidR="00FD7A47" w:rsidRPr="004B1584">
        <w:rPr>
          <w:rFonts w:eastAsia="Times New Roman" w:cs="Times New Roman"/>
          <w:color w:val="000000"/>
          <w:szCs w:val="24"/>
          <w:lang w:eastAsia="en-US"/>
        </w:rPr>
        <w:t xml:space="preserve"> parengt</w:t>
      </w:r>
      <w:r w:rsidR="0069493A">
        <w:rPr>
          <w:rFonts w:eastAsia="Times New Roman" w:cs="Times New Roman"/>
          <w:color w:val="000000"/>
          <w:szCs w:val="24"/>
          <w:lang w:eastAsia="en-US"/>
        </w:rPr>
        <w:t>ą</w:t>
      </w:r>
      <w:r w:rsidR="00FD7A47" w:rsidRPr="004B1584">
        <w:rPr>
          <w:rFonts w:eastAsia="Times New Roman" w:cs="Times New Roman"/>
          <w:color w:val="000000"/>
          <w:szCs w:val="24"/>
          <w:lang w:eastAsia="en-US"/>
        </w:rPr>
        <w:t xml:space="preserve"> </w:t>
      </w:r>
      <w:bookmarkStart w:id="1" w:name="_Hlk147234711"/>
      <w:bookmarkStart w:id="2" w:name="_Hlk147237293"/>
      <w:r w:rsidR="00FD7A47" w:rsidRPr="004B1584">
        <w:rPr>
          <w:rFonts w:eastAsia="Times New Roman" w:cs="Times New Roman"/>
          <w:color w:val="000000"/>
          <w:szCs w:val="24"/>
          <w:lang w:eastAsia="en-US"/>
        </w:rPr>
        <w:t>technin</w:t>
      </w:r>
      <w:r w:rsidR="0069493A">
        <w:rPr>
          <w:rFonts w:eastAsia="Times New Roman" w:cs="Times New Roman"/>
          <w:color w:val="000000"/>
          <w:szCs w:val="24"/>
          <w:lang w:eastAsia="en-US"/>
        </w:rPr>
        <w:t>į</w:t>
      </w:r>
      <w:r w:rsidR="00FD7A47" w:rsidRPr="004B1584">
        <w:rPr>
          <w:rFonts w:eastAsia="Times New Roman" w:cs="Times New Roman"/>
          <w:color w:val="000000"/>
          <w:szCs w:val="24"/>
          <w:lang w:eastAsia="en-US"/>
        </w:rPr>
        <w:t xml:space="preserve"> projekt</w:t>
      </w:r>
      <w:r w:rsidR="0069493A">
        <w:rPr>
          <w:rFonts w:eastAsia="Times New Roman" w:cs="Times New Roman"/>
          <w:color w:val="000000"/>
          <w:szCs w:val="24"/>
          <w:lang w:eastAsia="en-US"/>
        </w:rPr>
        <w:t>ą</w:t>
      </w:r>
      <w:r w:rsidR="00FD7A47" w:rsidRPr="004B1584">
        <w:rPr>
          <w:rFonts w:eastAsia="Times New Roman" w:cs="Times New Roman"/>
          <w:color w:val="000000"/>
          <w:szCs w:val="24"/>
          <w:lang w:eastAsia="en-US"/>
        </w:rPr>
        <w:t xml:space="preserve"> </w:t>
      </w:r>
      <w:r w:rsidR="00FD7A47" w:rsidRPr="004B1584">
        <w:rPr>
          <w:rFonts w:eastAsia="Times New Roman" w:cs="Times New Roman"/>
          <w:szCs w:val="24"/>
        </w:rPr>
        <w:t>,,Administracinės paskirties pastato (</w:t>
      </w:r>
      <w:proofErr w:type="spellStart"/>
      <w:r w:rsidR="00FD7A47" w:rsidRPr="004B1584">
        <w:rPr>
          <w:rFonts w:eastAsia="Times New Roman" w:cs="Times New Roman"/>
          <w:szCs w:val="24"/>
        </w:rPr>
        <w:t>unik</w:t>
      </w:r>
      <w:proofErr w:type="spellEnd"/>
      <w:r w:rsidR="00FD7A47" w:rsidRPr="004B1584">
        <w:rPr>
          <w:rFonts w:eastAsia="Times New Roman" w:cs="Times New Roman"/>
          <w:szCs w:val="24"/>
        </w:rPr>
        <w:t>. Nr.5397-6025-3010),</w:t>
      </w:r>
      <w:r w:rsidR="00FD7A47">
        <w:rPr>
          <w:rFonts w:eastAsia="Times New Roman" w:cs="Times New Roman"/>
          <w:szCs w:val="24"/>
        </w:rPr>
        <w:t xml:space="preserve"> </w:t>
      </w:r>
      <w:r w:rsidR="00FD7A47" w:rsidRPr="004B1584">
        <w:rPr>
          <w:rFonts w:eastAsia="Times New Roman" w:cs="Times New Roman"/>
          <w:szCs w:val="24"/>
        </w:rPr>
        <w:t xml:space="preserve">esančiu adresu Laisvės </w:t>
      </w:r>
      <w:r w:rsidR="00FD7A47">
        <w:rPr>
          <w:rFonts w:eastAsia="Times New Roman" w:cs="Times New Roman"/>
          <w:szCs w:val="24"/>
        </w:rPr>
        <w:t>a</w:t>
      </w:r>
      <w:r w:rsidR="00FD7A47" w:rsidRPr="004B1584">
        <w:rPr>
          <w:rFonts w:eastAsia="Times New Roman" w:cs="Times New Roman"/>
          <w:szCs w:val="24"/>
        </w:rPr>
        <w:t>.1,</w:t>
      </w:r>
      <w:r w:rsidR="00FD7A47">
        <w:rPr>
          <w:rFonts w:eastAsia="Times New Roman" w:cs="Times New Roman"/>
          <w:szCs w:val="24"/>
        </w:rPr>
        <w:t xml:space="preserve"> </w:t>
      </w:r>
      <w:r w:rsidR="00FD7A47" w:rsidRPr="004B1584">
        <w:rPr>
          <w:rFonts w:eastAsia="Times New Roman" w:cs="Times New Roman"/>
          <w:szCs w:val="24"/>
        </w:rPr>
        <w:t>Krakių mstl., Krakių sen., Kėdainių r., sav., pastato dalies kapitalinio remonto projektas</w:t>
      </w:r>
      <w:r w:rsidR="00FD7A47" w:rsidRPr="004B1584">
        <w:rPr>
          <w:rFonts w:eastAsia="Calibri"/>
          <w:color w:val="000000"/>
          <w:szCs w:val="24"/>
        </w:rPr>
        <w:t>“</w:t>
      </w:r>
      <w:r w:rsidR="0069493A">
        <w:rPr>
          <w:rFonts w:eastAsia="Calibri"/>
          <w:color w:val="000000"/>
          <w:szCs w:val="24"/>
        </w:rPr>
        <w:t xml:space="preserve"> </w:t>
      </w:r>
      <w:r w:rsidR="0069493A" w:rsidRPr="004B1584">
        <w:rPr>
          <w:rFonts w:eastAsia="Times New Roman" w:cs="Times New Roman"/>
          <w:szCs w:val="24"/>
        </w:rPr>
        <w:t>statybos</w:t>
      </w:r>
      <w:r w:rsidR="0069493A">
        <w:rPr>
          <w:rFonts w:eastAsia="Calibri"/>
          <w:color w:val="000000" w:themeColor="text1"/>
        </w:rPr>
        <w:t xml:space="preserve"> </w:t>
      </w:r>
      <w:r w:rsidR="0069493A" w:rsidRPr="004B1584">
        <w:rPr>
          <w:rFonts w:eastAsia="Times New Roman" w:cs="Times New Roman"/>
          <w:szCs w:val="24"/>
        </w:rPr>
        <w:t>rangos darbu</w:t>
      </w:r>
      <w:r w:rsidR="0069493A">
        <w:rPr>
          <w:rFonts w:eastAsia="Times New Roman" w:cs="Times New Roman"/>
          <w:szCs w:val="24"/>
        </w:rPr>
        <w:t>s.</w:t>
      </w:r>
      <w:bookmarkEnd w:id="1"/>
      <w:bookmarkEnd w:id="2"/>
      <w:r w:rsidR="004C398A">
        <w:rPr>
          <w:rFonts w:eastAsia="Calibri"/>
          <w:color w:val="000000"/>
          <w:szCs w:val="24"/>
        </w:rPr>
        <w:t xml:space="preserve"> </w:t>
      </w:r>
      <w:r w:rsidR="004C398A" w:rsidRPr="00D75DED">
        <w:rPr>
          <w:rFonts w:cstheme="minorHAnsi"/>
        </w:rPr>
        <w:t>Pirkimo apimtys, reikalavimai ir techninė specifikacija (techninis  projektas) apibrėžti</w:t>
      </w:r>
      <w:r w:rsidR="004C398A" w:rsidRPr="00D75DED">
        <w:rPr>
          <w:rFonts w:eastAsia="Calibri"/>
          <w:color w:val="000000" w:themeColor="text1"/>
        </w:rPr>
        <w:t xml:space="preserve"> </w:t>
      </w:r>
      <w:r w:rsidR="004C398A" w:rsidRPr="00D75DED">
        <w:rPr>
          <w:rFonts w:cstheme="minorHAnsi"/>
        </w:rPr>
        <w:t>specialiųjų pirkimo sąlygų 2, 3, 4, 6, 8, 9</w:t>
      </w:r>
      <w:r w:rsidR="004C398A" w:rsidRPr="00D75DED">
        <w:rPr>
          <w:rFonts w:cstheme="minorHAnsi"/>
          <w:color w:val="00B050"/>
        </w:rPr>
        <w:t xml:space="preserve"> </w:t>
      </w:r>
      <w:r w:rsidR="004C398A" w:rsidRPr="00D75DED">
        <w:rPr>
          <w:rFonts w:cstheme="minorHAnsi"/>
        </w:rPr>
        <w:t xml:space="preserve">prieduose.   </w:t>
      </w:r>
    </w:p>
    <w:p w14:paraId="5A226A3D" w14:textId="5B505313" w:rsidR="00082DF2" w:rsidRPr="00F15074" w:rsidRDefault="00C80B02" w:rsidP="004C398A">
      <w:pPr>
        <w:pStyle w:val="Betarp"/>
        <w:ind w:firstLine="567"/>
        <w:contextualSpacing/>
        <w:jc w:val="both"/>
        <w:rPr>
          <w:rFonts w:cstheme="minorHAnsi"/>
        </w:rPr>
      </w:pPr>
      <w:r>
        <w:rPr>
          <w:rFonts w:cstheme="minorHAnsi"/>
        </w:rPr>
        <w:t xml:space="preserve">2.2. </w:t>
      </w:r>
      <w:r w:rsidR="009409B8" w:rsidRPr="00D75DED">
        <w:rPr>
          <w:rFonts w:cstheme="minorHAnsi"/>
        </w:rPr>
        <w:t xml:space="preserve">Pirkimo objektas į dalis neskaidomas. </w:t>
      </w:r>
      <w:r w:rsidR="00082DF2" w:rsidRPr="00082DF2">
        <w:rPr>
          <w:rFonts w:cstheme="minorHAnsi"/>
        </w:rPr>
        <w:t xml:space="preserve">Perkančioji organizacija (statytojas) turi parengtą techninį projektą.  Vadovaujantis </w:t>
      </w:r>
      <w:r w:rsidR="00082DF2">
        <w:rPr>
          <w:rFonts w:cstheme="minorHAnsi"/>
        </w:rPr>
        <w:t>Statinio technini</w:t>
      </w:r>
      <w:r w:rsidR="00536DAD">
        <w:rPr>
          <w:rFonts w:cstheme="minorHAnsi"/>
        </w:rPr>
        <w:t xml:space="preserve">u </w:t>
      </w:r>
      <w:r w:rsidR="00082DF2">
        <w:rPr>
          <w:rFonts w:cstheme="minorHAnsi"/>
        </w:rPr>
        <w:t>reglament</w:t>
      </w:r>
      <w:r w:rsidR="00536DAD">
        <w:rPr>
          <w:rFonts w:cstheme="minorHAnsi"/>
        </w:rPr>
        <w:t>u</w:t>
      </w:r>
      <w:r w:rsidR="00082DF2">
        <w:rPr>
          <w:rFonts w:cstheme="minorHAnsi"/>
        </w:rPr>
        <w:t xml:space="preserve"> </w:t>
      </w:r>
      <w:r w:rsidR="00082DF2" w:rsidRPr="00082DF2">
        <w:rPr>
          <w:rFonts w:cstheme="minorHAnsi"/>
        </w:rPr>
        <w:t>STR 1.04.04:2017</w:t>
      </w:r>
      <w:r w:rsidR="00082DF2" w:rsidRPr="00082DF2">
        <w:rPr>
          <w:rFonts w:cstheme="minorHAnsi"/>
          <w:b/>
          <w:bCs/>
        </w:rPr>
        <w:t xml:space="preserve"> </w:t>
      </w:r>
      <w:r w:rsidR="00082DF2" w:rsidRPr="00082DF2">
        <w:rPr>
          <w:rFonts w:cstheme="minorHAnsi"/>
        </w:rPr>
        <w:t> „Statinio projektavimas, projekto ekspertizė“</w:t>
      </w:r>
      <w:r w:rsidR="00536DAD">
        <w:rPr>
          <w:rFonts w:cstheme="minorHAnsi"/>
        </w:rPr>
        <w:t xml:space="preserve"> jei</w:t>
      </w:r>
      <w:r w:rsidR="00D313AF" w:rsidRPr="00D313AF">
        <w:rPr>
          <w:rFonts w:cstheme="minorHAnsi"/>
        </w:rPr>
        <w:t xml:space="preserve"> statybos darbai perkami kartu su projektavimo darbais (pagal statytojo parengtą techninį projektą) ir statybos rangovas atrenkamas konkurso būdu</w:t>
      </w:r>
      <w:r w:rsidR="00082DF2" w:rsidRPr="00082DF2">
        <w:rPr>
          <w:rFonts w:cstheme="minorHAnsi"/>
        </w:rPr>
        <w:t xml:space="preserve">, darbo projektą gali </w:t>
      </w:r>
      <w:r w:rsidR="00082DF2" w:rsidRPr="00536DAD">
        <w:rPr>
          <w:rFonts w:cstheme="minorHAnsi"/>
        </w:rPr>
        <w:t xml:space="preserve">rengti rangovo pasiūlytas projektuotojas. </w:t>
      </w:r>
      <w:r w:rsidR="00082DF2" w:rsidRPr="00837E7C">
        <w:rPr>
          <w:rFonts w:cstheme="minorHAnsi"/>
        </w:rPr>
        <w:t>Rangos darbų metu, mažinant darbo laiko sąnaudas, darbo projektas gali būti rengiamas kaip vientisas dokumentas vienu metu arba atskirais sprendinių dokumentais.</w:t>
      </w:r>
      <w:r w:rsidR="0090330F">
        <w:rPr>
          <w:rFonts w:cstheme="minorHAnsi"/>
        </w:rPr>
        <w:t xml:space="preserve"> </w:t>
      </w:r>
      <w:r w:rsidR="0090330F" w:rsidRPr="00F15074">
        <w:t>Be to, šiuo atveju pirkimo suskaidymas į dalis lemtų mažesnį dalyvių skaičių, nes   darbo projekto parengimo pirkimo dalies apimtis, lyginant su bendra pirkimo apimtimi sudaro labai mažą dalį (nuo 2 iki 3 proc.). Todėl tai galimai sumažintų tiekėjų suinteresuotumą dalyvauti tokioje pirkimo dalyje, atitinkamai mažėja ūkio subjektų konkurencija, o tai lemtų prastesnes  įsigijimo sąlygas; pirkimo sutarties vykdymas taptų per brangus ar sudėtingas techniniu požiūriu, nes reikėtų nuolat koordinuoti dviejų tiekėjų (darbo projekto rengėjo ir darbus atliekančio rangovo) veiklą.</w:t>
      </w:r>
    </w:p>
    <w:p w14:paraId="69532AED" w14:textId="0CF8C879"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423F062"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 xml:space="preserve">Europos standartą perimantis Lietuvos standartas, Europos techninio įvertinimo patvirtinimo dokumentas, informacinių ir ryšių technologijų bendrosios techninės specifikacijos, tarptautinis standartas, kitos Europos standartizacijos organizacijų </w:t>
      </w:r>
      <w:r w:rsidR="009409B8" w:rsidRPr="00046522">
        <w:rPr>
          <w:color w:val="000000"/>
        </w:rPr>
        <w:lastRenderedPageBreak/>
        <w:t>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3" w:name="_Hlk41039660"/>
      <w:r w:rsidRPr="00D75DED">
        <w:rPr>
          <w:rFonts w:cstheme="minorHAnsi"/>
        </w:rPr>
        <w:t xml:space="preserve"> subtiekėjų (jei taikoma), ūkio subjektų, kurių pajėgumais tiekėjas remiasi, </w:t>
      </w:r>
      <w:bookmarkEnd w:id="3"/>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03DD37AE"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8F707B" w:rsidRPr="00F766ED">
        <w:rPr>
          <w:rFonts w:cstheme="minorHAnsi"/>
        </w:rPr>
        <w:t>Veikl</w:t>
      </w:r>
      <w:r w:rsidR="008F707B">
        <w:rPr>
          <w:rFonts w:cstheme="minorHAnsi"/>
        </w:rPr>
        <w:t>os</w:t>
      </w:r>
      <w:r w:rsidR="008F707B" w:rsidRPr="00F766ED">
        <w:rPr>
          <w:rFonts w:cstheme="minorHAnsi"/>
        </w:rPr>
        <w:t xml:space="preserve"> sąrašas,</w:t>
      </w:r>
      <w:r w:rsidR="008F707B" w:rsidRPr="008F707B">
        <w:rPr>
          <w:rFonts w:cstheme="minorHAnsi"/>
          <w:color w:val="00B050"/>
        </w:rPr>
        <w:t xml:space="preserve"> </w:t>
      </w:r>
      <w:r w:rsidR="008F707B" w:rsidRPr="008F707B">
        <w:rPr>
          <w:rFonts w:cstheme="minorHAnsi"/>
        </w:rPr>
        <w:t>užpildytas pagal specialiųjų pirkimo sąlygų</w:t>
      </w:r>
      <w:r w:rsidR="008F707B">
        <w:rPr>
          <w:rFonts w:cstheme="minorHAnsi"/>
        </w:rPr>
        <w:t xml:space="preserve"> </w:t>
      </w:r>
      <w:r w:rsidR="008F707B" w:rsidRPr="008F707B">
        <w:rPr>
          <w:rFonts w:cstheme="minorHAnsi"/>
        </w:rPr>
        <w:t>9 priedą</w:t>
      </w:r>
      <w:r w:rsidR="008F707B">
        <w:rPr>
          <w:rFonts w:cstheme="minorHAnsi"/>
        </w:rPr>
        <w:t>;</w:t>
      </w:r>
    </w:p>
    <w:p w14:paraId="7C042739" w14:textId="4FB1E12F" w:rsidR="00A612FB" w:rsidRDefault="00A95AF5" w:rsidP="00A612FB">
      <w:pPr>
        <w:spacing w:after="0" w:line="240" w:lineRule="auto"/>
        <w:ind w:firstLine="567"/>
        <w:jc w:val="both"/>
        <w:rPr>
          <w:rFonts w:eastAsia="MS Mincho" w:cstheme="minorHAnsi"/>
          <w:iCs/>
        </w:rPr>
      </w:pPr>
      <w:r w:rsidRPr="00A612FB">
        <w:rPr>
          <w:rFonts w:cstheme="minorHAnsi"/>
        </w:rPr>
        <w:t xml:space="preserve">6.1.9. dokumentai, nurodyti specialiųjų pirkimo </w:t>
      </w:r>
      <w:r w:rsidRPr="000B335D">
        <w:rPr>
          <w:rFonts w:cstheme="minorHAnsi"/>
        </w:rPr>
        <w:t>sąlygų 7 priedo „Pasiūlymų vertinimo metodika“  2.</w:t>
      </w:r>
      <w:r w:rsidR="00A612FB" w:rsidRPr="000B335D">
        <w:rPr>
          <w:rFonts w:cstheme="minorHAnsi"/>
        </w:rPr>
        <w:t>3.3</w:t>
      </w:r>
      <w:r w:rsidRPr="000B335D">
        <w:rPr>
          <w:rFonts w:cstheme="minorHAnsi"/>
        </w:rPr>
        <w:t xml:space="preserve"> punkte</w:t>
      </w:r>
      <w:r w:rsidRPr="000B335D">
        <w:rPr>
          <w:rFonts w:eastAsia="MS Mincho" w:cstheme="minorHAnsi"/>
          <w:iCs/>
        </w:rPr>
        <w:t>;</w:t>
      </w:r>
    </w:p>
    <w:p w14:paraId="17303C1B" w14:textId="6A2ABFE0" w:rsidR="00A95AF5" w:rsidRPr="00F766ED" w:rsidRDefault="00A95AF5" w:rsidP="00A95AF5">
      <w:pPr>
        <w:spacing w:after="0" w:line="240" w:lineRule="auto"/>
        <w:ind w:firstLine="567"/>
        <w:jc w:val="both"/>
        <w:rPr>
          <w:rFonts w:cstheme="minorHAnsi"/>
        </w:rPr>
      </w:pPr>
      <w:r>
        <w:rPr>
          <w:rFonts w:eastAsia="MS Mincho" w:cstheme="minorHAnsi"/>
          <w:iCs/>
        </w:rPr>
        <w:t xml:space="preserve">6.1.10.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lastRenderedPageBreak/>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6DEC15D6" w14:textId="77777777" w:rsidR="00E920E0" w:rsidRDefault="00E920E0"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lastRenderedPageBreak/>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 xml:space="preserve">suinteresuotas dalyvis paprašys perkančiosios </w:t>
            </w:r>
            <w:r w:rsidRPr="00936468">
              <w:rPr>
                <w:iCs/>
              </w:rPr>
              <w:lastRenderedPageBreak/>
              <w:t>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lastRenderedPageBreak/>
              <w:t xml:space="preserve">VPĮ 102 straipsnio 1 dalyje nustatytas terminas ir atidėjimo </w:t>
            </w:r>
            <w:r w:rsidRPr="00D67744">
              <w:rPr>
                <w:rFonts w:cstheme="minorHAnsi"/>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6.2.20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F05682" w14:paraId="04A46604" w14:textId="77777777" w:rsidTr="00A50209">
        <w:tc>
          <w:tcPr>
            <w:tcW w:w="551" w:type="dxa"/>
          </w:tcPr>
          <w:p w14:paraId="3FA8F733" w14:textId="738CE5B3" w:rsidR="00F05682" w:rsidRDefault="00F05682" w:rsidP="00F05682">
            <w:pPr>
              <w:spacing w:line="240" w:lineRule="auto"/>
              <w:jc w:val="both"/>
              <w:rPr>
                <w:rFonts w:eastAsia="Arial" w:cstheme="minorHAnsi"/>
              </w:rPr>
            </w:pPr>
            <w:r>
              <w:rPr>
                <w:rFonts w:eastAsia="Arial" w:cstheme="minorHAnsi"/>
              </w:rPr>
              <w:t xml:space="preserve">1.1. </w:t>
            </w:r>
          </w:p>
        </w:tc>
        <w:tc>
          <w:tcPr>
            <w:tcW w:w="3555" w:type="dxa"/>
          </w:tcPr>
          <w:p w14:paraId="4CD94EA0" w14:textId="08653B28" w:rsidR="005A5B60" w:rsidRPr="005A5B60" w:rsidRDefault="005A5B60" w:rsidP="005A5B60">
            <w:pPr>
              <w:spacing w:line="240" w:lineRule="auto"/>
              <w:jc w:val="both"/>
              <w:rPr>
                <w:rFonts w:eastAsia="Arial" w:cstheme="minorHAnsi"/>
              </w:rPr>
            </w:pPr>
            <w:r w:rsidRPr="005A5B60">
              <w:rPr>
                <w:rFonts w:eastAsia="Arial" w:cstheme="minorHAnsi"/>
              </w:rPr>
              <w:t xml:space="preserve">Tiekėjas turi teisę būti ypatingo statinio statybos rangovu: </w:t>
            </w:r>
          </w:p>
          <w:p w14:paraId="47AA20D3" w14:textId="77777777" w:rsidR="005A5B60" w:rsidRPr="005A5B60" w:rsidRDefault="005A5B60" w:rsidP="005A5B60">
            <w:pPr>
              <w:spacing w:line="240" w:lineRule="auto"/>
              <w:jc w:val="both"/>
              <w:rPr>
                <w:rFonts w:eastAsia="Arial" w:cstheme="minorHAnsi"/>
              </w:rPr>
            </w:pPr>
            <w:r w:rsidRPr="005A5B60">
              <w:rPr>
                <w:rFonts w:eastAsia="Arial" w:cstheme="minorHAnsi"/>
              </w:rPr>
              <w:t xml:space="preserve">Statinių grupė: negyvenamieji pastatai, pogrupis - administracinės paskirties pastatai; statiniai esantys kultūros paveldo objekto teritorijoje, jo apsaugos zonoje ar kultūros paveldo vietovėje. </w:t>
            </w:r>
          </w:p>
          <w:p w14:paraId="5ED53181" w14:textId="22446B6D" w:rsidR="00B93DC1" w:rsidRDefault="005A5B60" w:rsidP="005A5B60">
            <w:pPr>
              <w:spacing w:line="240" w:lineRule="auto"/>
              <w:jc w:val="both"/>
              <w:rPr>
                <w:rFonts w:eastAsia="Arial" w:cstheme="minorHAnsi"/>
              </w:rPr>
            </w:pPr>
            <w:r w:rsidRPr="005A5B60">
              <w:rPr>
                <w:rFonts w:eastAsia="Arial" w:cstheme="minorHAnsi"/>
              </w:rPr>
              <w:t xml:space="preserve">Statybos darbų sritys: bendrieji statybos darbai: statybinių konstrukcijų (gelžbetonio, metalo, betono, mūro) statyba ir montavimas; apdailos darbai  ir specialieji statybos darbai (statinio vandentiekio ir nuotekų šalinimo inžinerinių sistemų įrengimas; statinio šildymo, vėdinimo, oro kondicionavimo inžinerinių sistemų įrengimas; </w:t>
            </w:r>
          </w:p>
          <w:p w14:paraId="64BA0A2E" w14:textId="33D9097D" w:rsidR="005A5B60" w:rsidRPr="005A5B60" w:rsidRDefault="005A5B60" w:rsidP="005A5B60">
            <w:pPr>
              <w:spacing w:line="240" w:lineRule="auto"/>
              <w:jc w:val="both"/>
              <w:rPr>
                <w:rFonts w:eastAsia="Arial" w:cstheme="minorHAnsi"/>
              </w:rPr>
            </w:pPr>
            <w:r w:rsidRPr="005A5B60">
              <w:rPr>
                <w:rFonts w:eastAsia="Arial" w:cstheme="minorHAnsi"/>
              </w:rPr>
              <w:t>statinio elektros inžinerinių sistemų įrengimas, statinio apsauginės signalizacijos, gaisrinės saugos inžinerinių sistemų įrengimas.</w:t>
            </w:r>
          </w:p>
          <w:p w14:paraId="5020438E" w14:textId="4EEE2D15" w:rsidR="004D0C45" w:rsidRPr="005A5B60" w:rsidRDefault="005A5B60" w:rsidP="005A5B60">
            <w:pPr>
              <w:spacing w:line="240" w:lineRule="auto"/>
              <w:jc w:val="both"/>
              <w:rPr>
                <w:rFonts w:eastAsia="Arial" w:cstheme="minorHAnsi"/>
                <w:strike/>
              </w:rPr>
            </w:pPr>
            <w:r w:rsidRPr="005A5B60">
              <w:rPr>
                <w:rFonts w:eastAsia="Arial" w:cstheme="minorHAnsi"/>
              </w:rPr>
              <w:t>(</w:t>
            </w:r>
            <w:r w:rsidR="00B93DC1">
              <w:rPr>
                <w:rFonts w:eastAsia="Arial" w:cstheme="minorHAnsi"/>
              </w:rPr>
              <w:t>T</w:t>
            </w:r>
            <w:r w:rsidRPr="005A5B60">
              <w:rPr>
                <w:rFonts w:eastAsia="Arial" w:cstheme="minorHAnsi"/>
              </w:rPr>
              <w:t xml:space="preserve">eisinis pagrindas: Statybos įstatymo 18 straipsnis). </w:t>
            </w:r>
          </w:p>
        </w:tc>
        <w:tc>
          <w:tcPr>
            <w:tcW w:w="3358" w:type="dxa"/>
          </w:tcPr>
          <w:p w14:paraId="2AAC7391" w14:textId="34DA47BC" w:rsidR="00BD454D" w:rsidRPr="001E2F36" w:rsidRDefault="00F05682" w:rsidP="00F05682">
            <w:pPr>
              <w:spacing w:line="240" w:lineRule="auto"/>
              <w:jc w:val="both"/>
              <w:rPr>
                <w:rFonts w:eastAsia="Arial" w:cstheme="minorHAnsi"/>
              </w:rPr>
            </w:pPr>
            <w:r w:rsidRPr="001E2F36">
              <w:rPr>
                <w:rFonts w:eastAsia="Arial" w:cstheme="minorHAnsi"/>
              </w:rPr>
              <w:t>Pateikiama kvalifikacijos atestato skaitmeninė kopija arba kvalifikacijos atestato numeris.</w:t>
            </w:r>
          </w:p>
          <w:p w14:paraId="68E08D61" w14:textId="77777777" w:rsidR="00F05682" w:rsidRDefault="00F05682" w:rsidP="00F05682">
            <w:pPr>
              <w:spacing w:line="240" w:lineRule="auto"/>
              <w:jc w:val="both"/>
              <w:rPr>
                <w:rFonts w:eastAsia="Arial" w:cstheme="minorHAnsi"/>
              </w:rPr>
            </w:pPr>
            <w:r w:rsidRPr="001E2F36">
              <w:rPr>
                <w:rFonts w:eastAsia="Arial" w:cstheme="minorHAnsi"/>
              </w:rPr>
              <w:t>Pirkimo vykdytojas, naudodamasis viešosios įstaigos  Statybos sektoriaus vystymo agentūros (https://www.ssva.lt/cms/registrai) duomenų registrais patikrins atitiktį nustatytam reikalavimui.</w:t>
            </w:r>
          </w:p>
          <w:p w14:paraId="2DB5A861" w14:textId="77777777" w:rsidR="00BD454D" w:rsidRPr="001E2F36" w:rsidRDefault="00BD454D" w:rsidP="00F05682">
            <w:pPr>
              <w:spacing w:line="240" w:lineRule="auto"/>
              <w:jc w:val="both"/>
              <w:rPr>
                <w:rFonts w:eastAsia="Arial" w:cstheme="minorHAnsi"/>
              </w:rPr>
            </w:pPr>
          </w:p>
          <w:p w14:paraId="29BCBEDB" w14:textId="77777777" w:rsidR="00300989" w:rsidRDefault="00F05682" w:rsidP="00F05682">
            <w:pPr>
              <w:spacing w:line="240" w:lineRule="auto"/>
              <w:jc w:val="both"/>
              <w:rPr>
                <w:rFonts w:eastAsia="Arial" w:cstheme="minorHAnsi"/>
              </w:rPr>
            </w:pPr>
            <w:r w:rsidRPr="001E2F36">
              <w:rPr>
                <w:rFonts w:eastAsia="Arial" w:cstheme="minorHAnsi"/>
              </w:rPr>
              <w:t>Užsienio valstybės tiekėjas</w:t>
            </w:r>
            <w:r w:rsidRPr="001E2F36">
              <w:rPr>
                <w:rFonts w:cstheme="minorHAnsi"/>
              </w:rPr>
              <w:t>*</w:t>
            </w:r>
            <w:r w:rsidRPr="001E2F36">
              <w:rPr>
                <w:rFonts w:eastAsia="Arial" w:cstheme="minorHAnsi"/>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w:t>
            </w:r>
          </w:p>
          <w:p w14:paraId="5C32CDDD" w14:textId="2B6C7A35" w:rsidR="00F05682" w:rsidRDefault="00F05682" w:rsidP="00F05682">
            <w:pPr>
              <w:spacing w:line="240" w:lineRule="auto"/>
              <w:jc w:val="both"/>
              <w:rPr>
                <w:rFonts w:eastAsia="Arial" w:cstheme="minorHAnsi"/>
              </w:rPr>
            </w:pPr>
            <w:r w:rsidRPr="001E2F36">
              <w:rPr>
                <w:rFonts w:eastAsia="Arial" w:cstheme="minorHAnsi"/>
              </w:rPr>
              <w:t>(pogrupis: </w:t>
            </w:r>
            <w:r w:rsidRPr="00E920E0">
              <w:rPr>
                <w:rFonts w:eastAsia="Arial" w:cstheme="minorHAnsi"/>
              </w:rPr>
              <w:t>administracinės paskirties pastatai</w:t>
            </w:r>
            <w:r w:rsidRPr="001E2F36">
              <w:rPr>
                <w:rFonts w:eastAsia="Arial" w:cstheme="minorHAnsi"/>
              </w:rPr>
              <w:t>) statybos rangovu.</w:t>
            </w:r>
          </w:p>
          <w:p w14:paraId="61B23F98" w14:textId="77777777" w:rsidR="005A5B60" w:rsidRPr="001E2F36" w:rsidRDefault="005A5B60" w:rsidP="00F05682">
            <w:pPr>
              <w:spacing w:line="240" w:lineRule="auto"/>
              <w:jc w:val="both"/>
              <w:rPr>
                <w:rFonts w:eastAsia="Arial" w:cstheme="minorHAnsi"/>
              </w:rPr>
            </w:pPr>
          </w:p>
          <w:p w14:paraId="2529F1CD" w14:textId="210B82CE" w:rsidR="00F05682" w:rsidRPr="001E2F36" w:rsidRDefault="00F05682" w:rsidP="00F05682">
            <w:pPr>
              <w:pStyle w:val="Default"/>
              <w:jc w:val="both"/>
              <w:rPr>
                <w:rFonts w:asciiTheme="minorHAnsi" w:hAnsiTheme="minorHAnsi" w:cstheme="minorHAnsi"/>
                <w:sz w:val="21"/>
                <w:szCs w:val="21"/>
              </w:rPr>
            </w:pPr>
            <w:r w:rsidRPr="001E2F36">
              <w:rPr>
                <w:rFonts w:asciiTheme="minorHAnsi" w:hAns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w:t>
            </w:r>
            <w:r w:rsidRPr="001E2F36">
              <w:rPr>
                <w:rFonts w:asciiTheme="minorHAnsi" w:hAnsiTheme="minorHAnsi" w:cstheme="minorHAnsi"/>
                <w:sz w:val="21"/>
                <w:szCs w:val="21"/>
              </w:rPr>
              <w:lastRenderedPageBreak/>
              <w:t xml:space="preserve">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52E0157" w14:textId="77777777" w:rsidR="00F05682" w:rsidRPr="001E2F36" w:rsidRDefault="00F05682" w:rsidP="00F05682">
            <w:pPr>
              <w:pStyle w:val="Default"/>
              <w:jc w:val="both"/>
              <w:rPr>
                <w:rFonts w:asciiTheme="minorHAnsi" w:hAnsiTheme="minorHAnsi" w:cstheme="minorHAnsi"/>
                <w:sz w:val="21"/>
                <w:szCs w:val="21"/>
              </w:rPr>
            </w:pPr>
            <w:r w:rsidRPr="001E2F36">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0F64577" w14:textId="77777777" w:rsidR="00F05682" w:rsidRPr="001E2F36" w:rsidRDefault="00F05682" w:rsidP="00F05682">
            <w:pPr>
              <w:pStyle w:val="Default"/>
              <w:jc w:val="both"/>
              <w:rPr>
                <w:rFonts w:asciiTheme="minorHAnsi" w:hAnsiTheme="minorHAnsi" w:cstheme="minorHAnsi"/>
                <w:sz w:val="21"/>
                <w:szCs w:val="21"/>
              </w:rPr>
            </w:pPr>
            <w:r w:rsidRPr="001E2F36">
              <w:rPr>
                <w:rFonts w:asciiTheme="minorHAnsi" w:hAnsiTheme="minorHAnsi" w:cstheme="minorHAnsi"/>
                <w:sz w:val="21"/>
                <w:szCs w:val="21"/>
              </w:rPr>
              <w:t xml:space="preserve">Teisės pripažinimo dokumentai turi būti gauti, iki pirkimo sutarties pasirašymo. </w:t>
            </w:r>
          </w:p>
          <w:p w14:paraId="703D070E" w14:textId="0BAA5856" w:rsidR="00F05682" w:rsidRDefault="00F05682" w:rsidP="008E7ADC">
            <w:pPr>
              <w:spacing w:line="240" w:lineRule="auto"/>
              <w:jc w:val="both"/>
              <w:rPr>
                <w:rFonts w:cstheme="minorHAnsi"/>
                <w:color w:val="1F487C"/>
              </w:rPr>
            </w:pPr>
            <w:r w:rsidRPr="001E2F36">
              <w:rPr>
                <w:rFonts w:cstheme="minorHAnsi"/>
              </w:rPr>
              <w:t xml:space="preserve">Pirkimo vykdytojas informaciją apie išduotus kvalifikacijos dokumentus pasitikrina SSVA registruose </w:t>
            </w:r>
            <w:r w:rsidRPr="001E2F36">
              <w:rPr>
                <w:rFonts w:cstheme="minorHAnsi"/>
                <w:color w:val="1F487C"/>
              </w:rPr>
              <w:t>https://www.ssva.lt/cms/registrai</w:t>
            </w:r>
            <w:r w:rsidR="008E7ADC">
              <w:rPr>
                <w:rFonts w:cstheme="minorHAnsi"/>
                <w:color w:val="1F487C"/>
              </w:rPr>
              <w:t>.</w:t>
            </w:r>
            <w:r w:rsidRPr="001E2F36">
              <w:rPr>
                <w:rFonts w:cstheme="minorHAnsi"/>
                <w:color w:val="1F487C"/>
              </w:rPr>
              <w:t xml:space="preserve"> </w:t>
            </w:r>
          </w:p>
          <w:p w14:paraId="702A31F3" w14:textId="77777777" w:rsidR="00FD1CCE" w:rsidRPr="008E7ADC" w:rsidRDefault="00FD1CCE" w:rsidP="008E7ADC">
            <w:pPr>
              <w:spacing w:line="240" w:lineRule="auto"/>
              <w:jc w:val="both"/>
              <w:rPr>
                <w:rFonts w:cstheme="minorHAnsi"/>
                <w:color w:val="1F487C"/>
              </w:rPr>
            </w:pPr>
          </w:p>
          <w:p w14:paraId="10A52792" w14:textId="44F0D074" w:rsidR="00F05682" w:rsidRDefault="00F05682" w:rsidP="00F05682">
            <w:pPr>
              <w:pStyle w:val="Default"/>
              <w:rPr>
                <w:rFonts w:asciiTheme="minorHAnsi" w:hAnsiTheme="minorHAnsi" w:cstheme="minorHAnsi"/>
                <w:sz w:val="21"/>
                <w:szCs w:val="21"/>
              </w:rPr>
            </w:pPr>
            <w:r w:rsidRPr="001E2F36">
              <w:rPr>
                <w:rFonts w:asciiTheme="minorHAnsi" w:hAnsiTheme="minorHAnsi" w:cstheme="minorHAnsi"/>
                <w:b/>
                <w:bCs/>
                <w:sz w:val="21"/>
                <w:szCs w:val="21"/>
              </w:rPr>
              <w:t>*</w:t>
            </w:r>
            <w:r w:rsidRPr="001E2F36">
              <w:rPr>
                <w:rFonts w:asciiTheme="minorHAnsi" w:hAnsiTheme="minorHAnsi" w:cstheme="minorHAnsi"/>
                <w:sz w:val="21"/>
                <w:szCs w:val="21"/>
              </w:rPr>
              <w:t>Užsienio šalies tiekėjai</w:t>
            </w:r>
            <w:r w:rsidRPr="001E2F36">
              <w:rPr>
                <w:rFonts w:asciiTheme="minorHAnsi" w:hAnsiTheme="minorHAnsi" w:cstheme="minorHAnsi"/>
                <w:b/>
                <w:bCs/>
                <w:sz w:val="21"/>
                <w:szCs w:val="21"/>
              </w:rPr>
              <w:t xml:space="preserve"> </w:t>
            </w:r>
            <w:r w:rsidRPr="001E2F36">
              <w:rPr>
                <w:rFonts w:asciiTheme="minorHAnsi" w:hAnsiTheme="minorHAnsi" w:cstheme="minorHAnsi"/>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43C8820" w14:textId="77777777" w:rsidR="00FD1CCE" w:rsidRPr="001E2F36" w:rsidRDefault="00FD1CCE" w:rsidP="00F05682">
            <w:pPr>
              <w:pStyle w:val="Default"/>
              <w:rPr>
                <w:rFonts w:asciiTheme="minorHAnsi" w:hAnsiTheme="minorHAnsi" w:cstheme="minorHAnsi"/>
                <w:sz w:val="21"/>
                <w:szCs w:val="21"/>
              </w:rPr>
            </w:pPr>
          </w:p>
          <w:p w14:paraId="2AEBB939" w14:textId="77777777" w:rsidR="00F05682" w:rsidRDefault="00F05682" w:rsidP="00F05682">
            <w:pPr>
              <w:pStyle w:val="Default"/>
              <w:rPr>
                <w:rFonts w:asciiTheme="minorHAnsi" w:hAnsiTheme="minorHAnsi" w:cstheme="minorHAnsi"/>
                <w:sz w:val="21"/>
                <w:szCs w:val="21"/>
              </w:rPr>
            </w:pPr>
            <w:r w:rsidRPr="001E2F36">
              <w:rPr>
                <w:rFonts w:asciiTheme="minorHAnsi" w:hAnsiTheme="minorHAnsi" w:cstheme="minorHAnsi"/>
                <w:sz w:val="21"/>
                <w:szCs w:val="21"/>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179326D5" w14:textId="77777777" w:rsidR="00FD1CCE" w:rsidRPr="001E2F36" w:rsidRDefault="00FD1CCE" w:rsidP="00F05682">
            <w:pPr>
              <w:pStyle w:val="Default"/>
              <w:rPr>
                <w:rFonts w:asciiTheme="minorHAnsi" w:hAnsiTheme="minorHAnsi" w:cstheme="minorHAnsi"/>
                <w:sz w:val="21"/>
                <w:szCs w:val="21"/>
              </w:rPr>
            </w:pPr>
          </w:p>
          <w:p w14:paraId="00CC8B3C" w14:textId="302D877D" w:rsidR="00F05682" w:rsidRPr="001E2F36" w:rsidRDefault="00F05682" w:rsidP="00F05682">
            <w:pPr>
              <w:spacing w:line="240" w:lineRule="auto"/>
              <w:jc w:val="both"/>
              <w:rPr>
                <w:rFonts w:eastAsia="Arial" w:cstheme="minorHAnsi"/>
                <w:strike/>
              </w:rPr>
            </w:pPr>
            <w:r w:rsidRPr="001E2F36">
              <w:rPr>
                <w:rFonts w:cstheme="minorHAnsi"/>
              </w:rPr>
              <w:t xml:space="preserve">Užsienio šalies tiekėjai turi siekti teisės pripažinimo dokumentą gauti per įmanomai trumpiausią laiką, t. y., iš anksto parengti ir operatyviai pateikti SSVA visus reikiamus dokumentus, esant poreikiui juos nedelsiant tikslinti, aktyviai bendradarbiauti. </w:t>
            </w:r>
          </w:p>
        </w:tc>
        <w:tc>
          <w:tcPr>
            <w:tcW w:w="1880" w:type="dxa"/>
          </w:tcPr>
          <w:p w14:paraId="6E51B31B" w14:textId="1B4B09C4" w:rsidR="00466719" w:rsidRDefault="00F05682" w:rsidP="00F05682">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w:t>
            </w:r>
            <w:proofErr w:type="spellStart"/>
            <w:r w:rsidRPr="00AB7082">
              <w:rPr>
                <w:rFonts w:eastAsia="Arial" w:cstheme="minorHAnsi"/>
              </w:rPr>
              <w:t>iai</w:t>
            </w:r>
            <w:proofErr w:type="spellEnd"/>
            <w:r w:rsidRPr="00AB7082">
              <w:rPr>
                <w:rFonts w:eastAsia="Arial" w:cstheme="minorHAnsi"/>
              </w:rPr>
              <w:t>), pagal jų prisiimamus įsipareigojimus pirkimo sutarčiai vykdyti;</w:t>
            </w:r>
          </w:p>
          <w:p w14:paraId="747B6A06" w14:textId="28C25DAD" w:rsidR="00466719" w:rsidRDefault="009B1BD1" w:rsidP="00F05682">
            <w:pPr>
              <w:spacing w:line="240" w:lineRule="auto"/>
              <w:rPr>
                <w:rFonts w:eastAsia="Arial" w:cstheme="minorHAnsi"/>
              </w:rPr>
            </w:pPr>
            <w:r>
              <w:rPr>
                <w:rFonts w:eastAsia="Arial" w:cstheme="minorHAnsi"/>
              </w:rPr>
              <w:t>t</w:t>
            </w:r>
            <w:r w:rsidR="00F05682" w:rsidRPr="00AB7082">
              <w:rPr>
                <w:rFonts w:eastAsia="Arial" w:cstheme="minorHAnsi"/>
              </w:rPr>
              <w:t>iekėjas gali remtis kitų ūkio subjektų pajėgumais tik tuomet, kai tie subjektai, kurių pajėgumais buvo pasiremta, patys atliks darbus, kuriems reikia jų pajėgumų;</w:t>
            </w:r>
          </w:p>
          <w:p w14:paraId="3538EF2A" w14:textId="4F51140F" w:rsidR="00F05682" w:rsidRDefault="009B1BD1" w:rsidP="00F05682">
            <w:pPr>
              <w:spacing w:line="240" w:lineRule="auto"/>
              <w:rPr>
                <w:rFonts w:eastAsia="Arial" w:cstheme="minorHAnsi"/>
              </w:rPr>
            </w:pPr>
            <w:r>
              <w:rPr>
                <w:rFonts w:eastAsia="Arial" w:cstheme="minorHAnsi"/>
              </w:rPr>
              <w:t>s</w:t>
            </w:r>
            <w:r w:rsidR="00F05682" w:rsidRPr="00AB7082">
              <w:rPr>
                <w:rFonts w:eastAsia="Arial" w:cstheme="minorHAnsi"/>
              </w:rPr>
              <w:t xml:space="preserve">ubtiekėjai, kuriuos tiekėjas pasitelks pirkimo sutarties vykdymui (kurių pajėgumais tiekėjas nesiremia, kad atitiktų pirkimo dokumentuose nustatytus </w:t>
            </w:r>
            <w:r w:rsidR="00F05682" w:rsidRPr="00AB7082">
              <w:rPr>
                <w:rFonts w:eastAsia="Arial" w:cstheme="minorHAnsi"/>
              </w:rPr>
              <w:lastRenderedPageBreak/>
              <w:t xml:space="preserve">kvalifikacijos reikalavimus), privalo turėti teisę verstis ta veikla, kuriai jis pasitelkiamas. </w:t>
            </w:r>
          </w:p>
          <w:p w14:paraId="2588BF64" w14:textId="77777777" w:rsidR="00466719" w:rsidRDefault="00466719" w:rsidP="00F05682">
            <w:pPr>
              <w:spacing w:line="240" w:lineRule="auto"/>
              <w:rPr>
                <w:rFonts w:eastAsia="Arial" w:cstheme="minorHAnsi"/>
              </w:rPr>
            </w:pPr>
          </w:p>
          <w:p w14:paraId="00A342D8" w14:textId="0345794C" w:rsidR="00466719" w:rsidRDefault="00F05682" w:rsidP="00F05682">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684E2F6C" w14:textId="0A232085" w:rsidR="00F05682" w:rsidRPr="00AB7082" w:rsidRDefault="00F05682" w:rsidP="00F05682">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F05682" w:rsidRDefault="00F05682" w:rsidP="00F05682">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1D777EA1" w14:textId="7EC56426" w:rsidR="00E920E0" w:rsidRPr="00E920E0" w:rsidRDefault="00E920E0" w:rsidP="00E920E0">
            <w:pPr>
              <w:spacing w:line="240" w:lineRule="auto"/>
              <w:jc w:val="both"/>
              <w:rPr>
                <w:rFonts w:eastAsia="Arial" w:cstheme="minorHAnsi"/>
              </w:rPr>
            </w:pPr>
            <w:r w:rsidRPr="00E920E0">
              <w:rPr>
                <w:rFonts w:eastAsia="Arial" w:cstheme="minorHAnsi"/>
              </w:rPr>
              <w:t>Tiekėjas per paskutinius 5 metus iki pasiūlymo pateikimo termino pabaigos yra atlikęs gyvenamuosiuose ir/ar negyvenamuosiuose pastatuose  statybos darbų (statinio statybos rūšys: naujo statinio statyba ir (ar) statinio rekonstravimas ir (ar) statinio kapitalinis remontas,  kurių vertė yra nemažesnė kaip 450 000,00 Eur be PVM ir svarbiausių darbų (</w:t>
            </w:r>
            <w:r w:rsidRPr="00300989">
              <w:rPr>
                <w:rFonts w:eastAsia="Arial" w:cstheme="minorHAnsi"/>
                <w:u w:val="single"/>
              </w:rPr>
              <w:t>svarbiausiais darbai</w:t>
            </w:r>
            <w:r w:rsidR="00300989">
              <w:rPr>
                <w:rFonts w:eastAsia="Arial" w:cstheme="minorHAnsi"/>
              </w:rPr>
              <w:t xml:space="preserve">s </w:t>
            </w:r>
            <w:r w:rsidRPr="00300989">
              <w:rPr>
                <w:rFonts w:eastAsia="Arial" w:cstheme="minorHAnsi"/>
              </w:rPr>
              <w:t>yra laikomi naujo statinio statyba ir (ar) statinio rekonstravimas ir (ar) statinio kapitalinis remontas</w:t>
            </w:r>
            <w:r w:rsidRPr="00E920E0">
              <w:rPr>
                <w:rFonts w:eastAsia="Arial" w:cstheme="minorHAnsi"/>
              </w:rPr>
              <w:t>)  atlikimas  ir galutiniai rezultatai buvo tinkami.</w:t>
            </w:r>
          </w:p>
          <w:p w14:paraId="0A96C97D" w14:textId="0C41B9BD" w:rsidR="00E920E0" w:rsidRDefault="00E920E0" w:rsidP="00E920E0">
            <w:pPr>
              <w:spacing w:line="240" w:lineRule="auto"/>
              <w:jc w:val="both"/>
              <w:rPr>
                <w:rFonts w:eastAsia="Arial" w:cstheme="minorHAnsi"/>
              </w:rPr>
            </w:pPr>
            <w:r w:rsidRPr="00E920E0">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p w14:paraId="3BCA6536" w14:textId="77777777" w:rsidR="00E920E0" w:rsidRDefault="00E920E0" w:rsidP="00A2132F">
            <w:pPr>
              <w:spacing w:line="240" w:lineRule="auto"/>
              <w:jc w:val="both"/>
              <w:rPr>
                <w:rFonts w:eastAsia="Arial" w:cstheme="minorHAnsi"/>
              </w:rPr>
            </w:pPr>
          </w:p>
          <w:p w14:paraId="47A3CC8C" w14:textId="77777777" w:rsidR="00E920E0" w:rsidRDefault="00E920E0" w:rsidP="00A2132F">
            <w:pPr>
              <w:spacing w:line="240" w:lineRule="auto"/>
              <w:jc w:val="both"/>
              <w:rPr>
                <w:rFonts w:eastAsia="Arial" w:cstheme="minorHAnsi"/>
              </w:rPr>
            </w:pPr>
          </w:p>
          <w:p w14:paraId="5B1E4BD9" w14:textId="77777777" w:rsidR="00E920E0" w:rsidRDefault="00E920E0" w:rsidP="00A2132F">
            <w:pPr>
              <w:spacing w:line="240" w:lineRule="auto"/>
              <w:jc w:val="both"/>
              <w:rPr>
                <w:rFonts w:eastAsia="Arial" w:cstheme="minorHAnsi"/>
              </w:rPr>
            </w:pPr>
          </w:p>
          <w:p w14:paraId="6A46F08E" w14:textId="55BDC0CC" w:rsidR="00A2132F" w:rsidRPr="006A2A06" w:rsidRDefault="00A2132F" w:rsidP="00A2132F">
            <w:pPr>
              <w:spacing w:line="240" w:lineRule="auto"/>
              <w:jc w:val="both"/>
              <w:rPr>
                <w:rFonts w:cstheme="minorHAnsi"/>
                <w:b/>
                <w:bCs/>
                <w:strike/>
                <w:color w:val="000000"/>
                <w:highlight w:val="yellow"/>
              </w:rPr>
            </w:pPr>
            <w:r w:rsidRPr="00E1585A">
              <w:rPr>
                <w:rFonts w:eastAsia="Arial" w:cstheme="minorHAnsi"/>
                <w:b/>
                <w:bCs/>
              </w:rPr>
              <w:t xml:space="preserve"> </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920E0">
              <w:rPr>
                <w:rFonts w:eastAsia="Arial" w:cstheme="minorHAnsi"/>
              </w:rPr>
              <w:t>čių</w:t>
            </w:r>
            <w:proofErr w:type="spellEnd"/>
            <w:r w:rsidRPr="00E920E0">
              <w:rPr>
                <w:rFonts w:eastAsia="Arial" w:cstheme="minorHAnsi"/>
              </w:rPr>
              <w:t xml:space="preserve">)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Atliktų darbų sąraše pateikiama tik tokia informacija, kuri atitinka kvalifikacijos reikalavime nurodytus kriterijus, t. y. įvykdytos (-ų) sutarties (-</w:t>
            </w:r>
            <w:proofErr w:type="spellStart"/>
            <w:r w:rsidRPr="00E920E0">
              <w:rPr>
                <w:rFonts w:eastAsia="Arial" w:cstheme="minorHAnsi"/>
              </w:rPr>
              <w:t>čių</w:t>
            </w:r>
            <w:proofErr w:type="spellEnd"/>
            <w:r w:rsidRPr="00E920E0">
              <w:rPr>
                <w:rFonts w:eastAsia="Arial" w:cstheme="minorHAnsi"/>
              </w:rPr>
              <w:t>) laikotarpis, panašaus objekto aprašymas: statinio grupės, statybos darbų rūšys, atliktų nurodytų svarbiausių darbų dalis įvykdytoje (-</w:t>
            </w:r>
            <w:proofErr w:type="spellStart"/>
            <w:r w:rsidRPr="00E920E0">
              <w:rPr>
                <w:rFonts w:eastAsia="Arial" w:cstheme="minorHAnsi"/>
              </w:rPr>
              <w:t>ose</w:t>
            </w:r>
            <w:proofErr w:type="spellEnd"/>
            <w:r w:rsidRPr="00E920E0">
              <w:rPr>
                <w:rFonts w:eastAsia="Arial" w:cstheme="minorHAnsi"/>
              </w:rPr>
              <w:t>) / vykdomoje (-</w:t>
            </w:r>
            <w:proofErr w:type="spellStart"/>
            <w:r w:rsidRPr="00E920E0">
              <w:rPr>
                <w:rFonts w:eastAsia="Arial" w:cstheme="minorHAnsi"/>
              </w:rPr>
              <w:t>ose</w:t>
            </w:r>
            <w:proofErr w:type="spellEnd"/>
            <w:r w:rsidRPr="00E920E0">
              <w:rPr>
                <w:rFonts w:eastAsia="Arial" w:cstheme="minorHAnsi"/>
              </w:rPr>
              <w:t>) sutartyje (-</w:t>
            </w:r>
            <w:proofErr w:type="spellStart"/>
            <w:r w:rsidRPr="00E920E0">
              <w:rPr>
                <w:rFonts w:eastAsia="Arial" w:cstheme="minorHAnsi"/>
              </w:rPr>
              <w:t>yse</w:t>
            </w:r>
            <w:proofErr w:type="spellEnd"/>
            <w:r w:rsidRPr="00E920E0">
              <w:rPr>
                <w:rFonts w:eastAsia="Arial" w:cstheme="minorHAnsi"/>
              </w:rPr>
              <w:t xml:space="preserv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7CDED2E2" w:rsidR="00A2132F"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t>3.2.</w:t>
            </w:r>
          </w:p>
        </w:tc>
        <w:tc>
          <w:tcPr>
            <w:tcW w:w="3555" w:type="dxa"/>
          </w:tcPr>
          <w:p w14:paraId="69AEEF06" w14:textId="77777777" w:rsidR="00E920E0" w:rsidRPr="00E920E0" w:rsidRDefault="00E920E0" w:rsidP="00E920E0">
            <w:pPr>
              <w:spacing w:line="240" w:lineRule="auto"/>
              <w:jc w:val="both"/>
              <w:rPr>
                <w:rFonts w:cstheme="minorHAnsi"/>
                <w:color w:val="000000"/>
              </w:rPr>
            </w:pPr>
            <w:r w:rsidRPr="00E920E0">
              <w:rPr>
                <w:rFonts w:cstheme="minorHAnsi"/>
                <w:color w:val="000000"/>
              </w:rPr>
              <w:t>Tiekėjas turi kvalifikuotą ypatingojo statinio statybos darbų vadovą;</w:t>
            </w:r>
          </w:p>
          <w:p w14:paraId="771497F6" w14:textId="77777777" w:rsidR="00E920E0" w:rsidRPr="00E920E0" w:rsidRDefault="00E920E0" w:rsidP="00E920E0">
            <w:pPr>
              <w:spacing w:line="240" w:lineRule="auto"/>
              <w:jc w:val="both"/>
              <w:rPr>
                <w:rFonts w:cstheme="minorHAnsi"/>
                <w:color w:val="000000"/>
              </w:rPr>
            </w:pPr>
            <w:r w:rsidRPr="00E920E0">
              <w:rPr>
                <w:rFonts w:cstheme="minorHAnsi"/>
                <w:color w:val="000000"/>
              </w:rPr>
              <w:t xml:space="preserve"> Statinių grupė - negyvenamieji pastatai, pogrupis - administracinės paskirties statiniai, esantys kultūros paveldo objekto teritorijoje, jo apsaugos zonoje, kultūros paveldo vietovėje,</w:t>
            </w:r>
          </w:p>
          <w:p w14:paraId="6C16AFF3" w14:textId="77777777" w:rsidR="00E920E0" w:rsidRPr="00E920E0" w:rsidRDefault="00E920E0" w:rsidP="00E920E0">
            <w:pPr>
              <w:spacing w:line="240" w:lineRule="auto"/>
              <w:jc w:val="both"/>
              <w:rPr>
                <w:rFonts w:cstheme="minorHAnsi"/>
                <w:color w:val="000000"/>
              </w:rPr>
            </w:pPr>
            <w:r w:rsidRPr="00E920E0">
              <w:rPr>
                <w:rFonts w:cstheme="minorHAnsi"/>
                <w:color w:val="000000"/>
              </w:rPr>
              <w:t>ir ypatingojo statinio specialiųjų darbų vadovus, statinių grupė -negyvenamieji pastatai:</w:t>
            </w:r>
          </w:p>
          <w:p w14:paraId="3D68F995" w14:textId="77777777" w:rsidR="00E920E0" w:rsidRPr="00E920E0" w:rsidRDefault="00E920E0" w:rsidP="00E920E0">
            <w:pPr>
              <w:spacing w:line="240" w:lineRule="auto"/>
              <w:jc w:val="both"/>
              <w:rPr>
                <w:rFonts w:cstheme="minorHAnsi"/>
                <w:color w:val="000000"/>
              </w:rPr>
            </w:pPr>
            <w:r w:rsidRPr="00E920E0">
              <w:rPr>
                <w:rFonts w:cstheme="minorHAnsi"/>
                <w:color w:val="000000"/>
              </w:rPr>
              <w:t>1) statinio vandentiekio ir nuotekų šalinimo inžinerinių sistemų įrengimas;</w:t>
            </w:r>
          </w:p>
          <w:p w14:paraId="7F3BB027" w14:textId="77777777" w:rsidR="00E920E0" w:rsidRPr="00E920E0" w:rsidRDefault="00E920E0" w:rsidP="00E920E0">
            <w:pPr>
              <w:spacing w:line="240" w:lineRule="auto"/>
              <w:jc w:val="both"/>
              <w:rPr>
                <w:rFonts w:cstheme="minorHAnsi"/>
                <w:color w:val="000000"/>
              </w:rPr>
            </w:pPr>
            <w:r w:rsidRPr="00E920E0">
              <w:rPr>
                <w:rFonts w:cstheme="minorHAnsi"/>
                <w:color w:val="000000"/>
              </w:rPr>
              <w:t>2) statinio šildymo, vėdinimo, oro kondicionavimo inžinerinių sistemų įrengimas;</w:t>
            </w:r>
          </w:p>
          <w:p w14:paraId="2FE1BF01" w14:textId="77777777" w:rsidR="00E920E0" w:rsidRPr="00E920E0" w:rsidRDefault="00E920E0" w:rsidP="00E920E0">
            <w:pPr>
              <w:spacing w:line="240" w:lineRule="auto"/>
              <w:jc w:val="both"/>
              <w:rPr>
                <w:rFonts w:cstheme="minorHAnsi"/>
                <w:color w:val="000000"/>
              </w:rPr>
            </w:pPr>
            <w:r w:rsidRPr="00E920E0">
              <w:rPr>
                <w:rFonts w:cstheme="minorHAnsi"/>
                <w:color w:val="000000"/>
              </w:rPr>
              <w:t>3) statinio elektros inžinerinių sistemų įrengimas;</w:t>
            </w:r>
          </w:p>
          <w:p w14:paraId="02696681" w14:textId="46E317BC" w:rsidR="00E920E0" w:rsidRPr="00E920E0" w:rsidRDefault="00E920E0" w:rsidP="00E920E0">
            <w:pPr>
              <w:spacing w:line="240" w:lineRule="auto"/>
              <w:jc w:val="both"/>
              <w:rPr>
                <w:rFonts w:cstheme="minorHAnsi"/>
                <w:color w:val="000000"/>
              </w:rPr>
            </w:pPr>
            <w:r w:rsidRPr="00E920E0">
              <w:rPr>
                <w:rFonts w:cstheme="minorHAnsi"/>
                <w:color w:val="000000"/>
              </w:rPr>
              <w:t>4) statinio apsauginės signalizacijos įrengimas;</w:t>
            </w:r>
          </w:p>
          <w:p w14:paraId="208E0DE0" w14:textId="77777777" w:rsidR="00E920E0" w:rsidRPr="00E920E0" w:rsidRDefault="00E920E0" w:rsidP="00E920E0">
            <w:pPr>
              <w:spacing w:line="240" w:lineRule="auto"/>
              <w:jc w:val="both"/>
              <w:rPr>
                <w:rFonts w:cstheme="minorHAnsi"/>
                <w:color w:val="000000"/>
              </w:rPr>
            </w:pPr>
            <w:r w:rsidRPr="00E920E0">
              <w:rPr>
                <w:rFonts w:cstheme="minorHAnsi"/>
                <w:color w:val="000000"/>
              </w:rPr>
              <w:t>5) gaisrinės saugos inžinerinių sistemų įrengimas;</w:t>
            </w:r>
          </w:p>
          <w:p w14:paraId="093C998E" w14:textId="58157AE1" w:rsidR="00E920E0" w:rsidRDefault="00E920E0" w:rsidP="00E920E0">
            <w:pPr>
              <w:spacing w:line="240" w:lineRule="auto"/>
              <w:jc w:val="both"/>
              <w:rPr>
                <w:rFonts w:cstheme="minorHAnsi"/>
                <w:color w:val="000000"/>
              </w:rPr>
            </w:pPr>
            <w:r w:rsidRPr="00E920E0">
              <w:rPr>
                <w:rFonts w:cstheme="minorHAnsi"/>
                <w:color w:val="000000"/>
              </w:rPr>
              <w:t>(</w:t>
            </w:r>
            <w:r w:rsidR="009D446A">
              <w:rPr>
                <w:rFonts w:cstheme="minorHAnsi"/>
                <w:color w:val="000000"/>
              </w:rPr>
              <w:t>T</w:t>
            </w:r>
            <w:r w:rsidRPr="00E920E0">
              <w:rPr>
                <w:rFonts w:cstheme="minorHAnsi"/>
                <w:color w:val="000000"/>
              </w:rPr>
              <w:t>eisinis pagrindas: Statybos įstatymo 12 straipsnis)</w:t>
            </w:r>
            <w:r w:rsidR="009B1BD1">
              <w:rPr>
                <w:rFonts w:cstheme="minorHAnsi"/>
                <w:color w:val="000000"/>
              </w:rPr>
              <w:t>.</w:t>
            </w:r>
          </w:p>
          <w:p w14:paraId="293204F5" w14:textId="77777777" w:rsidR="00E920E0" w:rsidRDefault="00E920E0" w:rsidP="00A3134C">
            <w:pPr>
              <w:spacing w:line="240" w:lineRule="auto"/>
              <w:jc w:val="both"/>
              <w:rPr>
                <w:rFonts w:cstheme="minorHAnsi"/>
                <w:color w:val="000000"/>
              </w:rPr>
            </w:pPr>
          </w:p>
          <w:p w14:paraId="465705F7" w14:textId="68B8AE25" w:rsidR="00A3134C" w:rsidRPr="00A2132F" w:rsidRDefault="00A3134C" w:rsidP="00A3134C">
            <w:pPr>
              <w:spacing w:line="240" w:lineRule="auto"/>
              <w:jc w:val="both"/>
              <w:rPr>
                <w:rFonts w:cstheme="minorHAnsi"/>
                <w:color w:val="000000"/>
              </w:rPr>
            </w:pPr>
          </w:p>
        </w:tc>
        <w:tc>
          <w:tcPr>
            <w:tcW w:w="3358" w:type="dxa"/>
          </w:tcPr>
          <w:p w14:paraId="60978B1E" w14:textId="6B39A2AA" w:rsidR="001E2F36" w:rsidRPr="004F3696" w:rsidRDefault="001E2F36" w:rsidP="001E2F36">
            <w:pPr>
              <w:spacing w:line="240" w:lineRule="auto"/>
              <w:jc w:val="both"/>
              <w:rPr>
                <w:rFonts w:eastAsia="Arial" w:cstheme="minorHAnsi"/>
              </w:rPr>
            </w:pPr>
            <w:r w:rsidRPr="004F3696">
              <w:rPr>
                <w:rFonts w:eastAsia="Arial" w:cstheme="minorHAnsi"/>
              </w:rPr>
              <w:lastRenderedPageBreak/>
              <w:t xml:space="preserve">Vadovo (-ų) vardas pavardė ir galiojančio kvalifikacijos atestato numeris (dokumento (ų) pateikti nereikalaujama, duomenys bus patikrinti VĮ Statybos sektoriaus vystymo agentūros interneto svetainėje </w:t>
            </w:r>
            <w:hyperlink r:id="rId9" w:history="1">
              <w:r w:rsidR="00A15446" w:rsidRPr="004F3696">
                <w:rPr>
                  <w:rStyle w:val="Hipersaitas"/>
                  <w:rFonts w:eastAsia="Arial" w:cstheme="minorHAnsi"/>
                </w:rPr>
                <w:t>https://www.ssva.lt</w:t>
              </w:r>
            </w:hyperlink>
            <w:r w:rsidRPr="004F3696">
              <w:rPr>
                <w:rFonts w:eastAsia="Arial" w:cstheme="minorHAnsi"/>
              </w:rPr>
              <w:t>).</w:t>
            </w:r>
          </w:p>
          <w:p w14:paraId="43CF080F" w14:textId="77777777" w:rsidR="00A15446" w:rsidRPr="004F3696" w:rsidRDefault="00A15446" w:rsidP="001E2F36">
            <w:pPr>
              <w:spacing w:line="240" w:lineRule="auto"/>
              <w:jc w:val="both"/>
              <w:rPr>
                <w:rFonts w:eastAsia="Arial" w:cstheme="minorHAnsi"/>
              </w:rPr>
            </w:pPr>
          </w:p>
          <w:p w14:paraId="43B9C470" w14:textId="645EA53C" w:rsidR="00CF7958" w:rsidRDefault="001E2F36" w:rsidP="004F3696">
            <w:pPr>
              <w:spacing w:line="240" w:lineRule="auto"/>
              <w:jc w:val="both"/>
              <w:rPr>
                <w:rFonts w:eastAsia="Arial" w:cstheme="minorHAnsi"/>
              </w:rPr>
            </w:pPr>
            <w:r w:rsidRPr="004F3696">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4F3696">
              <w:rPr>
                <w:rFonts w:eastAsia="Arial" w:cstheme="minorHAnsi"/>
              </w:rPr>
              <w:lastRenderedPageBreak/>
              <w:t xml:space="preserve">susipažinti su reikalaujamais dokumentais ir (ar) informacija. </w:t>
            </w:r>
          </w:p>
          <w:p w14:paraId="75F306BA" w14:textId="77777777" w:rsidR="004F3696" w:rsidRPr="004F3696" w:rsidRDefault="004F3696" w:rsidP="004F3696">
            <w:pPr>
              <w:spacing w:line="240" w:lineRule="auto"/>
              <w:jc w:val="both"/>
              <w:rPr>
                <w:rFonts w:eastAsia="Arial" w:cstheme="minorHAnsi"/>
              </w:rPr>
            </w:pPr>
          </w:p>
          <w:p w14:paraId="280DF7B4" w14:textId="7ED1A5E8" w:rsidR="00CF7958" w:rsidRPr="004F3696" w:rsidRDefault="00CF7958" w:rsidP="00CF7958">
            <w:pPr>
              <w:pStyle w:val="Default"/>
              <w:jc w:val="both"/>
              <w:rPr>
                <w:rFonts w:asciiTheme="minorHAnsi" w:hAnsiTheme="minorHAnsi" w:cstheme="minorHAnsi"/>
                <w:sz w:val="21"/>
                <w:szCs w:val="21"/>
              </w:rPr>
            </w:pPr>
            <w:r w:rsidRPr="004F3696">
              <w:rPr>
                <w:rFonts w:asciiTheme="minorHAnsi" w:hAnsiTheme="minorHAnsi" w:cstheme="minorHAnsi"/>
                <w:sz w:val="21"/>
                <w:szCs w:val="21"/>
              </w:rPr>
              <w:t>Užsienio šalies specialistai*</w:t>
            </w:r>
            <w:r w:rsidRPr="004F3696">
              <w:rPr>
                <w:rFonts w:asciiTheme="minorHAnsi" w:hAnsiTheme="minorHAnsi" w:cstheme="minorHAnsi"/>
                <w:b/>
                <w:bCs/>
                <w:sz w:val="21"/>
                <w:szCs w:val="21"/>
              </w:rPr>
              <w:t xml:space="preserve"> </w:t>
            </w:r>
            <w:r w:rsidRPr="004F3696">
              <w:rPr>
                <w:rFonts w:asciiTheme="minorHAnsi" w:hAnsiTheme="minorHAnsi" w:cstheme="minorHAnsi"/>
                <w:sz w:val="21"/>
                <w:szCs w:val="2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 specialiųjų statybos darbų vadovo pareigas, pripažinus jų kilmės valstybėje turimą teisę eiti analogiškų statinių statybos vadovo / specialiųjų statybos darbų vadovo pareigas. </w:t>
            </w:r>
          </w:p>
          <w:p w14:paraId="2E2ACA2A" w14:textId="77777777" w:rsidR="001E2F36"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3A9A7C3C" w14:textId="77777777" w:rsidR="001E2F36" w:rsidRPr="004F3696" w:rsidRDefault="001E2F36" w:rsidP="001E2F36">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6268BD6" w14:textId="77777777" w:rsidR="004F3696" w:rsidRPr="004F3696" w:rsidRDefault="004F3696" w:rsidP="001E2F36">
            <w:pPr>
              <w:spacing w:line="240" w:lineRule="auto"/>
              <w:jc w:val="both"/>
              <w:rPr>
                <w:rFonts w:eastAsia="Arial" w:cstheme="minorHAnsi"/>
              </w:rPr>
            </w:pPr>
          </w:p>
          <w:p w14:paraId="41AB1A5B" w14:textId="336AA73A" w:rsidR="001E2F36" w:rsidRPr="004F3696" w:rsidRDefault="001E2F36" w:rsidP="001E2F36">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registruose https://www.ssva.lt/cms/registrai. </w:t>
            </w:r>
          </w:p>
          <w:p w14:paraId="79D6DE9B" w14:textId="77777777" w:rsidR="004F3696" w:rsidRPr="004F3696" w:rsidRDefault="004F3696" w:rsidP="001E2F36">
            <w:pPr>
              <w:spacing w:line="240" w:lineRule="auto"/>
              <w:jc w:val="both"/>
              <w:rPr>
                <w:rFonts w:eastAsia="Arial" w:cstheme="minorHAnsi"/>
              </w:rPr>
            </w:pPr>
          </w:p>
          <w:p w14:paraId="6E6C1BC4" w14:textId="77777777" w:rsidR="001A08D1"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2DF8BCF" w14:textId="77777777" w:rsidR="004F3696" w:rsidRPr="004F3696" w:rsidRDefault="004F3696" w:rsidP="001E2F36">
            <w:pPr>
              <w:spacing w:line="240" w:lineRule="auto"/>
              <w:jc w:val="both"/>
              <w:rPr>
                <w:rFonts w:eastAsia="Arial" w:cstheme="minorHAnsi"/>
              </w:rPr>
            </w:pPr>
          </w:p>
          <w:p w14:paraId="138CA7FB" w14:textId="6CEA2A77" w:rsidR="00A3134C"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specialistai turi siekti teisės pripažinimo dokumentą gauti per įmanomai trumpiausią laiką, t. y., iš anksto parengti ir operatyviai pateikti SSVA visus reikiamus dokumentus, esant poreikiui juos </w:t>
            </w:r>
            <w:r w:rsidRPr="004F3696">
              <w:rPr>
                <w:rFonts w:eastAsia="Arial" w:cstheme="minorHAnsi"/>
              </w:rPr>
              <w:lastRenderedPageBreak/>
              <w:t>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F15B" w14:textId="77777777" w:rsidR="00F43A0D" w:rsidRDefault="00F43A0D" w:rsidP="00D50065">
      <w:pPr>
        <w:spacing w:after="0" w:line="240" w:lineRule="auto"/>
      </w:pPr>
      <w:r>
        <w:separator/>
      </w:r>
    </w:p>
  </w:endnote>
  <w:endnote w:type="continuationSeparator" w:id="0">
    <w:p w14:paraId="3F8E6F13" w14:textId="77777777" w:rsidR="00F43A0D" w:rsidRDefault="00F43A0D"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57B7" w14:textId="77777777" w:rsidR="00F43A0D" w:rsidRDefault="00F43A0D" w:rsidP="00D50065">
      <w:pPr>
        <w:spacing w:after="0" w:line="240" w:lineRule="auto"/>
      </w:pPr>
      <w:r>
        <w:separator/>
      </w:r>
    </w:p>
  </w:footnote>
  <w:footnote w:type="continuationSeparator" w:id="0">
    <w:p w14:paraId="5EA32D69" w14:textId="77777777" w:rsidR="00F43A0D" w:rsidRDefault="00F43A0D"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36A12"/>
    <w:rsid w:val="000400CD"/>
    <w:rsid w:val="000463CA"/>
    <w:rsid w:val="00055A35"/>
    <w:rsid w:val="00055ED5"/>
    <w:rsid w:val="00066C2A"/>
    <w:rsid w:val="00073F9D"/>
    <w:rsid w:val="00082DF2"/>
    <w:rsid w:val="000B335D"/>
    <w:rsid w:val="000C782E"/>
    <w:rsid w:val="000D6329"/>
    <w:rsid w:val="00116E27"/>
    <w:rsid w:val="00124D20"/>
    <w:rsid w:val="00156D92"/>
    <w:rsid w:val="00160AEA"/>
    <w:rsid w:val="00167A9E"/>
    <w:rsid w:val="0019742B"/>
    <w:rsid w:val="001A08D1"/>
    <w:rsid w:val="001B0FF3"/>
    <w:rsid w:val="001D7BAA"/>
    <w:rsid w:val="001E2F36"/>
    <w:rsid w:val="001F5C1A"/>
    <w:rsid w:val="002300BD"/>
    <w:rsid w:val="00236F80"/>
    <w:rsid w:val="00254FE4"/>
    <w:rsid w:val="00297356"/>
    <w:rsid w:val="002A6047"/>
    <w:rsid w:val="002A6A20"/>
    <w:rsid w:val="002C3477"/>
    <w:rsid w:val="002E3FA4"/>
    <w:rsid w:val="002E6881"/>
    <w:rsid w:val="002F642F"/>
    <w:rsid w:val="00300989"/>
    <w:rsid w:val="00315874"/>
    <w:rsid w:val="0032056A"/>
    <w:rsid w:val="0033075B"/>
    <w:rsid w:val="00344603"/>
    <w:rsid w:val="00350A7B"/>
    <w:rsid w:val="003610A6"/>
    <w:rsid w:val="003702C9"/>
    <w:rsid w:val="00372862"/>
    <w:rsid w:val="0038038E"/>
    <w:rsid w:val="00382812"/>
    <w:rsid w:val="0039499F"/>
    <w:rsid w:val="003A54DE"/>
    <w:rsid w:val="003B3E54"/>
    <w:rsid w:val="003D40CD"/>
    <w:rsid w:val="003D4A8F"/>
    <w:rsid w:val="00411678"/>
    <w:rsid w:val="004215AC"/>
    <w:rsid w:val="004317E0"/>
    <w:rsid w:val="00433605"/>
    <w:rsid w:val="00460965"/>
    <w:rsid w:val="00466719"/>
    <w:rsid w:val="00470E2C"/>
    <w:rsid w:val="00482DE8"/>
    <w:rsid w:val="004928F2"/>
    <w:rsid w:val="00497D89"/>
    <w:rsid w:val="004A54BC"/>
    <w:rsid w:val="004C398A"/>
    <w:rsid w:val="004C6175"/>
    <w:rsid w:val="004D0C45"/>
    <w:rsid w:val="004D366C"/>
    <w:rsid w:val="004D4A48"/>
    <w:rsid w:val="004F3696"/>
    <w:rsid w:val="0050145F"/>
    <w:rsid w:val="00505B07"/>
    <w:rsid w:val="00513DDC"/>
    <w:rsid w:val="00536DAD"/>
    <w:rsid w:val="00566C32"/>
    <w:rsid w:val="005A5B60"/>
    <w:rsid w:val="005D5371"/>
    <w:rsid w:val="00606DA7"/>
    <w:rsid w:val="00637DFF"/>
    <w:rsid w:val="00673BEE"/>
    <w:rsid w:val="0069493A"/>
    <w:rsid w:val="006A2A06"/>
    <w:rsid w:val="006C165E"/>
    <w:rsid w:val="006D62C3"/>
    <w:rsid w:val="00705B51"/>
    <w:rsid w:val="0073151E"/>
    <w:rsid w:val="00740F55"/>
    <w:rsid w:val="0074416D"/>
    <w:rsid w:val="00753B50"/>
    <w:rsid w:val="007652C1"/>
    <w:rsid w:val="00794FDE"/>
    <w:rsid w:val="007972AE"/>
    <w:rsid w:val="007C4325"/>
    <w:rsid w:val="007F036E"/>
    <w:rsid w:val="00801422"/>
    <w:rsid w:val="00837E7C"/>
    <w:rsid w:val="00864245"/>
    <w:rsid w:val="00876EBA"/>
    <w:rsid w:val="008A2DE1"/>
    <w:rsid w:val="008C4816"/>
    <w:rsid w:val="008D50CD"/>
    <w:rsid w:val="008E7138"/>
    <w:rsid w:val="008E7ADC"/>
    <w:rsid w:val="008F707B"/>
    <w:rsid w:val="009016B8"/>
    <w:rsid w:val="0090330F"/>
    <w:rsid w:val="00920519"/>
    <w:rsid w:val="009409B8"/>
    <w:rsid w:val="009474FD"/>
    <w:rsid w:val="009661AB"/>
    <w:rsid w:val="0097362C"/>
    <w:rsid w:val="00980DA9"/>
    <w:rsid w:val="009942FB"/>
    <w:rsid w:val="009A0443"/>
    <w:rsid w:val="009A0DE8"/>
    <w:rsid w:val="009B0EA5"/>
    <w:rsid w:val="009B1BD1"/>
    <w:rsid w:val="009D446A"/>
    <w:rsid w:val="009E2FA2"/>
    <w:rsid w:val="009E76C1"/>
    <w:rsid w:val="00A03AB4"/>
    <w:rsid w:val="00A15446"/>
    <w:rsid w:val="00A17BB4"/>
    <w:rsid w:val="00A2132F"/>
    <w:rsid w:val="00A2504B"/>
    <w:rsid w:val="00A27A0B"/>
    <w:rsid w:val="00A301A4"/>
    <w:rsid w:val="00A3134C"/>
    <w:rsid w:val="00A40E8D"/>
    <w:rsid w:val="00A46FE9"/>
    <w:rsid w:val="00A50209"/>
    <w:rsid w:val="00A612FB"/>
    <w:rsid w:val="00A703DF"/>
    <w:rsid w:val="00A73B16"/>
    <w:rsid w:val="00A95AF5"/>
    <w:rsid w:val="00AB124D"/>
    <w:rsid w:val="00AB1784"/>
    <w:rsid w:val="00AB2946"/>
    <w:rsid w:val="00AB3CFF"/>
    <w:rsid w:val="00AC0114"/>
    <w:rsid w:val="00AC18AC"/>
    <w:rsid w:val="00AC1C44"/>
    <w:rsid w:val="00AE1D01"/>
    <w:rsid w:val="00AE2D5D"/>
    <w:rsid w:val="00AE5C46"/>
    <w:rsid w:val="00AF43C8"/>
    <w:rsid w:val="00AF7C64"/>
    <w:rsid w:val="00B0362B"/>
    <w:rsid w:val="00B13E45"/>
    <w:rsid w:val="00B1744E"/>
    <w:rsid w:val="00B17A7F"/>
    <w:rsid w:val="00B217AE"/>
    <w:rsid w:val="00B22944"/>
    <w:rsid w:val="00B2597B"/>
    <w:rsid w:val="00B40C8F"/>
    <w:rsid w:val="00B47809"/>
    <w:rsid w:val="00B528BF"/>
    <w:rsid w:val="00B668D1"/>
    <w:rsid w:val="00B71FB3"/>
    <w:rsid w:val="00B93DC1"/>
    <w:rsid w:val="00BA6AC4"/>
    <w:rsid w:val="00BC65B8"/>
    <w:rsid w:val="00BC75FB"/>
    <w:rsid w:val="00BD1001"/>
    <w:rsid w:val="00BD454D"/>
    <w:rsid w:val="00BF4446"/>
    <w:rsid w:val="00BF7744"/>
    <w:rsid w:val="00C613EC"/>
    <w:rsid w:val="00C74CD3"/>
    <w:rsid w:val="00C809AA"/>
    <w:rsid w:val="00C80B02"/>
    <w:rsid w:val="00C911D1"/>
    <w:rsid w:val="00C97F2E"/>
    <w:rsid w:val="00CC67A3"/>
    <w:rsid w:val="00CF43B6"/>
    <w:rsid w:val="00CF5A41"/>
    <w:rsid w:val="00CF7958"/>
    <w:rsid w:val="00D222F9"/>
    <w:rsid w:val="00D313AF"/>
    <w:rsid w:val="00D50065"/>
    <w:rsid w:val="00D5087F"/>
    <w:rsid w:val="00DA7237"/>
    <w:rsid w:val="00DC2112"/>
    <w:rsid w:val="00DD3CF0"/>
    <w:rsid w:val="00DF2AEC"/>
    <w:rsid w:val="00DF342B"/>
    <w:rsid w:val="00E1585A"/>
    <w:rsid w:val="00E34548"/>
    <w:rsid w:val="00E36B97"/>
    <w:rsid w:val="00E52BCE"/>
    <w:rsid w:val="00E53633"/>
    <w:rsid w:val="00E53C73"/>
    <w:rsid w:val="00E73905"/>
    <w:rsid w:val="00E73F50"/>
    <w:rsid w:val="00E75E0B"/>
    <w:rsid w:val="00E920E0"/>
    <w:rsid w:val="00EA1E86"/>
    <w:rsid w:val="00EB6582"/>
    <w:rsid w:val="00EE01F8"/>
    <w:rsid w:val="00EF2825"/>
    <w:rsid w:val="00F00F35"/>
    <w:rsid w:val="00F05682"/>
    <w:rsid w:val="00F15074"/>
    <w:rsid w:val="00F43A0D"/>
    <w:rsid w:val="00F47981"/>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13</Pages>
  <Words>18898</Words>
  <Characters>10773</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100</cp:revision>
  <cp:lastPrinted>2025-04-02T13:19:00Z</cp:lastPrinted>
  <dcterms:created xsi:type="dcterms:W3CDTF">2025-01-29T08:49:00Z</dcterms:created>
  <dcterms:modified xsi:type="dcterms:W3CDTF">2025-04-10T13:37:00Z</dcterms:modified>
</cp:coreProperties>
</file>