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1148" w14:textId="77777777" w:rsidR="008328ED" w:rsidRPr="009530BE" w:rsidRDefault="008328ED" w:rsidP="00DC06DE">
      <w:pPr>
        <w:spacing w:before="60" w:after="60" w:line="120" w:lineRule="auto"/>
        <w:rPr>
          <w:rFonts w:asciiTheme="majorHAnsi" w:hAnsiTheme="majorHAnsi" w:cstheme="majorHAnsi"/>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50092B25" w14:textId="4AC3B3F5" w:rsidR="008328ED" w:rsidRPr="009530BE" w:rsidRDefault="007F6E32" w:rsidP="007F6E32">
      <w:pPr>
        <w:spacing w:after="0" w:line="240" w:lineRule="auto"/>
        <w:jc w:val="center"/>
        <w:rPr>
          <w:rFonts w:asciiTheme="majorHAnsi" w:eastAsia="Times New Roman" w:hAnsiTheme="majorHAnsi" w:cstheme="majorHAnsi"/>
          <w:b/>
          <w:lang w:val="lt-LT"/>
        </w:rPr>
      </w:pPr>
      <w:r w:rsidRPr="009530BE">
        <w:rPr>
          <w:rFonts w:asciiTheme="majorHAnsi" w:hAnsiTheme="majorHAnsi" w:cstheme="majorHAnsi"/>
          <w:b/>
          <w:lang w:val="lt-LT"/>
        </w:rPr>
        <w:t xml:space="preserve">ASMENS DOKUMENTŲ </w:t>
      </w:r>
      <w:r>
        <w:rPr>
          <w:rFonts w:asciiTheme="majorHAnsi" w:hAnsiTheme="majorHAnsi" w:cstheme="majorHAnsi"/>
          <w:b/>
          <w:lang w:val="lt-LT"/>
        </w:rPr>
        <w:t xml:space="preserve">IŠDAVIMO INFORMACINĖS SISTEMOS </w:t>
      </w:r>
      <w:r w:rsidRPr="009530BE">
        <w:rPr>
          <w:rFonts w:asciiTheme="majorHAnsi" w:hAnsiTheme="majorHAnsi" w:cstheme="majorHAnsi"/>
          <w:b/>
          <w:lang w:val="lt-LT"/>
        </w:rPr>
        <w:t>TECHNINĖS IR PROGRAMINĖS ĮRANGOS PRIEŽIŪROS PASLAUGŲ</w:t>
      </w:r>
      <w:r>
        <w:rPr>
          <w:rFonts w:asciiTheme="majorHAnsi" w:hAnsiTheme="majorHAnsi" w:cstheme="majorHAnsi"/>
          <w:b/>
          <w:lang w:val="lt-LT"/>
        </w:rPr>
        <w:t xml:space="preserve"> </w:t>
      </w:r>
      <w:r w:rsidRPr="009530BE">
        <w:rPr>
          <w:rFonts w:asciiTheme="majorHAnsi" w:hAnsiTheme="majorHAnsi" w:cstheme="majorHAnsi"/>
          <w:b/>
          <w:lang w:val="lt-LT"/>
        </w:rPr>
        <w:t>TECHNINĖ SPECIFIKACIJA</w:t>
      </w:r>
    </w:p>
    <w:p w14:paraId="7C6869EC" w14:textId="77777777" w:rsidR="005A76BF" w:rsidRPr="009530BE" w:rsidRDefault="005A76BF" w:rsidP="005A76BF">
      <w:pPr>
        <w:spacing w:after="0" w:line="240" w:lineRule="auto"/>
        <w:ind w:left="142"/>
        <w:rPr>
          <w:rFonts w:asciiTheme="majorHAnsi" w:eastAsia="Times New Roman" w:hAnsiTheme="majorHAnsi" w:cstheme="majorHAnsi"/>
          <w:b/>
          <w:lang w:val="lt-LT"/>
        </w:rPr>
      </w:pPr>
    </w:p>
    <w:p w14:paraId="0AC90EC6" w14:textId="77777777" w:rsidR="008328ED" w:rsidRPr="009530BE" w:rsidRDefault="008328ED" w:rsidP="008328ED">
      <w:pPr>
        <w:numPr>
          <w:ilvl w:val="1"/>
          <w:numId w:val="40"/>
        </w:numPr>
        <w:tabs>
          <w:tab w:val="num" w:pos="-3686"/>
          <w:tab w:val="num" w:pos="792"/>
        </w:tabs>
        <w:spacing w:after="0" w:line="240" w:lineRule="auto"/>
        <w:ind w:left="0" w:firstLine="720"/>
        <w:rPr>
          <w:rFonts w:asciiTheme="majorHAnsi" w:eastAsia="Times New Roman" w:hAnsiTheme="majorHAnsi" w:cstheme="majorHAnsi"/>
          <w:b/>
          <w:lang w:val="lt-LT"/>
        </w:rPr>
      </w:pPr>
      <w:bookmarkStart w:id="15" w:name="_Toc279484874"/>
      <w:bookmarkStart w:id="16" w:name="_Toc323206044"/>
      <w:bookmarkStart w:id="17" w:name="_Toc328146447"/>
      <w:bookmarkStart w:id="18" w:name="_Toc357713741"/>
      <w:bookmarkStart w:id="19" w:name="_Toc361689024"/>
      <w:r w:rsidRPr="009530BE">
        <w:rPr>
          <w:rFonts w:asciiTheme="majorHAnsi" w:eastAsia="Times New Roman" w:hAnsiTheme="majorHAnsi" w:cstheme="majorHAnsi"/>
          <w:b/>
          <w:lang w:val="lt-LT"/>
        </w:rPr>
        <w:t>Dokumento paskirtis</w:t>
      </w:r>
      <w:bookmarkEnd w:id="15"/>
      <w:bookmarkEnd w:id="16"/>
      <w:bookmarkEnd w:id="17"/>
      <w:bookmarkEnd w:id="18"/>
      <w:bookmarkEnd w:id="19"/>
    </w:p>
    <w:p w14:paraId="5E487DB9" w14:textId="2ABC536D" w:rsidR="008328ED" w:rsidRPr="009530BE" w:rsidRDefault="008328ED" w:rsidP="008328ED">
      <w:pPr>
        <w:spacing w:after="0"/>
        <w:ind w:firstLine="567"/>
        <w:rPr>
          <w:rFonts w:asciiTheme="majorHAnsi" w:eastAsia="Times New Roman" w:hAnsiTheme="majorHAnsi" w:cstheme="majorHAnsi"/>
          <w:lang w:val="lt-LT"/>
        </w:rPr>
      </w:pPr>
      <w:r w:rsidRPr="009530BE">
        <w:rPr>
          <w:rFonts w:asciiTheme="majorHAnsi" w:eastAsia="Times New Roman" w:hAnsiTheme="majorHAnsi" w:cstheme="majorHAnsi"/>
          <w:lang w:val="lt-LT"/>
        </w:rPr>
        <w:t xml:space="preserve">Dokumentas „Techninė specifikacija“ parengtas siekiant aprašyti ir apibrėžti principus bei reikalavimus, keliamus asmens dokumentų </w:t>
      </w:r>
      <w:r w:rsidR="00824C4D">
        <w:rPr>
          <w:rFonts w:asciiTheme="majorHAnsi" w:eastAsia="Times New Roman" w:hAnsiTheme="majorHAnsi" w:cstheme="majorHAnsi"/>
          <w:lang w:val="lt-LT"/>
        </w:rPr>
        <w:t xml:space="preserve">išdavimo informacinės sistemos </w:t>
      </w:r>
      <w:r w:rsidR="00824C4D" w:rsidRPr="009530BE">
        <w:rPr>
          <w:rFonts w:asciiTheme="majorHAnsi" w:eastAsia="Times New Roman" w:hAnsiTheme="majorHAnsi" w:cstheme="majorHAnsi"/>
          <w:lang w:val="lt-LT"/>
        </w:rPr>
        <w:t>asmens dokumentų</w:t>
      </w:r>
      <w:r w:rsidR="00824C4D">
        <w:rPr>
          <w:rFonts w:asciiTheme="majorHAnsi" w:eastAsia="Times New Roman" w:hAnsiTheme="majorHAnsi" w:cstheme="majorHAnsi"/>
          <w:lang w:val="lt-LT"/>
        </w:rPr>
        <w:t xml:space="preserve"> gamybos</w:t>
      </w:r>
      <w:r w:rsidRPr="009530BE">
        <w:rPr>
          <w:rFonts w:asciiTheme="majorHAnsi" w:eastAsia="Times New Roman" w:hAnsiTheme="majorHAnsi" w:cstheme="majorHAnsi"/>
          <w:lang w:val="lt-LT"/>
        </w:rPr>
        <w:t xml:space="preserve"> posistemio techninės ir programinės įrangos (toliau – įranga) priežiūros įgyvendinimui.</w:t>
      </w:r>
    </w:p>
    <w:p w14:paraId="4C866D65" w14:textId="77777777" w:rsidR="008328ED" w:rsidRPr="009530BE" w:rsidRDefault="008328ED" w:rsidP="008328ED">
      <w:pPr>
        <w:numPr>
          <w:ilvl w:val="1"/>
          <w:numId w:val="40"/>
        </w:numPr>
        <w:tabs>
          <w:tab w:val="num" w:pos="792"/>
        </w:tabs>
        <w:spacing w:after="0" w:line="240" w:lineRule="auto"/>
        <w:ind w:left="0" w:right="-2" w:firstLine="720"/>
        <w:jc w:val="left"/>
        <w:rPr>
          <w:rFonts w:asciiTheme="majorHAnsi" w:eastAsia="Times New Roman" w:hAnsiTheme="majorHAnsi" w:cstheme="majorHAnsi"/>
          <w:b/>
          <w:lang w:val="lt-LT"/>
        </w:rPr>
      </w:pPr>
      <w:bookmarkStart w:id="20" w:name="_Toc279484875"/>
      <w:bookmarkStart w:id="21" w:name="_Toc323206045"/>
      <w:bookmarkStart w:id="22" w:name="_Toc328146448"/>
      <w:bookmarkStart w:id="23" w:name="_Toc357713742"/>
      <w:bookmarkStart w:id="24" w:name="_Toc361689025"/>
      <w:r w:rsidRPr="009530BE">
        <w:rPr>
          <w:rFonts w:asciiTheme="majorHAnsi" w:eastAsia="Times New Roman" w:hAnsiTheme="majorHAnsi" w:cstheme="majorHAnsi"/>
          <w:b/>
          <w:lang w:val="lt-LT"/>
        </w:rPr>
        <w:t>Techninėje specifikacijoje panaudotos sąvokos</w:t>
      </w:r>
      <w:bookmarkEnd w:id="20"/>
      <w:bookmarkEnd w:id="21"/>
      <w:bookmarkEnd w:id="22"/>
      <w:bookmarkEnd w:id="23"/>
      <w:bookmarkEnd w:id="24"/>
    </w:p>
    <w:p w14:paraId="5C1F8D23" w14:textId="77777777" w:rsidR="008328ED" w:rsidRPr="009530BE" w:rsidRDefault="008328ED" w:rsidP="00AF31B2">
      <w:pPr>
        <w:spacing w:after="0"/>
        <w:ind w:left="284" w:right="-2" w:firstLine="284"/>
        <w:rPr>
          <w:rFonts w:asciiTheme="majorHAnsi" w:eastAsia="Times New Roman" w:hAnsiTheme="majorHAnsi" w:cstheme="majorHAnsi"/>
          <w:lang w:val="lt-LT"/>
        </w:rPr>
      </w:pPr>
      <w:r w:rsidRPr="009530BE">
        <w:rPr>
          <w:rFonts w:asciiTheme="majorHAnsi" w:eastAsia="Times New Roman" w:hAnsiTheme="majorHAnsi" w:cstheme="majorHAnsi"/>
          <w:lang w:val="lt-LT"/>
        </w:rPr>
        <w:t>Apačioje esančioje lentelėje pateiktos Techninėje specifikacijoje panaudotos sąvokos ir trumpiniai:</w:t>
      </w:r>
    </w:p>
    <w:tbl>
      <w:tblPr>
        <w:tblpPr w:leftFromText="180" w:rightFromText="180" w:bottomFromText="160" w:vertAnchor="text" w:horzAnchor="margin" w:tblpY="103"/>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8638"/>
      </w:tblGrid>
      <w:tr w:rsidR="008328ED" w:rsidRPr="009530BE" w14:paraId="7D52508B" w14:textId="77777777" w:rsidTr="008328ED">
        <w:trPr>
          <w:cantSplit/>
          <w:trHeight w:val="381"/>
          <w:tblHeader/>
        </w:trPr>
        <w:tc>
          <w:tcPr>
            <w:tcW w:w="76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766290" w14:textId="77777777" w:rsidR="008328ED" w:rsidRPr="009530BE" w:rsidRDefault="008328ED" w:rsidP="008328ED">
            <w:pPr>
              <w:spacing w:after="0" w:line="254" w:lineRule="auto"/>
              <w:rPr>
                <w:rFonts w:asciiTheme="majorHAnsi" w:eastAsia="Calibri" w:hAnsiTheme="majorHAnsi" w:cstheme="majorHAnsi"/>
                <w:b/>
                <w:lang w:val="lt-LT"/>
              </w:rPr>
            </w:pPr>
            <w:r w:rsidRPr="009530BE">
              <w:rPr>
                <w:rFonts w:asciiTheme="majorHAnsi" w:eastAsia="Calibri" w:hAnsiTheme="majorHAnsi" w:cstheme="majorHAnsi"/>
                <w:b/>
                <w:lang w:val="lt-LT"/>
              </w:rPr>
              <w:br w:type="page"/>
              <w:t>Sąvokos ir trumpiniai</w:t>
            </w:r>
          </w:p>
        </w:tc>
        <w:tc>
          <w:tcPr>
            <w:tcW w:w="42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B008E6" w14:textId="77777777" w:rsidR="008328ED" w:rsidRPr="009530BE" w:rsidRDefault="008328ED" w:rsidP="008328ED">
            <w:pPr>
              <w:spacing w:after="0" w:line="254" w:lineRule="auto"/>
              <w:ind w:firstLine="720"/>
              <w:jc w:val="center"/>
              <w:rPr>
                <w:rFonts w:asciiTheme="majorHAnsi" w:eastAsia="Calibri" w:hAnsiTheme="majorHAnsi" w:cstheme="majorHAnsi"/>
                <w:b/>
                <w:lang w:val="lt-LT"/>
              </w:rPr>
            </w:pPr>
            <w:r w:rsidRPr="009530BE">
              <w:rPr>
                <w:rFonts w:asciiTheme="majorHAnsi" w:eastAsia="Calibri" w:hAnsiTheme="majorHAnsi" w:cstheme="majorHAnsi"/>
                <w:b/>
                <w:lang w:val="lt-LT"/>
              </w:rPr>
              <w:t>Paaiškinimas</w:t>
            </w:r>
          </w:p>
        </w:tc>
      </w:tr>
      <w:tr w:rsidR="008328ED" w:rsidRPr="009530BE" w14:paraId="0AFDF11A" w14:textId="77777777" w:rsidTr="008A1D4E">
        <w:trPr>
          <w:cantSplit/>
          <w:trHeight w:val="381"/>
        </w:trPr>
        <w:tc>
          <w:tcPr>
            <w:tcW w:w="763" w:type="pct"/>
            <w:tcBorders>
              <w:top w:val="single" w:sz="4" w:space="0" w:color="auto"/>
              <w:left w:val="single" w:sz="4" w:space="0" w:color="auto"/>
              <w:bottom w:val="single" w:sz="4" w:space="0" w:color="auto"/>
              <w:right w:val="single" w:sz="4" w:space="0" w:color="auto"/>
            </w:tcBorders>
            <w:vAlign w:val="center"/>
            <w:hideMark/>
          </w:tcPr>
          <w:p w14:paraId="59E8E166" w14:textId="77777777" w:rsidR="008328ED" w:rsidRPr="009530BE" w:rsidRDefault="008328ED" w:rsidP="008328ED">
            <w:pPr>
              <w:spacing w:after="0" w:line="254" w:lineRule="auto"/>
              <w:jc w:val="left"/>
              <w:rPr>
                <w:rFonts w:asciiTheme="majorHAnsi" w:eastAsia="Calibri" w:hAnsiTheme="majorHAnsi" w:cstheme="majorHAnsi"/>
                <w:lang w:val="lt-LT"/>
              </w:rPr>
            </w:pPr>
            <w:r w:rsidRPr="009530BE">
              <w:rPr>
                <w:rFonts w:asciiTheme="majorHAnsi" w:eastAsia="Calibri" w:hAnsiTheme="majorHAnsi" w:cstheme="majorHAnsi"/>
                <w:lang w:val="lt-LT"/>
              </w:rPr>
              <w:t>Perkančioji organizacija, Klientas ADIC</w:t>
            </w:r>
          </w:p>
        </w:tc>
        <w:tc>
          <w:tcPr>
            <w:tcW w:w="4237" w:type="pct"/>
            <w:tcBorders>
              <w:top w:val="single" w:sz="4" w:space="0" w:color="auto"/>
              <w:left w:val="single" w:sz="4" w:space="0" w:color="auto"/>
              <w:bottom w:val="single" w:sz="4" w:space="0" w:color="auto"/>
              <w:right w:val="single" w:sz="4" w:space="0" w:color="auto"/>
            </w:tcBorders>
            <w:vAlign w:val="center"/>
            <w:hideMark/>
          </w:tcPr>
          <w:p w14:paraId="561BFE77" w14:textId="611B80FB" w:rsidR="008328ED" w:rsidRPr="009530BE" w:rsidRDefault="00824C4D" w:rsidP="008328ED">
            <w:pPr>
              <w:spacing w:after="0" w:line="254" w:lineRule="auto"/>
              <w:jc w:val="left"/>
              <w:rPr>
                <w:rFonts w:asciiTheme="majorHAnsi" w:eastAsia="Calibri" w:hAnsiTheme="majorHAnsi" w:cstheme="majorHAnsi"/>
                <w:lang w:val="lt-LT"/>
              </w:rPr>
            </w:pPr>
            <w:r>
              <w:rPr>
                <w:rFonts w:asciiTheme="majorHAnsi" w:eastAsia="Calibri" w:hAnsiTheme="majorHAnsi" w:cstheme="majorHAnsi"/>
                <w:lang w:val="lt-LT"/>
              </w:rPr>
              <w:t>Migracijos d</w:t>
            </w:r>
            <w:r w:rsidR="00E205E0">
              <w:rPr>
                <w:rFonts w:asciiTheme="majorHAnsi" w:eastAsia="Calibri" w:hAnsiTheme="majorHAnsi" w:cstheme="majorHAnsi"/>
                <w:lang w:val="lt-LT"/>
              </w:rPr>
              <w:t>e</w:t>
            </w:r>
            <w:r>
              <w:rPr>
                <w:rFonts w:asciiTheme="majorHAnsi" w:eastAsia="Calibri" w:hAnsiTheme="majorHAnsi" w:cstheme="majorHAnsi"/>
                <w:lang w:val="lt-LT"/>
              </w:rPr>
              <w:t>partamentas</w:t>
            </w:r>
            <w:r w:rsidR="008328ED" w:rsidRPr="009530BE">
              <w:rPr>
                <w:rFonts w:asciiTheme="majorHAnsi" w:eastAsia="Calibri" w:hAnsiTheme="majorHAnsi" w:cstheme="majorHAnsi"/>
                <w:lang w:val="lt-LT"/>
              </w:rPr>
              <w:t xml:space="preserve"> prie Lietuvos Respublikos vidaus reikalų ministerijos (angl. </w:t>
            </w:r>
            <w:r>
              <w:rPr>
                <w:rFonts w:asciiTheme="majorHAnsi" w:eastAsia="Calibri" w:hAnsiTheme="majorHAnsi" w:cstheme="majorHAnsi"/>
                <w:lang w:val="lt-LT"/>
              </w:rPr>
              <w:t>Migration Department</w:t>
            </w:r>
            <w:r w:rsidR="008328ED" w:rsidRPr="009530BE">
              <w:rPr>
                <w:rFonts w:asciiTheme="majorHAnsi" w:eastAsia="Calibri" w:hAnsiTheme="majorHAnsi" w:cstheme="majorHAnsi"/>
                <w:lang w:val="lt-LT"/>
              </w:rPr>
              <w:t xml:space="preserve"> under the Ministry of the Interior)</w:t>
            </w:r>
          </w:p>
        </w:tc>
      </w:tr>
      <w:tr w:rsidR="008328ED" w:rsidRPr="009530BE" w14:paraId="1BA27A35" w14:textId="77777777" w:rsidTr="008A1D4E">
        <w:trPr>
          <w:cantSplit/>
          <w:trHeight w:val="381"/>
        </w:trPr>
        <w:tc>
          <w:tcPr>
            <w:tcW w:w="763" w:type="pct"/>
            <w:tcBorders>
              <w:top w:val="single" w:sz="4" w:space="0" w:color="auto"/>
              <w:left w:val="single" w:sz="4" w:space="0" w:color="auto"/>
              <w:bottom w:val="single" w:sz="4" w:space="0" w:color="auto"/>
              <w:right w:val="single" w:sz="4" w:space="0" w:color="auto"/>
            </w:tcBorders>
            <w:vAlign w:val="center"/>
            <w:hideMark/>
          </w:tcPr>
          <w:p w14:paraId="4B172C11" w14:textId="77777777" w:rsidR="008328ED" w:rsidRPr="009530BE" w:rsidRDefault="008328ED" w:rsidP="008328ED">
            <w:pPr>
              <w:spacing w:after="0" w:line="254" w:lineRule="auto"/>
              <w:jc w:val="left"/>
              <w:rPr>
                <w:rFonts w:asciiTheme="majorHAnsi" w:eastAsia="Calibri" w:hAnsiTheme="majorHAnsi" w:cstheme="majorHAnsi"/>
                <w:lang w:val="lt-LT"/>
              </w:rPr>
            </w:pPr>
            <w:r w:rsidRPr="009530BE">
              <w:rPr>
                <w:rFonts w:asciiTheme="majorHAnsi" w:eastAsia="Calibri" w:hAnsiTheme="majorHAnsi" w:cstheme="majorHAnsi"/>
                <w:lang w:val="lt-LT"/>
              </w:rPr>
              <w:t>Paslaugų teikėjas</w:t>
            </w:r>
          </w:p>
        </w:tc>
        <w:tc>
          <w:tcPr>
            <w:tcW w:w="4237" w:type="pct"/>
            <w:tcBorders>
              <w:top w:val="single" w:sz="4" w:space="0" w:color="auto"/>
              <w:left w:val="single" w:sz="4" w:space="0" w:color="auto"/>
              <w:bottom w:val="single" w:sz="4" w:space="0" w:color="auto"/>
              <w:right w:val="single" w:sz="4" w:space="0" w:color="auto"/>
            </w:tcBorders>
            <w:vAlign w:val="center"/>
            <w:hideMark/>
          </w:tcPr>
          <w:p w14:paraId="530255CD" w14:textId="77777777" w:rsidR="008328ED" w:rsidRPr="009530BE" w:rsidRDefault="008328ED" w:rsidP="008328ED">
            <w:pPr>
              <w:spacing w:after="0" w:line="254" w:lineRule="auto"/>
              <w:jc w:val="left"/>
              <w:rPr>
                <w:rFonts w:asciiTheme="majorHAnsi" w:eastAsia="Calibri" w:hAnsiTheme="majorHAnsi" w:cstheme="majorHAnsi"/>
                <w:lang w:val="lt-LT"/>
              </w:rPr>
            </w:pPr>
            <w:r w:rsidRPr="009530BE">
              <w:rPr>
                <w:rFonts w:asciiTheme="majorHAnsi" w:eastAsia="Calibri" w:hAnsiTheme="majorHAnsi" w:cstheme="majorHAnsi"/>
                <w:lang w:val="lt-LT"/>
              </w:rPr>
              <w:t>Fizinis arba juridinis asmuo, kuris įgyvendina šios specifikacijos reikalavimus</w:t>
            </w:r>
          </w:p>
        </w:tc>
      </w:tr>
      <w:tr w:rsidR="008328ED" w:rsidRPr="009530BE" w14:paraId="44CCCED1"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433709D6" w14:textId="77777777" w:rsidR="008328ED" w:rsidRPr="009530BE" w:rsidRDefault="008328ED" w:rsidP="008328ED">
            <w:pPr>
              <w:spacing w:after="0" w:line="240" w:lineRule="auto"/>
              <w:rPr>
                <w:rFonts w:asciiTheme="majorHAnsi" w:eastAsia="Times New Roman" w:hAnsiTheme="majorHAnsi" w:cstheme="majorHAnsi"/>
                <w:bCs/>
                <w:lang w:val="lt-LT"/>
              </w:rPr>
            </w:pPr>
            <w:r w:rsidRPr="009530BE">
              <w:rPr>
                <w:rFonts w:asciiTheme="majorHAnsi" w:eastAsia="Times New Roman" w:hAnsiTheme="majorHAnsi" w:cstheme="majorHAnsi"/>
                <w:lang w:val="lt-LT"/>
              </w:rPr>
              <w:t>ADIS</w:t>
            </w:r>
          </w:p>
        </w:tc>
        <w:tc>
          <w:tcPr>
            <w:tcW w:w="4237" w:type="pct"/>
            <w:tcBorders>
              <w:top w:val="single" w:sz="4" w:space="0" w:color="auto"/>
              <w:left w:val="single" w:sz="4" w:space="0" w:color="auto"/>
              <w:bottom w:val="single" w:sz="4" w:space="0" w:color="auto"/>
              <w:right w:val="single" w:sz="4" w:space="0" w:color="auto"/>
            </w:tcBorders>
            <w:hideMark/>
          </w:tcPr>
          <w:p w14:paraId="318134A1"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Asmens dokumentų išdavimo informacinė sistema</w:t>
            </w:r>
          </w:p>
        </w:tc>
      </w:tr>
      <w:tr w:rsidR="008328ED" w:rsidRPr="009530BE" w14:paraId="40665945"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002708F6"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ADGP</w:t>
            </w:r>
          </w:p>
        </w:tc>
        <w:tc>
          <w:tcPr>
            <w:tcW w:w="4237" w:type="pct"/>
            <w:tcBorders>
              <w:top w:val="single" w:sz="4" w:space="0" w:color="auto"/>
              <w:left w:val="single" w:sz="4" w:space="0" w:color="auto"/>
              <w:bottom w:val="single" w:sz="4" w:space="0" w:color="auto"/>
              <w:right w:val="single" w:sz="4" w:space="0" w:color="auto"/>
            </w:tcBorders>
            <w:hideMark/>
          </w:tcPr>
          <w:p w14:paraId="748F8175"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Asmens dokumentų išdavimo informacinės sistemos asmens dokumentų gamybos posistemis</w:t>
            </w:r>
          </w:p>
        </w:tc>
      </w:tr>
      <w:tr w:rsidR="008328ED" w:rsidRPr="009530BE" w14:paraId="676B735F"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317B865B"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BDPS</w:t>
            </w:r>
          </w:p>
        </w:tc>
        <w:tc>
          <w:tcPr>
            <w:tcW w:w="4237" w:type="pct"/>
            <w:tcBorders>
              <w:top w:val="single" w:sz="4" w:space="0" w:color="auto"/>
              <w:left w:val="single" w:sz="4" w:space="0" w:color="auto"/>
              <w:bottom w:val="single" w:sz="4" w:space="0" w:color="auto"/>
              <w:right w:val="single" w:sz="4" w:space="0" w:color="auto"/>
            </w:tcBorders>
            <w:hideMark/>
          </w:tcPr>
          <w:p w14:paraId="6ADE262D"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Biometrinių dokumentų personalizavimo posistemis</w:t>
            </w:r>
          </w:p>
        </w:tc>
      </w:tr>
      <w:tr w:rsidR="008328ED" w:rsidRPr="009530BE" w14:paraId="6F69481D"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2035FA6D"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CVCA</w:t>
            </w:r>
          </w:p>
        </w:tc>
        <w:tc>
          <w:tcPr>
            <w:tcW w:w="4237" w:type="pct"/>
            <w:tcBorders>
              <w:top w:val="single" w:sz="4" w:space="0" w:color="auto"/>
              <w:left w:val="single" w:sz="4" w:space="0" w:color="auto"/>
              <w:bottom w:val="single" w:sz="4" w:space="0" w:color="auto"/>
              <w:right w:val="single" w:sz="4" w:space="0" w:color="auto"/>
            </w:tcBorders>
            <w:hideMark/>
          </w:tcPr>
          <w:p w14:paraId="51D4E530"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Šalies patikros sertifikavimo įstaiga (angl. Country Verifying Certificate Authority)</w:t>
            </w:r>
          </w:p>
        </w:tc>
      </w:tr>
      <w:tr w:rsidR="008328ED" w:rsidRPr="009530BE" w14:paraId="45F16106"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tcPr>
          <w:p w14:paraId="35006D08"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MIGRIS</w:t>
            </w:r>
          </w:p>
        </w:tc>
        <w:tc>
          <w:tcPr>
            <w:tcW w:w="4237" w:type="pct"/>
            <w:tcBorders>
              <w:top w:val="single" w:sz="4" w:space="0" w:color="auto"/>
              <w:left w:val="single" w:sz="4" w:space="0" w:color="auto"/>
              <w:bottom w:val="single" w:sz="4" w:space="0" w:color="auto"/>
              <w:right w:val="single" w:sz="4" w:space="0" w:color="auto"/>
            </w:tcBorders>
          </w:tcPr>
          <w:p w14:paraId="6C63A658"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Lietuvos migracijos informacinė sistema</w:t>
            </w:r>
          </w:p>
        </w:tc>
      </w:tr>
      <w:tr w:rsidR="008328ED" w:rsidRPr="009530BE" w14:paraId="4652075D"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5824021D"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CSCA</w:t>
            </w:r>
          </w:p>
        </w:tc>
        <w:tc>
          <w:tcPr>
            <w:tcW w:w="4237" w:type="pct"/>
            <w:tcBorders>
              <w:top w:val="single" w:sz="4" w:space="0" w:color="auto"/>
              <w:left w:val="single" w:sz="4" w:space="0" w:color="auto"/>
              <w:bottom w:val="single" w:sz="4" w:space="0" w:color="auto"/>
              <w:right w:val="single" w:sz="4" w:space="0" w:color="auto"/>
            </w:tcBorders>
            <w:hideMark/>
          </w:tcPr>
          <w:p w14:paraId="7871F1B1"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Pagrindinė šalies sertifikavimo įstaiga (angl. Country Signing Certificate Authority)</w:t>
            </w:r>
          </w:p>
        </w:tc>
      </w:tr>
      <w:tr w:rsidR="008328ED" w:rsidRPr="009530BE" w14:paraId="4C530E29"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53F1628F"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DVCA</w:t>
            </w:r>
          </w:p>
        </w:tc>
        <w:tc>
          <w:tcPr>
            <w:tcW w:w="4237" w:type="pct"/>
            <w:tcBorders>
              <w:top w:val="single" w:sz="4" w:space="0" w:color="auto"/>
              <w:left w:val="single" w:sz="4" w:space="0" w:color="auto"/>
              <w:bottom w:val="single" w:sz="4" w:space="0" w:color="auto"/>
              <w:right w:val="single" w:sz="4" w:space="0" w:color="auto"/>
            </w:tcBorders>
            <w:hideMark/>
          </w:tcPr>
          <w:p w14:paraId="6E5EF7BD"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 xml:space="preserve">Dokumentų patikros sertifikavimo įstaiga (angl. </w:t>
            </w:r>
            <w:r w:rsidRPr="009530BE">
              <w:rPr>
                <w:rFonts w:asciiTheme="majorHAnsi" w:eastAsia="Times New Roman" w:hAnsiTheme="majorHAnsi" w:cstheme="majorHAnsi"/>
                <w:lang w:val="lt-LT" w:bidi="he-IL"/>
              </w:rPr>
              <w:t>Document Verifier)</w:t>
            </w:r>
          </w:p>
        </w:tc>
      </w:tr>
      <w:tr w:rsidR="008328ED" w:rsidRPr="009530BE" w14:paraId="7B3FD39D"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29532884"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DS</w:t>
            </w:r>
          </w:p>
        </w:tc>
        <w:tc>
          <w:tcPr>
            <w:tcW w:w="4237" w:type="pct"/>
            <w:tcBorders>
              <w:top w:val="single" w:sz="4" w:space="0" w:color="auto"/>
              <w:left w:val="single" w:sz="4" w:space="0" w:color="auto"/>
              <w:bottom w:val="single" w:sz="4" w:space="0" w:color="auto"/>
              <w:right w:val="single" w:sz="4" w:space="0" w:color="auto"/>
            </w:tcBorders>
            <w:hideMark/>
          </w:tcPr>
          <w:p w14:paraId="76461FD3"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Dokumentą pasirašanti įstaiga (Document Signer)</w:t>
            </w:r>
          </w:p>
        </w:tc>
      </w:tr>
      <w:tr w:rsidR="008328ED" w:rsidRPr="009530BE" w14:paraId="0E06801E"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5AA638E0"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CIS</w:t>
            </w:r>
          </w:p>
        </w:tc>
        <w:tc>
          <w:tcPr>
            <w:tcW w:w="4237" w:type="pct"/>
            <w:tcBorders>
              <w:top w:val="single" w:sz="4" w:space="0" w:color="auto"/>
              <w:left w:val="single" w:sz="4" w:space="0" w:color="auto"/>
              <w:bottom w:val="single" w:sz="4" w:space="0" w:color="auto"/>
              <w:right w:val="single" w:sz="4" w:space="0" w:color="auto"/>
            </w:tcBorders>
            <w:hideMark/>
          </w:tcPr>
          <w:p w14:paraId="35E0D98B"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Centrinė dokumentų patikros sistema (angl. Central Inspection System)</w:t>
            </w:r>
          </w:p>
        </w:tc>
      </w:tr>
      <w:tr w:rsidR="008328ED" w:rsidRPr="009530BE" w14:paraId="6CF9838F"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2A6DB17A"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EAC</w:t>
            </w:r>
          </w:p>
        </w:tc>
        <w:tc>
          <w:tcPr>
            <w:tcW w:w="4237" w:type="pct"/>
            <w:tcBorders>
              <w:top w:val="single" w:sz="4" w:space="0" w:color="auto"/>
              <w:left w:val="single" w:sz="4" w:space="0" w:color="auto"/>
              <w:bottom w:val="single" w:sz="4" w:space="0" w:color="auto"/>
              <w:right w:val="single" w:sz="4" w:space="0" w:color="auto"/>
            </w:tcBorders>
            <w:hideMark/>
          </w:tcPr>
          <w:p w14:paraId="4D3E6019"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Išplėstinė prieigos kontrolė (angl. Extended Access Control)</w:t>
            </w:r>
          </w:p>
        </w:tc>
      </w:tr>
      <w:tr w:rsidR="008328ED" w:rsidRPr="009530BE" w14:paraId="6C5D7500"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3B38F50B"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MRZ</w:t>
            </w:r>
          </w:p>
        </w:tc>
        <w:tc>
          <w:tcPr>
            <w:tcW w:w="4237" w:type="pct"/>
            <w:tcBorders>
              <w:top w:val="single" w:sz="4" w:space="0" w:color="auto"/>
              <w:left w:val="single" w:sz="4" w:space="0" w:color="auto"/>
              <w:bottom w:val="single" w:sz="4" w:space="0" w:color="auto"/>
              <w:right w:val="single" w:sz="4" w:space="0" w:color="auto"/>
            </w:tcBorders>
            <w:hideMark/>
          </w:tcPr>
          <w:p w14:paraId="131D76A6"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Mašininio nuskaitymo zona (angl. Machine Readable Zone</w:t>
            </w:r>
          </w:p>
        </w:tc>
      </w:tr>
      <w:tr w:rsidR="008328ED" w:rsidRPr="009530BE" w14:paraId="2A910D19"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585E71C4"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PA</w:t>
            </w:r>
          </w:p>
        </w:tc>
        <w:tc>
          <w:tcPr>
            <w:tcW w:w="4237" w:type="pct"/>
            <w:tcBorders>
              <w:top w:val="single" w:sz="4" w:space="0" w:color="auto"/>
              <w:left w:val="single" w:sz="4" w:space="0" w:color="auto"/>
              <w:bottom w:val="single" w:sz="4" w:space="0" w:color="auto"/>
              <w:right w:val="single" w:sz="4" w:space="0" w:color="auto"/>
            </w:tcBorders>
            <w:hideMark/>
          </w:tcPr>
          <w:p w14:paraId="3A3F5447"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Pasyvinis atpažinimas (angl. Passive Authentication)</w:t>
            </w:r>
          </w:p>
        </w:tc>
      </w:tr>
      <w:tr w:rsidR="008328ED" w:rsidRPr="009530BE" w14:paraId="5D6AC2C9" w14:textId="77777777" w:rsidTr="008A1D4E">
        <w:trPr>
          <w:cantSplit/>
          <w:trHeight w:val="64"/>
        </w:trPr>
        <w:tc>
          <w:tcPr>
            <w:tcW w:w="763" w:type="pct"/>
            <w:tcBorders>
              <w:top w:val="single" w:sz="4" w:space="0" w:color="auto"/>
              <w:left w:val="single" w:sz="4" w:space="0" w:color="auto"/>
              <w:bottom w:val="single" w:sz="4" w:space="0" w:color="auto"/>
              <w:right w:val="single" w:sz="4" w:space="0" w:color="auto"/>
            </w:tcBorders>
            <w:hideMark/>
          </w:tcPr>
          <w:p w14:paraId="19B041BD"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PKI</w:t>
            </w:r>
          </w:p>
        </w:tc>
        <w:tc>
          <w:tcPr>
            <w:tcW w:w="4237" w:type="pct"/>
            <w:tcBorders>
              <w:top w:val="single" w:sz="4" w:space="0" w:color="auto"/>
              <w:left w:val="single" w:sz="4" w:space="0" w:color="auto"/>
              <w:bottom w:val="single" w:sz="4" w:space="0" w:color="auto"/>
              <w:right w:val="single" w:sz="4" w:space="0" w:color="auto"/>
            </w:tcBorders>
            <w:hideMark/>
          </w:tcPr>
          <w:p w14:paraId="19D6B858"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 xml:space="preserve">Viešojo rakto infrastruktūra (angl. Public Key Infrastucture) apimanti CSCA, DS, CVCA, DVCA, CIS. </w:t>
            </w:r>
          </w:p>
        </w:tc>
      </w:tr>
      <w:tr w:rsidR="008328ED" w:rsidRPr="009530BE" w14:paraId="25E0A8B3" w14:textId="77777777" w:rsidTr="008A1D4E">
        <w:trPr>
          <w:cantSplit/>
          <w:trHeight w:val="346"/>
        </w:trPr>
        <w:tc>
          <w:tcPr>
            <w:tcW w:w="763" w:type="pct"/>
            <w:tcBorders>
              <w:top w:val="single" w:sz="4" w:space="0" w:color="auto"/>
              <w:left w:val="single" w:sz="4" w:space="0" w:color="auto"/>
              <w:bottom w:val="single" w:sz="4" w:space="0" w:color="auto"/>
              <w:right w:val="single" w:sz="4" w:space="0" w:color="auto"/>
            </w:tcBorders>
            <w:hideMark/>
          </w:tcPr>
          <w:p w14:paraId="63BF8969"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ICAO</w:t>
            </w:r>
          </w:p>
        </w:tc>
        <w:tc>
          <w:tcPr>
            <w:tcW w:w="4237" w:type="pct"/>
            <w:tcBorders>
              <w:top w:val="single" w:sz="4" w:space="0" w:color="auto"/>
              <w:left w:val="single" w:sz="4" w:space="0" w:color="auto"/>
              <w:bottom w:val="single" w:sz="4" w:space="0" w:color="auto"/>
              <w:right w:val="single" w:sz="4" w:space="0" w:color="auto"/>
            </w:tcBorders>
            <w:hideMark/>
          </w:tcPr>
          <w:p w14:paraId="46076CAB" w14:textId="77777777" w:rsidR="008328ED" w:rsidRPr="009530BE" w:rsidRDefault="008328ED" w:rsidP="008328ED">
            <w:pPr>
              <w:spacing w:after="0" w:line="240" w:lineRule="auto"/>
              <w:rPr>
                <w:rFonts w:asciiTheme="majorHAnsi" w:eastAsia="Times New Roman" w:hAnsiTheme="majorHAnsi" w:cstheme="majorHAnsi"/>
                <w:lang w:val="lt-LT"/>
              </w:rPr>
            </w:pPr>
            <w:r w:rsidRPr="009530BE">
              <w:rPr>
                <w:rFonts w:asciiTheme="majorHAnsi" w:eastAsia="Times New Roman" w:hAnsiTheme="majorHAnsi" w:cstheme="majorHAnsi"/>
                <w:lang w:val="lt-LT"/>
              </w:rPr>
              <w:t>Tarptautinė civilinės aviacijos organizacija (angl. International Civil Aviation Organisation)</w:t>
            </w:r>
          </w:p>
        </w:tc>
      </w:tr>
    </w:tbl>
    <w:p w14:paraId="4B74D260" w14:textId="77777777" w:rsidR="008328ED" w:rsidRPr="009530BE" w:rsidRDefault="008328ED" w:rsidP="008328ED">
      <w:pPr>
        <w:numPr>
          <w:ilvl w:val="1"/>
          <w:numId w:val="40"/>
        </w:numPr>
        <w:tabs>
          <w:tab w:val="num" w:pos="-3686"/>
          <w:tab w:val="num" w:pos="792"/>
        </w:tabs>
        <w:spacing w:after="0" w:line="240" w:lineRule="auto"/>
        <w:ind w:left="0" w:firstLine="720"/>
        <w:rPr>
          <w:rFonts w:asciiTheme="majorHAnsi" w:eastAsia="Times New Roman" w:hAnsiTheme="majorHAnsi" w:cstheme="majorHAnsi"/>
          <w:b/>
          <w:lang w:val="lt-LT"/>
        </w:rPr>
      </w:pPr>
      <w:r w:rsidRPr="009530BE">
        <w:rPr>
          <w:rFonts w:asciiTheme="majorHAnsi" w:eastAsia="Times New Roman" w:hAnsiTheme="majorHAnsi" w:cstheme="majorHAnsi"/>
          <w:b/>
          <w:lang w:val="lt-LT"/>
        </w:rPr>
        <w:t>Perkančioji organizacija</w:t>
      </w:r>
    </w:p>
    <w:p w14:paraId="2A89EE39" w14:textId="4B6EB409" w:rsidR="008328ED" w:rsidRPr="009530BE" w:rsidRDefault="008328ED" w:rsidP="00ED0DC5">
      <w:pPr>
        <w:tabs>
          <w:tab w:val="left" w:pos="270"/>
          <w:tab w:val="left" w:pos="709"/>
          <w:tab w:val="left" w:pos="1134"/>
        </w:tabs>
        <w:spacing w:after="0"/>
        <w:rPr>
          <w:rFonts w:asciiTheme="majorHAnsi" w:eastAsia="Times New Roman" w:hAnsiTheme="majorHAnsi" w:cstheme="majorHAnsi"/>
          <w:lang w:val="lt-LT"/>
        </w:rPr>
      </w:pPr>
      <w:r w:rsidRPr="009530BE">
        <w:rPr>
          <w:rFonts w:asciiTheme="majorHAnsi" w:eastAsia="Times New Roman" w:hAnsiTheme="majorHAnsi" w:cstheme="majorHAnsi"/>
          <w:lang w:val="lt-LT"/>
        </w:rPr>
        <w:tab/>
      </w:r>
      <w:r w:rsidR="00ED0DC5" w:rsidRPr="009530BE">
        <w:rPr>
          <w:rFonts w:asciiTheme="majorHAnsi" w:eastAsia="Times New Roman" w:hAnsiTheme="majorHAnsi" w:cstheme="majorHAnsi"/>
          <w:lang w:val="lt-LT"/>
        </w:rPr>
        <w:tab/>
      </w:r>
      <w:r w:rsidRPr="009530BE">
        <w:rPr>
          <w:rFonts w:asciiTheme="majorHAnsi" w:eastAsia="Times New Roman" w:hAnsiTheme="majorHAnsi" w:cstheme="majorHAnsi"/>
          <w:lang w:val="lt-LT"/>
        </w:rPr>
        <w:t xml:space="preserve">Perkančioji organizacija – </w:t>
      </w:r>
      <w:r w:rsidR="009530BE" w:rsidRPr="009530BE">
        <w:rPr>
          <w:rFonts w:asciiTheme="majorHAnsi" w:eastAsia="Times New Roman" w:hAnsiTheme="majorHAnsi" w:cstheme="majorHAnsi"/>
          <w:lang w:val="lt-LT"/>
        </w:rPr>
        <w:t>Migracijos departamentas</w:t>
      </w:r>
      <w:r w:rsidRPr="009530BE">
        <w:rPr>
          <w:rFonts w:asciiTheme="majorHAnsi" w:eastAsia="Times New Roman" w:hAnsiTheme="majorHAnsi" w:cstheme="majorHAnsi"/>
          <w:lang w:val="lt-LT"/>
        </w:rPr>
        <w:t xml:space="preserve"> prie Lietuvos Respublikos vidaus reikalų ministerijos (toliau – Perkančioji organizacija arba </w:t>
      </w:r>
      <w:r w:rsidR="009530BE" w:rsidRPr="009530BE">
        <w:rPr>
          <w:rFonts w:asciiTheme="majorHAnsi" w:eastAsia="Times New Roman" w:hAnsiTheme="majorHAnsi" w:cstheme="majorHAnsi"/>
          <w:lang w:val="lt-LT"/>
        </w:rPr>
        <w:t>Migracijos departamentas</w:t>
      </w:r>
      <w:r w:rsidRPr="009530BE">
        <w:rPr>
          <w:rFonts w:asciiTheme="majorHAnsi" w:eastAsia="Times New Roman" w:hAnsiTheme="majorHAnsi" w:cstheme="majorHAnsi"/>
          <w:lang w:val="lt-LT"/>
        </w:rPr>
        <w:t xml:space="preserve">), </w:t>
      </w:r>
      <w:r w:rsidR="00824C4D">
        <w:rPr>
          <w:rFonts w:asciiTheme="majorHAnsi" w:eastAsia="Times New Roman" w:hAnsiTheme="majorHAnsi" w:cstheme="majorHAnsi"/>
          <w:lang w:val="lt-LT"/>
        </w:rPr>
        <w:t>j</w:t>
      </w:r>
      <w:r w:rsidRPr="009530BE">
        <w:rPr>
          <w:rFonts w:asciiTheme="majorHAnsi" w:eastAsia="Times New Roman" w:hAnsiTheme="majorHAnsi" w:cstheme="majorHAnsi"/>
          <w:lang w:val="lt-LT"/>
        </w:rPr>
        <w:t xml:space="preserve">uridinio asmens kodas </w:t>
      </w:r>
      <w:r w:rsidR="009530BE" w:rsidRPr="009530BE">
        <w:rPr>
          <w:rFonts w:asciiTheme="majorHAnsi" w:eastAsia="Times New Roman" w:hAnsiTheme="majorHAnsi" w:cstheme="majorHAnsi"/>
          <w:lang w:val="lt-LT"/>
        </w:rPr>
        <w:t>188610666</w:t>
      </w:r>
      <w:r w:rsidRPr="009530BE">
        <w:rPr>
          <w:rFonts w:asciiTheme="majorHAnsi" w:eastAsia="Times New Roman" w:hAnsiTheme="majorHAnsi" w:cstheme="majorHAnsi"/>
          <w:lang w:val="lt-LT"/>
        </w:rPr>
        <w:t xml:space="preserve">, adresas − </w:t>
      </w:r>
      <w:r w:rsidR="009530BE" w:rsidRPr="009530BE">
        <w:rPr>
          <w:rFonts w:asciiTheme="majorHAnsi" w:eastAsia="Times New Roman" w:hAnsiTheme="majorHAnsi" w:cstheme="majorHAnsi"/>
          <w:lang w:val="lt-LT"/>
        </w:rPr>
        <w:t>L. Sapiegos g. 1, 10312 Vilnius</w:t>
      </w:r>
      <w:r w:rsidRPr="009530BE">
        <w:rPr>
          <w:rFonts w:asciiTheme="majorHAnsi" w:eastAsia="Times New Roman" w:hAnsiTheme="majorHAnsi" w:cstheme="majorHAnsi"/>
          <w:lang w:val="lt-LT"/>
        </w:rPr>
        <w:t xml:space="preserve">, telefonas </w:t>
      </w:r>
      <w:hyperlink r:id="rId11" w:history="1">
        <w:r w:rsidR="009530BE" w:rsidRPr="009530BE">
          <w:rPr>
            <w:rFonts w:asciiTheme="majorHAnsi" w:eastAsia="Times New Roman" w:hAnsiTheme="majorHAnsi" w:cstheme="majorHAnsi"/>
            <w:lang w:val="lt-LT"/>
          </w:rPr>
          <w:t>+370 707 67000</w:t>
        </w:r>
      </w:hyperlink>
      <w:r w:rsidRPr="009530BE">
        <w:rPr>
          <w:rFonts w:asciiTheme="majorHAnsi" w:eastAsia="Times New Roman" w:hAnsiTheme="majorHAnsi" w:cstheme="majorHAnsi"/>
          <w:lang w:val="lt-LT"/>
        </w:rPr>
        <w:t xml:space="preserve">, elektroninio pašto adresas </w:t>
      </w:r>
      <w:r w:rsidR="009530BE" w:rsidRPr="009530BE">
        <w:rPr>
          <w:rFonts w:asciiTheme="majorHAnsi" w:eastAsia="Times New Roman" w:hAnsiTheme="majorHAnsi" w:cstheme="majorHAnsi"/>
          <w:lang w:val="lt-LT"/>
        </w:rPr>
        <w:t>info</w:t>
      </w:r>
      <w:r w:rsidRPr="009530BE">
        <w:rPr>
          <w:rFonts w:asciiTheme="majorHAnsi" w:eastAsia="Times New Roman" w:hAnsiTheme="majorHAnsi" w:cstheme="majorHAnsi"/>
          <w:lang w:val="lt-LT"/>
        </w:rPr>
        <w:t>@</w:t>
      </w:r>
      <w:r w:rsidR="009530BE" w:rsidRPr="009530BE">
        <w:rPr>
          <w:rFonts w:asciiTheme="majorHAnsi" w:eastAsia="Times New Roman" w:hAnsiTheme="majorHAnsi" w:cstheme="majorHAnsi"/>
          <w:lang w:val="lt-LT"/>
        </w:rPr>
        <w:t>migracija.</w:t>
      </w:r>
      <w:r w:rsidRPr="009530BE">
        <w:rPr>
          <w:rFonts w:asciiTheme="majorHAnsi" w:eastAsia="Times New Roman" w:hAnsiTheme="majorHAnsi" w:cstheme="majorHAnsi"/>
          <w:lang w:val="lt-LT"/>
        </w:rPr>
        <w:t>gov.lt.</w:t>
      </w:r>
    </w:p>
    <w:p w14:paraId="0884CF4F" w14:textId="77777777" w:rsidR="008328ED" w:rsidRPr="009530BE" w:rsidRDefault="008328ED" w:rsidP="008328ED">
      <w:pPr>
        <w:numPr>
          <w:ilvl w:val="1"/>
          <w:numId w:val="40"/>
        </w:numPr>
        <w:tabs>
          <w:tab w:val="num" w:pos="-3544"/>
          <w:tab w:val="num" w:pos="792"/>
        </w:tabs>
        <w:spacing w:after="0" w:line="240" w:lineRule="auto"/>
        <w:ind w:left="0" w:firstLine="720"/>
        <w:rPr>
          <w:rFonts w:asciiTheme="majorHAnsi" w:eastAsia="Times New Roman" w:hAnsiTheme="majorHAnsi" w:cstheme="majorHAnsi"/>
          <w:b/>
          <w:color w:val="000000" w:themeColor="text1"/>
          <w:lang w:val="lt-LT"/>
        </w:rPr>
      </w:pPr>
      <w:r w:rsidRPr="009530BE">
        <w:rPr>
          <w:rFonts w:asciiTheme="majorHAnsi" w:eastAsia="Times New Roman" w:hAnsiTheme="majorHAnsi" w:cstheme="majorHAnsi"/>
          <w:b/>
          <w:color w:val="000000" w:themeColor="text1"/>
          <w:lang w:val="lt-LT"/>
        </w:rPr>
        <w:t>Esama situacija</w:t>
      </w:r>
    </w:p>
    <w:p w14:paraId="6A11D1EE"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 xml:space="preserve">Europos Tarybos 2004 m. gruodžio 13 d. reglamentas (EB) 2252/2004 ir jį papildantys Europos Komisijos sprendimai nustato, kad nuo 2009 m. birželio mėn. 28 d. išduodamų pasų ir kelionės dokumentų nekontaktinėje elektroninėje laikmenoje nustatytu būdu būtų įrašomi atitinkamu būdu apsaugoti asmens dokumento turėtojo biometriniai duomenys – veido atvaizdas ir 2 (dviejų) pirštų atspaudai. </w:t>
      </w:r>
    </w:p>
    <w:p w14:paraId="48AF7532"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Nuo 2006 m. rugpjūčio mėn. 28 d. biometriniai duomenys (skaitmeninis veido atvaizdas) įrašomi į Lietuvos Respublikos pasus ir tarnybinius pasus. 2008-06-26 priimtas Asmens tapatybės kortelės įstatymo 2, 4, 5 straipsnių pakeitimo bei papildymo ir įstatymo papildymo 1</w:t>
      </w:r>
      <w:r w:rsidRPr="009530BE">
        <w:rPr>
          <w:rFonts w:asciiTheme="majorHAnsi" w:eastAsia="Times New Roman" w:hAnsiTheme="majorHAnsi" w:cstheme="majorHAnsi"/>
          <w:vertAlign w:val="superscript"/>
          <w:lang w:val="lt-LT"/>
        </w:rPr>
        <w:t>1</w:t>
      </w:r>
      <w:r w:rsidRPr="009530BE">
        <w:rPr>
          <w:rFonts w:asciiTheme="majorHAnsi" w:eastAsia="Times New Roman" w:hAnsiTheme="majorHAnsi" w:cstheme="majorHAnsi"/>
          <w:lang w:val="lt-LT"/>
        </w:rPr>
        <w:t xml:space="preserve"> straipsniu įstatymas (negalioja. Nuo 2015-03-02 įsigaliojo Lietuvos Respublikos asmens tapatybės kortelės ir paso įstatymas) numato biometrinių duomenų (veido atvaizdo ir pirštų atspaudų) įdiegimą asmens tapatybės kortelėse nuo 2009 m. sausio 1 d. </w:t>
      </w:r>
    </w:p>
    <w:p w14:paraId="0E2FE1EC" w14:textId="016D1992"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color w:val="000000"/>
          <w:lang w:val="lt-LT"/>
        </w:rPr>
      </w:pPr>
      <w:r w:rsidRPr="009530BE">
        <w:rPr>
          <w:rFonts w:asciiTheme="majorHAnsi" w:eastAsia="Times New Roman" w:hAnsiTheme="majorHAnsi" w:cstheme="majorHAnsi"/>
          <w:lang w:val="lt-LT"/>
        </w:rPr>
        <w:t>Lietuvoje pasai ir kiti kelionės bei asmens tapatybės dokumentai (</w:t>
      </w:r>
      <w:r w:rsidRPr="004A29D2">
        <w:rPr>
          <w:rFonts w:asciiTheme="majorHAnsi" w:eastAsia="Times New Roman" w:hAnsiTheme="majorHAnsi" w:cstheme="majorHAnsi"/>
          <w:lang w:val="lt-LT"/>
        </w:rPr>
        <w:t>iki 1</w:t>
      </w:r>
      <w:r w:rsidR="004A29D2" w:rsidRPr="004A29D2">
        <w:rPr>
          <w:rFonts w:asciiTheme="majorHAnsi" w:eastAsia="Times New Roman" w:hAnsiTheme="majorHAnsi" w:cstheme="majorHAnsi"/>
          <w:lang w:val="lt-LT"/>
        </w:rPr>
        <w:t>5</w:t>
      </w:r>
      <w:r w:rsidRPr="004A29D2">
        <w:rPr>
          <w:rFonts w:asciiTheme="majorHAnsi" w:eastAsia="Times New Roman" w:hAnsiTheme="majorHAnsi" w:cstheme="majorHAnsi"/>
          <w:lang w:val="lt-LT"/>
        </w:rPr>
        <w:t xml:space="preserve"> dokumentų rūšių) išrašomi</w:t>
      </w:r>
      <w:r w:rsidRPr="009530BE">
        <w:rPr>
          <w:rFonts w:asciiTheme="majorHAnsi" w:eastAsia="Times New Roman" w:hAnsiTheme="majorHAnsi" w:cstheme="majorHAnsi"/>
          <w:lang w:val="lt-LT"/>
        </w:rPr>
        <w:t xml:space="preserve"> centralizuotai </w:t>
      </w:r>
      <w:r w:rsidR="009530BE">
        <w:rPr>
          <w:rFonts w:asciiTheme="majorHAnsi" w:eastAsia="Times New Roman" w:hAnsiTheme="majorHAnsi" w:cstheme="majorHAnsi"/>
          <w:lang w:val="lt-LT"/>
        </w:rPr>
        <w:t>Migracijos departamente</w:t>
      </w:r>
      <w:r w:rsidRPr="009530BE">
        <w:rPr>
          <w:rFonts w:asciiTheme="majorHAnsi" w:eastAsia="Times New Roman" w:hAnsiTheme="majorHAnsi" w:cstheme="majorHAnsi"/>
          <w:lang w:val="lt-LT"/>
        </w:rPr>
        <w:t xml:space="preserve"> prie Lietuvos Respublikos vidaus reikalų ministerijos, 2002 m. įsigytos ir nuolat atnaujinamos Asmens dokumentų išrašymo sistemos (toliau – ADIS) priemonėmis. 2006 m. į  ADIS integruota ir 2019 m. atnaujinta Biometrinių pasų išrašymo posistemė (Debian 9.6, SpringBoot v4.1.3 programinė įranga); </w:t>
      </w:r>
      <w:r w:rsidRPr="009530BE">
        <w:rPr>
          <w:rFonts w:asciiTheme="majorHAnsi" w:eastAsia="Times New Roman" w:hAnsiTheme="majorHAnsi" w:cstheme="majorHAnsi"/>
          <w:lang w:val="lt-LT"/>
        </w:rPr>
        <w:lastRenderedPageBreak/>
        <w:t>dokumentų patikros posistemė. 2007 m. į ADIS integruota, 2019 m. patobulinta ES pavyzdžio pasų vizualinio ir elektroninio išrašymo posistemė BDPS (Debian 9.6, SpringBoot v4.1.3 programinė įranga).</w:t>
      </w:r>
      <w:r w:rsidRPr="009530BE">
        <w:rPr>
          <w:rFonts w:asciiTheme="majorHAnsi" w:eastAsia="Times New Roman" w:hAnsiTheme="majorHAnsi" w:cstheme="majorHAnsi"/>
          <w:color w:val="000000"/>
          <w:lang w:val="lt-LT"/>
        </w:rPr>
        <w:t xml:space="preserve"> 2009 m. ADIS praplėsta kortelių</w:t>
      </w:r>
      <w:r w:rsidRPr="009530BE">
        <w:rPr>
          <w:rFonts w:asciiTheme="majorHAnsi" w:eastAsia="Times New Roman" w:hAnsiTheme="majorHAnsi" w:cstheme="majorHAnsi"/>
          <w:lang w:val="lt-LT"/>
        </w:rPr>
        <w:t xml:space="preserve"> išrašymo posistemės BDPS </w:t>
      </w:r>
      <w:r w:rsidRPr="009530BE">
        <w:rPr>
          <w:rFonts w:asciiTheme="majorHAnsi" w:eastAsia="Times New Roman" w:hAnsiTheme="majorHAnsi" w:cstheme="majorHAnsi"/>
          <w:color w:val="000000"/>
          <w:lang w:val="lt-LT"/>
        </w:rPr>
        <w:t xml:space="preserve">funkcionalumu, reikalingu personalizuoti naujo pavyzdžio asmens tapatybės korteles vizualiniu ir elektroniniu būdu, posisteme ADGP – valstybės tarnautojo pažymėjimams išrašyti. </w:t>
      </w:r>
    </w:p>
    <w:p w14:paraId="5DFADDA5" w14:textId="5B3D5EAD"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color w:val="000000"/>
          <w:lang w:val="lt-LT"/>
        </w:rPr>
        <w:t xml:space="preserve">Šiuo metu </w:t>
      </w:r>
      <w:r w:rsidR="009530BE">
        <w:rPr>
          <w:rFonts w:asciiTheme="majorHAnsi" w:eastAsia="Times New Roman" w:hAnsiTheme="majorHAnsi" w:cstheme="majorHAnsi"/>
          <w:color w:val="000000"/>
          <w:lang w:val="lt-LT"/>
        </w:rPr>
        <w:t>Migracijos departamentas</w:t>
      </w:r>
      <w:r w:rsidRPr="009530BE">
        <w:rPr>
          <w:rFonts w:asciiTheme="majorHAnsi" w:eastAsia="Times New Roman" w:hAnsiTheme="majorHAnsi" w:cstheme="majorHAnsi"/>
          <w:color w:val="000000"/>
          <w:lang w:val="lt-LT"/>
        </w:rPr>
        <w:t xml:space="preserve"> pasų ir kortelių vizualiniam ir elektoriniam išrašymui naudoja gamintojo Entrust Datacard modulinę lazerinio graviravimo įrangą: pasams – PB 6500 (2 sistemos komplektai), asmens tapatybės kortelėms, leidimams gyventi, Valstybės tarnautojo pažymėjimams ir Pareigūnų pažymėjimams – MX2100 (2 sistemos komplektai) tipo lazerinio graviravimo įrenginius, kuriuose įdiegti dokumento numerio atpažinimo, </w:t>
      </w:r>
      <w:r w:rsidRPr="009530BE">
        <w:rPr>
          <w:rFonts w:asciiTheme="majorHAnsi" w:eastAsia="Times New Roman" w:hAnsiTheme="majorHAnsi" w:cstheme="majorHAnsi"/>
          <w:lang w:val="lt-LT"/>
        </w:rPr>
        <w:t xml:space="preserve">nekontaktinės (kontaktinės) elektroninės laikmenos </w:t>
      </w:r>
      <w:r w:rsidRPr="009530BE">
        <w:rPr>
          <w:rFonts w:asciiTheme="majorHAnsi" w:eastAsia="Times New Roman" w:hAnsiTheme="majorHAnsi" w:cstheme="majorHAnsi"/>
          <w:color w:val="000000"/>
          <w:lang w:val="lt-LT"/>
        </w:rPr>
        <w:t xml:space="preserve"> įrašymo, lazerinio graviravimo, išrašymo kokybės patikros ir kiti moduliai. </w:t>
      </w:r>
    </w:p>
    <w:p w14:paraId="7C15E4A5"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Biometriniai duomenys pasų nekontaktinėje elektroninėje laikmenoje nuo neteisėto nuskaitymo apsaugomi pirminės prieigos kontrolės (</w:t>
      </w:r>
      <w:r w:rsidRPr="009530BE">
        <w:rPr>
          <w:rFonts w:asciiTheme="majorHAnsi" w:eastAsia="Times New Roman" w:hAnsiTheme="majorHAnsi" w:cstheme="majorHAnsi"/>
          <w:i/>
          <w:lang w:val="lt-LT"/>
        </w:rPr>
        <w:t>angl. BAC – Basic Access Control</w:t>
      </w:r>
      <w:r w:rsidRPr="009530BE">
        <w:rPr>
          <w:rFonts w:asciiTheme="majorHAnsi" w:eastAsia="Times New Roman" w:hAnsiTheme="majorHAnsi" w:cstheme="majorHAnsi"/>
          <w:lang w:val="lt-LT"/>
        </w:rPr>
        <w:t>) apsaugos priemonėmis. Dokumentų gamybai nuo 2007 m. įdiegtas CSCA funkcionalumas (Technology Nexus AB Nexus CSCA). Nuo 2009 m. elektroninio išrašymo posistemėje BDPS įdiegtas išplėstinės prieigos kontrolės (</w:t>
      </w:r>
      <w:r w:rsidRPr="009530BE">
        <w:rPr>
          <w:rFonts w:asciiTheme="majorHAnsi" w:eastAsia="Times New Roman" w:hAnsiTheme="majorHAnsi" w:cstheme="majorHAnsi"/>
          <w:i/>
          <w:lang w:val="lt-LT"/>
        </w:rPr>
        <w:t>angl. EAC – Extended Access Control</w:t>
      </w:r>
      <w:r w:rsidRPr="009530BE">
        <w:rPr>
          <w:rFonts w:asciiTheme="majorHAnsi" w:eastAsia="Times New Roman" w:hAnsiTheme="majorHAnsi" w:cstheme="majorHAnsi"/>
          <w:lang w:val="lt-LT"/>
        </w:rPr>
        <w:t>) mechanizmas; įdiegtas CVCA ir DVCA funkcionalumas dokumentų patikrai išdavimo metu (Enigma Centaur CCK). Visa šiame punkte išvardinta įranga kartu toliau vadinama viešojo rakto infrastruktūra – PKI.</w:t>
      </w:r>
    </w:p>
    <w:p w14:paraId="6EF188BF"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 xml:space="preserve">Lustinės kortelės turi nekontaktinį ir kontaktinį funkcionalumą. Nekontaktinė dalis naudojama biometriniams duomenims LDS formatu saugoti, kontaktinėje dalyje įrašomi 2 sertifikatai: autentifikavimo ir elektroninio parašo. Modulinė kortelių išrašymo įranga užtikrina kortelių lazerinį graviravimą, įrašymą į kontaktinį bei nekontaktinį lustus, bei kitą būtiną funkcionalumą. </w:t>
      </w:r>
      <w:bookmarkStart w:id="25" w:name="_Hlk124246083"/>
      <w:r w:rsidRPr="009530BE">
        <w:rPr>
          <w:rFonts w:asciiTheme="majorHAnsi" w:eastAsia="Times New Roman" w:hAnsiTheme="majorHAnsi" w:cstheme="majorHAnsi"/>
          <w:lang w:val="lt-LT"/>
        </w:rPr>
        <w:t>Įrašomi biometriniai duomenys ir jų apsauga atitinka 2018 m. lapkričio 30 d. Komisijos įgyvendinimo sprendimas Nr. C(2018) 7774, kuriuo nustatomos valstybių narių išduodamų pasų ir kelionės dokumentų apsaugos priemonių ir biometrinių duomenų standartų techninės specifikacijos ir panaikinami sprendimai K(2006) 2909 ir K(2008) 8657, priedo reikalavimus.</w:t>
      </w:r>
    </w:p>
    <w:bookmarkEnd w:id="25"/>
    <w:p w14:paraId="4317FC80"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Valstybės tarnautojų pažymėjimų nekontaktinė dalis naudojama praėjimo kontrolei ar kitai informacijai saugoti, kontaktinėje dalyje įrašomi 2 sertifikatai: autentifikavimo ir elektroninio parašo.</w:t>
      </w:r>
    </w:p>
    <w:p w14:paraId="0A3E90BF" w14:textId="460B214C"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Prašymai asmens dokumentams išduoti / pakeisti registruojami ir asmens dokumentai išrašomi Gyventojų registro duomenų pagrindu. Prašymus išduoti asmens dokumentus priima ir Lietuvos migracijos informaci</w:t>
      </w:r>
      <w:r w:rsidR="004A29D2">
        <w:rPr>
          <w:rFonts w:asciiTheme="majorHAnsi" w:eastAsia="Times New Roman" w:hAnsiTheme="majorHAnsi" w:cstheme="majorHAnsi"/>
          <w:lang w:val="lt-LT"/>
        </w:rPr>
        <w:t>nė</w:t>
      </w:r>
      <w:r w:rsidRPr="009530BE">
        <w:rPr>
          <w:rFonts w:asciiTheme="majorHAnsi" w:eastAsia="Times New Roman" w:hAnsiTheme="majorHAnsi" w:cstheme="majorHAnsi"/>
          <w:lang w:val="lt-LT"/>
        </w:rPr>
        <w:t>je sistemoje MIGRIS (toliau – MIGRIS) registruoja</w:t>
      </w:r>
      <w:r w:rsidRPr="009530BE">
        <w:rPr>
          <w:rFonts w:asciiTheme="majorHAnsi" w:eastAsia="Times New Roman" w:hAnsiTheme="majorHAnsi" w:cstheme="majorHAnsi"/>
          <w:color w:val="FF0000"/>
          <w:lang w:val="lt-LT"/>
        </w:rPr>
        <w:t xml:space="preserve"> </w:t>
      </w:r>
      <w:r w:rsidR="004A29D2">
        <w:rPr>
          <w:rFonts w:asciiTheme="majorHAnsi" w:eastAsia="Times New Roman" w:hAnsiTheme="majorHAnsi" w:cstheme="majorHAnsi"/>
          <w:lang w:val="lt-LT"/>
        </w:rPr>
        <w:t xml:space="preserve">Migracijos departamentas </w:t>
      </w:r>
      <w:r w:rsidRPr="009530BE">
        <w:rPr>
          <w:rFonts w:asciiTheme="majorHAnsi" w:eastAsia="Times New Roman" w:hAnsiTheme="majorHAnsi" w:cstheme="majorHAnsi"/>
          <w:lang w:val="lt-LT"/>
        </w:rPr>
        <w:t>/ Migracijos tarnybos (MT) ir Lietuvos Respublikos diplomatinės atstovybės / konsulinės įstaigos. Prašymai per sąsają perduodami į ADIS, iš ADIS į BDPS ir ADGP.</w:t>
      </w:r>
    </w:p>
    <w:p w14:paraId="1D43A57D" w14:textId="64B12954" w:rsidR="008328ED" w:rsidRDefault="008328ED" w:rsidP="00824C4D">
      <w:pPr>
        <w:numPr>
          <w:ilvl w:val="1"/>
          <w:numId w:val="40"/>
        </w:numPr>
        <w:tabs>
          <w:tab w:val="num" w:pos="-3686"/>
          <w:tab w:val="num" w:pos="1134"/>
        </w:tabs>
        <w:spacing w:after="0" w:line="240" w:lineRule="auto"/>
        <w:ind w:left="0" w:firstLine="720"/>
        <w:rPr>
          <w:rFonts w:asciiTheme="majorHAnsi" w:eastAsia="Times New Roman" w:hAnsiTheme="majorHAnsi" w:cstheme="majorHAnsi"/>
          <w:b/>
          <w:lang w:val="lt-LT"/>
        </w:rPr>
      </w:pPr>
      <w:r w:rsidRPr="009530BE">
        <w:rPr>
          <w:rFonts w:asciiTheme="majorHAnsi" w:eastAsia="Times New Roman" w:hAnsiTheme="majorHAnsi" w:cstheme="majorHAnsi"/>
          <w:b/>
          <w:lang w:val="lt-LT"/>
        </w:rPr>
        <w:t>Teisės aktai, kuriais turi būti vadovaujamasi</w:t>
      </w:r>
      <w:r w:rsidR="00824C4D">
        <w:rPr>
          <w:rFonts w:asciiTheme="majorHAnsi" w:eastAsia="Times New Roman" w:hAnsiTheme="majorHAnsi" w:cstheme="majorHAnsi"/>
          <w:b/>
          <w:lang w:val="lt-LT"/>
        </w:rPr>
        <w:t>.</w:t>
      </w:r>
    </w:p>
    <w:p w14:paraId="4730656E" w14:textId="315BF91D" w:rsidR="008328ED" w:rsidRPr="00824C4D" w:rsidRDefault="00824C4D" w:rsidP="00824C4D">
      <w:pPr>
        <w:numPr>
          <w:ilvl w:val="2"/>
          <w:numId w:val="40"/>
        </w:numPr>
        <w:tabs>
          <w:tab w:val="clear" w:pos="1440"/>
          <w:tab w:val="num" w:pos="1276"/>
        </w:tabs>
        <w:spacing w:after="0" w:line="240" w:lineRule="auto"/>
        <w:ind w:left="0" w:firstLine="720"/>
        <w:rPr>
          <w:rFonts w:asciiTheme="majorHAnsi" w:eastAsia="Times New Roman" w:hAnsiTheme="majorHAnsi" w:cstheme="majorHAnsi"/>
          <w:b/>
          <w:lang w:val="lt-LT"/>
        </w:rPr>
      </w:pPr>
      <w:r>
        <w:rPr>
          <w:rFonts w:asciiTheme="majorHAnsi" w:eastAsia="Times New Roman" w:hAnsiTheme="majorHAnsi" w:cstheme="majorHAnsi"/>
          <w:b/>
          <w:lang w:val="lt-LT"/>
        </w:rPr>
        <w:t xml:space="preserve"> </w:t>
      </w:r>
      <w:r w:rsidR="008328ED" w:rsidRPr="00824C4D">
        <w:rPr>
          <w:rFonts w:asciiTheme="majorHAnsi" w:eastAsia="Calibri" w:hAnsiTheme="majorHAnsi" w:cstheme="majorHAnsi"/>
          <w:lang w:val="lt-LT"/>
        </w:rPr>
        <w:t>Teisės aktai ir metodiniai dokumentai, kuriuos turi atitikti paslaugų rezultatas bei kuriais vadovaujantis turi būti teikiamos paslaugos:</w:t>
      </w:r>
    </w:p>
    <w:p w14:paraId="26B00F92" w14:textId="77777777"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Lietuvos Respublikos asmens tapatybės kortelės ir paso įstatymas;</w:t>
      </w:r>
    </w:p>
    <w:p w14:paraId="4B520903" w14:textId="77777777"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Lietuvos Respublikos tarnybinio paso įstatymas;</w:t>
      </w:r>
    </w:p>
    <w:p w14:paraId="2530A20A" w14:textId="77777777"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Lietuvos Respublikos Vyriausybės 2009 m. birželio 25 d. nutarimas Nr. 652 „Dėl atsakingos institucijos paskyrimo“;</w:t>
      </w:r>
    </w:p>
    <w:p w14:paraId="0868C53D" w14:textId="77777777"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Lietuvos Respublikos vidaus reikalų ministro 2003 m. rugsėjo 10 d. įsakymas Nr. 1V-328 „Dėl paso ir asmens tapatybės kortelės formų patvirtinimo“;</w:t>
      </w:r>
    </w:p>
    <w:p w14:paraId="366360D8" w14:textId="77777777"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Lietuvos Respublikos vidaus reikalų ministro 2006 m. gruodžio 28 d. įsakymas Nr. 1V-498 „Dėl Lietuvos Respublikos paso formos ir Lietuvos Respublikos paso formos aprašymo patvirtinimo“;</w:t>
      </w:r>
    </w:p>
    <w:p w14:paraId="031ED267" w14:textId="44428CED" w:rsidR="008328ED" w:rsidRPr="009530BE" w:rsidRDefault="008328ED" w:rsidP="003668F9">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Lietuvos Respublikos vidaus reikalų ministro ir Lietuvos Respublikos užsienio reikalų ministro 2015 m. kovo 19 d. įsakymas Nr. 1V-200 / V-62 „Dėl Asmens tapatybės kortelės ir paso išdavimo, keitimo, paskelbimo negaliojančiais ir naikinimo tvarkos aprašo patvirtinimo“;</w:t>
      </w:r>
    </w:p>
    <w:p w14:paraId="507A59A3" w14:textId="10187395"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20</w:t>
      </w:r>
      <w:r w:rsidR="00AB0C91">
        <w:rPr>
          <w:rFonts w:asciiTheme="majorHAnsi" w:eastAsia="Calibri" w:hAnsiTheme="majorHAnsi" w:cstheme="majorHAnsi"/>
          <w:lang w:val="lt-LT"/>
        </w:rPr>
        <w:t>18</w:t>
      </w:r>
      <w:r w:rsidRPr="009530BE">
        <w:rPr>
          <w:rFonts w:asciiTheme="majorHAnsi" w:eastAsia="Calibri" w:hAnsiTheme="majorHAnsi" w:cstheme="majorHAnsi"/>
          <w:lang w:val="lt-LT"/>
        </w:rPr>
        <w:t xml:space="preserve"> m. </w:t>
      </w:r>
      <w:r w:rsidR="00AB0C91">
        <w:rPr>
          <w:rFonts w:asciiTheme="majorHAnsi" w:eastAsia="Calibri" w:hAnsiTheme="majorHAnsi" w:cstheme="majorHAnsi"/>
          <w:lang w:val="lt-LT"/>
        </w:rPr>
        <w:t>lapkričio 30</w:t>
      </w:r>
      <w:r w:rsidRPr="009530BE">
        <w:rPr>
          <w:rFonts w:asciiTheme="majorHAnsi" w:eastAsia="Calibri" w:hAnsiTheme="majorHAnsi" w:cstheme="majorHAnsi"/>
          <w:lang w:val="lt-LT"/>
        </w:rPr>
        <w:t xml:space="preserve"> d. Europos Komisijos sprendimas C (20</w:t>
      </w:r>
      <w:r w:rsidR="00AB0C91">
        <w:rPr>
          <w:rFonts w:asciiTheme="majorHAnsi" w:eastAsia="Calibri" w:hAnsiTheme="majorHAnsi" w:cstheme="majorHAnsi"/>
          <w:lang w:val="lt-LT"/>
        </w:rPr>
        <w:t>18</w:t>
      </w:r>
      <w:r w:rsidRPr="009530BE">
        <w:rPr>
          <w:rFonts w:asciiTheme="majorHAnsi" w:eastAsia="Calibri" w:hAnsiTheme="majorHAnsi" w:cstheme="majorHAnsi"/>
          <w:lang w:val="lt-LT"/>
        </w:rPr>
        <w:t>) 7</w:t>
      </w:r>
      <w:r w:rsidR="00AB0C91">
        <w:rPr>
          <w:rFonts w:asciiTheme="majorHAnsi" w:eastAsia="Calibri" w:hAnsiTheme="majorHAnsi" w:cstheme="majorHAnsi"/>
          <w:lang w:val="lt-LT"/>
        </w:rPr>
        <w:t>774</w:t>
      </w:r>
      <w:r w:rsidRPr="009530BE">
        <w:rPr>
          <w:rFonts w:asciiTheme="majorHAnsi" w:eastAsia="Calibri" w:hAnsiTheme="majorHAnsi" w:cstheme="majorHAnsi"/>
          <w:lang w:val="lt-LT"/>
        </w:rPr>
        <w:t xml:space="preserve">, </w:t>
      </w:r>
      <w:r w:rsidR="00AB0C91" w:rsidRPr="00AB0C91">
        <w:rPr>
          <w:rFonts w:asciiTheme="majorHAnsi" w:eastAsia="Calibri" w:hAnsiTheme="majorHAnsi" w:cstheme="majorHAnsi"/>
          <w:lang w:val="lt-LT"/>
        </w:rPr>
        <w:t>kuriuo nustatomos valstybių narių išduodamų pasų ir kelionės dokumentų apsaugos priemonių ir biometrinių duomenų standartų techninės specifikacijos ir panaikinami sprendimai K(2006) 2909 ir K(2008) 8657</w:t>
      </w:r>
      <w:r w:rsidRPr="009530BE">
        <w:rPr>
          <w:rFonts w:asciiTheme="majorHAnsi" w:eastAsia="Calibri" w:hAnsiTheme="majorHAnsi" w:cstheme="majorHAnsi"/>
          <w:lang w:val="lt-LT"/>
        </w:rPr>
        <w:t>;</w:t>
      </w:r>
    </w:p>
    <w:p w14:paraId="00CDA01B" w14:textId="77777777" w:rsidR="008328ED" w:rsidRPr="009530BE" w:rsidRDefault="008328ED" w:rsidP="00824C4D">
      <w:pPr>
        <w:spacing w:after="0"/>
        <w:ind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t>-  </w:t>
      </w:r>
      <w:bookmarkStart w:id="26" w:name="_Hlk124246168"/>
      <w:r w:rsidRPr="009530BE">
        <w:rPr>
          <w:rFonts w:asciiTheme="majorHAnsi" w:eastAsia="Calibri" w:hAnsiTheme="majorHAnsi" w:cstheme="majorHAnsi"/>
          <w:lang w:val="lt-LT"/>
        </w:rPr>
        <w:t>2018 m. lapkričio 30 d. Komisijos įgyvendinimo sprendimas C (2018) 7767 final, kuriuo nustatomos vienodos leidimų gyventi trečiųjų šalių piliečiams formos techninės specifikacijos ir panaikinamas Sprendimas C (2002) 3069;</w:t>
      </w:r>
    </w:p>
    <w:bookmarkEnd w:id="26"/>
    <w:p w14:paraId="6B83E6C6" w14:textId="3BC4FFDB" w:rsidR="008328ED" w:rsidRPr="009530BE" w:rsidRDefault="00824C4D" w:rsidP="00824C4D">
      <w:pPr>
        <w:numPr>
          <w:ilvl w:val="0"/>
          <w:numId w:val="41"/>
        </w:numPr>
        <w:tabs>
          <w:tab w:val="left" w:pos="567"/>
        </w:tabs>
        <w:spacing w:after="0" w:line="240" w:lineRule="auto"/>
        <w:ind w:left="0" w:firstLine="851"/>
        <w:contextualSpacing/>
        <w:rPr>
          <w:rFonts w:asciiTheme="majorHAnsi" w:eastAsia="Calibri" w:hAnsiTheme="majorHAnsi" w:cstheme="majorHAnsi"/>
          <w:lang w:val="lt-LT"/>
        </w:rPr>
      </w:pPr>
      <w:r>
        <w:rPr>
          <w:rFonts w:asciiTheme="majorHAnsi" w:eastAsia="Calibri" w:hAnsiTheme="majorHAnsi" w:cstheme="majorHAnsi"/>
          <w:lang w:val="lt-LT"/>
        </w:rPr>
        <w:t>k</w:t>
      </w:r>
      <w:r w:rsidR="008328ED" w:rsidRPr="009530BE">
        <w:rPr>
          <w:rFonts w:asciiTheme="majorHAnsi" w:eastAsia="Calibri" w:hAnsiTheme="majorHAnsi" w:cstheme="majorHAnsi"/>
          <w:lang w:val="lt-LT"/>
        </w:rPr>
        <w:t>iti teisės aktai ir jų pakeitimai bei papildymai.</w:t>
      </w:r>
    </w:p>
    <w:p w14:paraId="3E393843" w14:textId="48252C73" w:rsidR="008328ED" w:rsidRDefault="008328ED" w:rsidP="008328ED">
      <w:pPr>
        <w:tabs>
          <w:tab w:val="left" w:pos="709"/>
        </w:tabs>
        <w:spacing w:after="0"/>
        <w:rPr>
          <w:rFonts w:asciiTheme="majorHAnsi" w:eastAsia="Times New Roman" w:hAnsiTheme="majorHAnsi" w:cstheme="majorHAnsi"/>
          <w:lang w:val="lt-LT"/>
        </w:rPr>
      </w:pPr>
    </w:p>
    <w:p w14:paraId="55271523" w14:textId="77777777" w:rsidR="003668F9" w:rsidRPr="009530BE" w:rsidRDefault="003668F9" w:rsidP="008328ED">
      <w:pPr>
        <w:tabs>
          <w:tab w:val="left" w:pos="709"/>
        </w:tabs>
        <w:spacing w:after="0"/>
        <w:rPr>
          <w:rFonts w:asciiTheme="majorHAnsi" w:eastAsia="Times New Roman" w:hAnsiTheme="majorHAnsi" w:cstheme="majorHAnsi"/>
          <w:lang w:val="lt-LT"/>
        </w:rPr>
      </w:pPr>
    </w:p>
    <w:p w14:paraId="34302ACC" w14:textId="77777777" w:rsidR="008328ED" w:rsidRPr="009530BE" w:rsidRDefault="008328ED" w:rsidP="008328ED">
      <w:pPr>
        <w:numPr>
          <w:ilvl w:val="0"/>
          <w:numId w:val="40"/>
        </w:numPr>
        <w:spacing w:after="0" w:line="240" w:lineRule="auto"/>
        <w:ind w:left="0" w:firstLine="0"/>
        <w:jc w:val="center"/>
        <w:rPr>
          <w:rFonts w:asciiTheme="majorHAnsi" w:eastAsia="Times New Roman" w:hAnsiTheme="majorHAnsi" w:cstheme="majorHAnsi"/>
          <w:bCs/>
          <w:caps/>
          <w:lang w:val="lt-LT"/>
        </w:rPr>
      </w:pPr>
      <w:r w:rsidRPr="009530BE">
        <w:rPr>
          <w:rFonts w:asciiTheme="majorHAnsi" w:eastAsia="Times New Roman" w:hAnsiTheme="majorHAnsi" w:cstheme="majorHAnsi"/>
          <w:b/>
          <w:bCs/>
          <w:caps/>
          <w:lang w:val="lt-LT"/>
        </w:rPr>
        <w:t>Pirkimo tikslas ir pirkimo objektas</w:t>
      </w:r>
    </w:p>
    <w:p w14:paraId="36E6A063" w14:textId="77777777" w:rsidR="008328ED" w:rsidRPr="009530BE" w:rsidRDefault="008328ED" w:rsidP="008328ED">
      <w:pPr>
        <w:spacing w:after="0"/>
        <w:rPr>
          <w:rFonts w:asciiTheme="majorHAnsi" w:eastAsia="Times New Roman" w:hAnsiTheme="majorHAnsi" w:cstheme="majorHAnsi"/>
          <w:bCs/>
          <w:caps/>
          <w:lang w:val="lt-LT"/>
        </w:rPr>
      </w:pPr>
    </w:p>
    <w:p w14:paraId="48A3CC5B" w14:textId="2DFE4677" w:rsidR="008328ED" w:rsidRPr="009530BE" w:rsidRDefault="008328ED" w:rsidP="008328ED">
      <w:pPr>
        <w:numPr>
          <w:ilvl w:val="1"/>
          <w:numId w:val="40"/>
        </w:numPr>
        <w:tabs>
          <w:tab w:val="left" w:pos="270"/>
          <w:tab w:val="left" w:pos="450"/>
          <w:tab w:val="left" w:pos="600"/>
          <w:tab w:val="num" w:pos="792"/>
        </w:tabs>
        <w:spacing w:after="0" w:line="240" w:lineRule="auto"/>
        <w:ind w:left="0" w:firstLine="720"/>
        <w:rPr>
          <w:rFonts w:asciiTheme="majorHAnsi" w:eastAsia="Times New Roman" w:hAnsiTheme="majorHAnsi" w:cstheme="majorHAnsi"/>
          <w:b/>
          <w:lang w:val="lt-LT"/>
        </w:rPr>
      </w:pPr>
      <w:r w:rsidRPr="009530BE">
        <w:rPr>
          <w:rFonts w:asciiTheme="majorHAnsi" w:eastAsia="Times New Roman" w:hAnsiTheme="majorHAnsi" w:cstheme="majorHAnsi"/>
          <w:lang w:val="lt-LT"/>
        </w:rPr>
        <w:lastRenderedPageBreak/>
        <w:t>Pirkimo tikslas – įsigyti Asmens dokumentų išdavimo informacinės si</w:t>
      </w:r>
      <w:r w:rsidR="002F6A0C" w:rsidRPr="009530BE">
        <w:rPr>
          <w:rFonts w:asciiTheme="majorHAnsi" w:eastAsia="Times New Roman" w:hAnsiTheme="majorHAnsi" w:cstheme="majorHAnsi"/>
          <w:lang w:val="lt-LT"/>
        </w:rPr>
        <w:t>s</w:t>
      </w:r>
      <w:r w:rsidRPr="009530BE">
        <w:rPr>
          <w:rFonts w:asciiTheme="majorHAnsi" w:eastAsia="Times New Roman" w:hAnsiTheme="majorHAnsi" w:cstheme="majorHAnsi"/>
          <w:lang w:val="lt-LT"/>
        </w:rPr>
        <w:t>temos asmens dokumentų gamybos posistemio techninės ir programinės įrangos priežiūros paslaugas</w:t>
      </w:r>
      <w:r w:rsidR="0027683E">
        <w:rPr>
          <w:rFonts w:asciiTheme="majorHAnsi" w:eastAsia="Times New Roman" w:hAnsiTheme="majorHAnsi" w:cstheme="majorHAnsi"/>
          <w:lang w:val="lt-LT"/>
        </w:rPr>
        <w:t xml:space="preserve"> 36 (trisdešimt šešiems) mėn</w:t>
      </w:r>
      <w:r w:rsidRPr="009530BE">
        <w:rPr>
          <w:rFonts w:asciiTheme="majorHAnsi" w:eastAsia="Times New Roman" w:hAnsiTheme="majorHAnsi" w:cstheme="majorHAnsi"/>
          <w:lang w:val="lt-LT"/>
        </w:rPr>
        <w:t>.</w:t>
      </w:r>
    </w:p>
    <w:p w14:paraId="4EE3A975" w14:textId="77777777" w:rsidR="008328ED" w:rsidRPr="009530BE" w:rsidRDefault="008328ED" w:rsidP="008328ED">
      <w:pPr>
        <w:numPr>
          <w:ilvl w:val="1"/>
          <w:numId w:val="40"/>
        </w:numPr>
        <w:tabs>
          <w:tab w:val="num" w:pos="792"/>
          <w:tab w:val="left" w:pos="851"/>
        </w:tabs>
        <w:spacing w:after="0" w:line="240" w:lineRule="auto"/>
        <w:ind w:left="0" w:firstLine="720"/>
        <w:rPr>
          <w:rFonts w:asciiTheme="majorHAnsi" w:eastAsia="Times New Roman" w:hAnsiTheme="majorHAnsi" w:cstheme="majorHAnsi"/>
          <w:b/>
          <w:lang w:val="lt-LT"/>
        </w:rPr>
      </w:pPr>
      <w:r w:rsidRPr="009530BE">
        <w:rPr>
          <w:rFonts w:asciiTheme="majorHAnsi" w:eastAsia="Times New Roman" w:hAnsiTheme="majorHAnsi" w:cstheme="majorHAnsi"/>
          <w:b/>
          <w:lang w:val="lt-LT"/>
        </w:rPr>
        <w:t>Pirkimo objektą sudaro (techninio palaikymo paslaugos):</w:t>
      </w:r>
    </w:p>
    <w:p w14:paraId="0EE8C4A6" w14:textId="7A4A3304" w:rsidR="008328ED" w:rsidRPr="009530BE" w:rsidRDefault="0036142A" w:rsidP="008328ED">
      <w:pPr>
        <w:numPr>
          <w:ilvl w:val="2"/>
          <w:numId w:val="40"/>
        </w:numPr>
        <w:tabs>
          <w:tab w:val="left" w:pos="851"/>
        </w:tabs>
        <w:spacing w:after="0" w:line="240" w:lineRule="auto"/>
        <w:rPr>
          <w:rFonts w:asciiTheme="majorHAnsi" w:eastAsia="Times New Roman" w:hAnsiTheme="majorHAnsi" w:cstheme="majorHAnsi"/>
          <w:lang w:val="lt-LT"/>
        </w:rPr>
      </w:pPr>
      <w:r>
        <w:rPr>
          <w:rFonts w:asciiTheme="majorHAnsi" w:eastAsia="Times New Roman" w:hAnsiTheme="majorHAnsi" w:cstheme="majorHAnsi"/>
          <w:lang w:val="lt-LT"/>
        </w:rPr>
        <w:t xml:space="preserve"> </w:t>
      </w:r>
      <w:r w:rsidR="008328ED" w:rsidRPr="009530BE">
        <w:rPr>
          <w:rFonts w:asciiTheme="majorHAnsi" w:eastAsia="Times New Roman" w:hAnsiTheme="majorHAnsi" w:cstheme="majorHAnsi"/>
          <w:lang w:val="lt-LT"/>
        </w:rPr>
        <w:t>BDPS programinės įrangos priežiūros paslaugos.</w:t>
      </w:r>
    </w:p>
    <w:p w14:paraId="12CCD14D" w14:textId="1B4AE4C5" w:rsidR="008328ED" w:rsidRPr="009530BE" w:rsidRDefault="0036142A" w:rsidP="008328ED">
      <w:pPr>
        <w:numPr>
          <w:ilvl w:val="2"/>
          <w:numId w:val="40"/>
        </w:numPr>
        <w:tabs>
          <w:tab w:val="left" w:pos="851"/>
        </w:tabs>
        <w:spacing w:after="0" w:line="240" w:lineRule="auto"/>
        <w:rPr>
          <w:rFonts w:asciiTheme="majorHAnsi" w:eastAsia="Times New Roman" w:hAnsiTheme="majorHAnsi" w:cstheme="majorHAnsi"/>
          <w:lang w:val="lt-LT"/>
        </w:rPr>
      </w:pPr>
      <w:r>
        <w:rPr>
          <w:rFonts w:asciiTheme="majorHAnsi" w:eastAsia="Times New Roman" w:hAnsiTheme="majorHAnsi" w:cstheme="majorHAnsi"/>
          <w:lang w:val="lt-LT"/>
        </w:rPr>
        <w:t xml:space="preserve"> </w:t>
      </w:r>
      <w:r w:rsidR="008328ED" w:rsidRPr="009530BE">
        <w:rPr>
          <w:rFonts w:asciiTheme="majorHAnsi" w:eastAsia="Times New Roman" w:hAnsiTheme="majorHAnsi" w:cstheme="majorHAnsi"/>
          <w:lang w:val="lt-LT"/>
        </w:rPr>
        <w:t>ADGP programinės įrangos priežiūros paslaugos.</w:t>
      </w:r>
    </w:p>
    <w:p w14:paraId="568624E7" w14:textId="77777777" w:rsidR="008328ED" w:rsidRPr="009530BE" w:rsidRDefault="008328ED" w:rsidP="008328ED">
      <w:pPr>
        <w:spacing w:after="0"/>
        <w:ind w:left="720"/>
        <w:contextualSpacing/>
        <w:rPr>
          <w:rFonts w:asciiTheme="majorHAnsi" w:eastAsia="Calibri" w:hAnsiTheme="majorHAnsi" w:cstheme="majorHAnsi"/>
          <w:lang w:val="lt-LT"/>
        </w:rPr>
      </w:pPr>
      <w:r w:rsidRPr="009530BE">
        <w:rPr>
          <w:rFonts w:asciiTheme="majorHAnsi" w:eastAsia="Calibri" w:hAnsiTheme="majorHAnsi" w:cstheme="majorHAnsi"/>
          <w:lang w:val="lt-LT"/>
        </w:rPr>
        <w:t>2.2.3.   PKI programinės įrangos priežiūra.</w:t>
      </w:r>
    </w:p>
    <w:p w14:paraId="60F199E2" w14:textId="4799A6F3" w:rsidR="00AD47A2" w:rsidRDefault="008328ED" w:rsidP="00824C4D">
      <w:pPr>
        <w:spacing w:after="0"/>
        <w:ind w:left="720"/>
        <w:contextualSpacing/>
        <w:rPr>
          <w:rFonts w:asciiTheme="majorHAnsi" w:eastAsia="Calibri" w:hAnsiTheme="majorHAnsi" w:cstheme="majorHAnsi"/>
          <w:lang w:val="lt-LT"/>
        </w:rPr>
      </w:pPr>
      <w:r w:rsidRPr="009530BE">
        <w:rPr>
          <w:rFonts w:asciiTheme="majorHAnsi" w:eastAsia="Calibri" w:hAnsiTheme="majorHAnsi" w:cstheme="majorHAnsi"/>
          <w:lang w:val="lt-LT"/>
        </w:rPr>
        <w:t>2.2.4.   Techninės įrangos priežiūra:</w:t>
      </w:r>
    </w:p>
    <w:tbl>
      <w:tblPr>
        <w:tblW w:w="9720" w:type="dxa"/>
        <w:tblInd w:w="715" w:type="dxa"/>
        <w:tblLook w:val="04A0" w:firstRow="1" w:lastRow="0" w:firstColumn="1" w:lastColumn="0" w:noHBand="0" w:noVBand="1"/>
      </w:tblPr>
      <w:tblGrid>
        <w:gridCol w:w="900"/>
        <w:gridCol w:w="3690"/>
        <w:gridCol w:w="990"/>
        <w:gridCol w:w="4140"/>
      </w:tblGrid>
      <w:tr w:rsidR="00D65E17" w:rsidRPr="00D65E17" w14:paraId="4E7AC425" w14:textId="77777777" w:rsidTr="00D65E17">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33E5" w14:textId="77777777" w:rsidR="00D65E17" w:rsidRPr="00D65E17" w:rsidRDefault="00D65E17" w:rsidP="00D65E17">
            <w:pPr>
              <w:spacing w:after="0" w:line="240" w:lineRule="auto"/>
              <w:jc w:val="left"/>
              <w:rPr>
                <w:rFonts w:ascii="Calibri" w:eastAsia="Times New Roman" w:hAnsi="Calibri" w:cs="Calibri"/>
                <w:b/>
                <w:bCs/>
                <w:color w:val="000000"/>
                <w:lang w:val="lt-LT" w:eastAsia="lt-LT"/>
              </w:rPr>
            </w:pPr>
            <w:r w:rsidRPr="00D65E17">
              <w:rPr>
                <w:rFonts w:ascii="Calibri" w:eastAsia="Times New Roman" w:hAnsi="Calibri" w:cs="Calibri"/>
                <w:b/>
                <w:bCs/>
                <w:color w:val="000000"/>
                <w:lang w:val="lt-LT" w:eastAsia="lt-LT"/>
              </w:rPr>
              <w:t>Eil. Nr.</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4E89BF84" w14:textId="77777777" w:rsidR="00D65E17" w:rsidRPr="00D65E17" w:rsidRDefault="00D65E17" w:rsidP="00D65E17">
            <w:pPr>
              <w:spacing w:after="0" w:line="240" w:lineRule="auto"/>
              <w:jc w:val="left"/>
              <w:rPr>
                <w:rFonts w:ascii="Calibri" w:eastAsia="Times New Roman" w:hAnsi="Calibri" w:cs="Calibri"/>
                <w:b/>
                <w:bCs/>
                <w:color w:val="000000"/>
                <w:lang w:val="lt-LT" w:eastAsia="lt-LT"/>
              </w:rPr>
            </w:pPr>
            <w:r w:rsidRPr="00D65E17">
              <w:rPr>
                <w:rFonts w:ascii="Calibri" w:eastAsia="Times New Roman" w:hAnsi="Calibri" w:cs="Calibri"/>
                <w:b/>
                <w:bCs/>
                <w:color w:val="000000"/>
                <w:lang w:val="lt-LT" w:eastAsia="lt-LT"/>
              </w:rPr>
              <w:t>Įrangos tipas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5851761" w14:textId="77777777" w:rsidR="00D65E17" w:rsidRPr="00D65E17" w:rsidRDefault="00D65E17" w:rsidP="00D65E17">
            <w:pPr>
              <w:spacing w:after="0" w:line="240" w:lineRule="auto"/>
              <w:jc w:val="center"/>
              <w:rPr>
                <w:rFonts w:ascii="Calibri" w:eastAsia="Times New Roman" w:hAnsi="Calibri" w:cs="Calibri"/>
                <w:b/>
                <w:bCs/>
                <w:color w:val="000000"/>
                <w:lang w:val="lt-LT" w:eastAsia="lt-LT"/>
              </w:rPr>
            </w:pPr>
            <w:r w:rsidRPr="00D65E17">
              <w:rPr>
                <w:rFonts w:ascii="Calibri" w:eastAsia="Times New Roman" w:hAnsi="Calibri" w:cs="Calibri"/>
                <w:b/>
                <w:bCs/>
                <w:color w:val="000000"/>
                <w:lang w:val="lt-LT" w:eastAsia="lt-LT"/>
              </w:rPr>
              <w:t>Kiekis</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14:paraId="2DDE9159" w14:textId="77777777" w:rsidR="00D65E17" w:rsidRPr="00D65E17" w:rsidRDefault="00D65E17" w:rsidP="00D65E17">
            <w:pPr>
              <w:spacing w:after="0" w:line="240" w:lineRule="auto"/>
              <w:jc w:val="left"/>
              <w:rPr>
                <w:rFonts w:ascii="Calibri" w:eastAsia="Times New Roman" w:hAnsi="Calibri" w:cs="Calibri"/>
                <w:b/>
                <w:bCs/>
                <w:color w:val="000000"/>
                <w:lang w:val="lt-LT" w:eastAsia="lt-LT"/>
              </w:rPr>
            </w:pPr>
            <w:r w:rsidRPr="00D65E17">
              <w:rPr>
                <w:rFonts w:ascii="Calibri" w:eastAsia="Times New Roman" w:hAnsi="Calibri" w:cs="Calibri"/>
                <w:b/>
                <w:bCs/>
                <w:color w:val="000000"/>
                <w:lang w:val="lt-LT" w:eastAsia="lt-LT"/>
              </w:rPr>
              <w:t>Įrangos aprašymas</w:t>
            </w:r>
          </w:p>
        </w:tc>
      </w:tr>
      <w:tr w:rsidR="00D65E17" w:rsidRPr="00D65E17" w14:paraId="4A03BBFD"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56C39DDA"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w:t>
            </w:r>
          </w:p>
        </w:tc>
        <w:tc>
          <w:tcPr>
            <w:tcW w:w="3690" w:type="dxa"/>
            <w:tcBorders>
              <w:top w:val="nil"/>
              <w:left w:val="nil"/>
              <w:bottom w:val="single" w:sz="4" w:space="0" w:color="auto"/>
              <w:right w:val="single" w:sz="4" w:space="0" w:color="auto"/>
            </w:tcBorders>
            <w:shd w:val="clear" w:color="auto" w:fill="auto"/>
            <w:hideMark/>
          </w:tcPr>
          <w:p w14:paraId="298B88F1"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BDPS darbo paskirstymo stotis</w:t>
            </w:r>
          </w:p>
        </w:tc>
        <w:tc>
          <w:tcPr>
            <w:tcW w:w="990" w:type="dxa"/>
            <w:tcBorders>
              <w:top w:val="nil"/>
              <w:left w:val="nil"/>
              <w:bottom w:val="single" w:sz="4" w:space="0" w:color="auto"/>
              <w:right w:val="single" w:sz="4" w:space="0" w:color="auto"/>
            </w:tcBorders>
            <w:shd w:val="clear" w:color="auto" w:fill="auto"/>
            <w:noWrap/>
            <w:hideMark/>
          </w:tcPr>
          <w:p w14:paraId="691149BC"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57469660"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NUKLONAS Deka H410A</w:t>
            </w:r>
          </w:p>
        </w:tc>
      </w:tr>
      <w:tr w:rsidR="00D65E17" w:rsidRPr="00D65E17" w14:paraId="4E1AA5D5"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0C4FADF5"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w:t>
            </w:r>
          </w:p>
        </w:tc>
        <w:tc>
          <w:tcPr>
            <w:tcW w:w="3690" w:type="dxa"/>
            <w:tcBorders>
              <w:top w:val="nil"/>
              <w:left w:val="nil"/>
              <w:bottom w:val="single" w:sz="4" w:space="0" w:color="auto"/>
              <w:right w:val="single" w:sz="4" w:space="0" w:color="auto"/>
            </w:tcBorders>
            <w:shd w:val="clear" w:color="auto" w:fill="auto"/>
            <w:hideMark/>
          </w:tcPr>
          <w:p w14:paraId="67D149B2"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ADGP darbo stotis</w:t>
            </w:r>
          </w:p>
        </w:tc>
        <w:tc>
          <w:tcPr>
            <w:tcW w:w="990" w:type="dxa"/>
            <w:tcBorders>
              <w:top w:val="nil"/>
              <w:left w:val="nil"/>
              <w:bottom w:val="single" w:sz="4" w:space="0" w:color="auto"/>
              <w:right w:val="single" w:sz="4" w:space="0" w:color="auto"/>
            </w:tcBorders>
            <w:shd w:val="clear" w:color="auto" w:fill="auto"/>
            <w:noWrap/>
            <w:hideMark/>
          </w:tcPr>
          <w:p w14:paraId="63052C9F"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588DAC5F"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 Compaq 8300 Elite</w:t>
            </w:r>
          </w:p>
        </w:tc>
      </w:tr>
      <w:tr w:rsidR="00D65E17" w:rsidRPr="00D65E17" w14:paraId="78BDE7E3"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6F58B6BD"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3</w:t>
            </w:r>
          </w:p>
        </w:tc>
        <w:tc>
          <w:tcPr>
            <w:tcW w:w="3690" w:type="dxa"/>
            <w:tcBorders>
              <w:top w:val="nil"/>
              <w:left w:val="nil"/>
              <w:bottom w:val="single" w:sz="4" w:space="0" w:color="auto"/>
              <w:right w:val="single" w:sz="4" w:space="0" w:color="auto"/>
            </w:tcBorders>
            <w:shd w:val="clear" w:color="auto" w:fill="auto"/>
            <w:hideMark/>
          </w:tcPr>
          <w:p w14:paraId="3967731C"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VTP darbo stotis</w:t>
            </w:r>
          </w:p>
        </w:tc>
        <w:tc>
          <w:tcPr>
            <w:tcW w:w="990" w:type="dxa"/>
            <w:tcBorders>
              <w:top w:val="nil"/>
              <w:left w:val="nil"/>
              <w:bottom w:val="single" w:sz="4" w:space="0" w:color="auto"/>
              <w:right w:val="single" w:sz="4" w:space="0" w:color="auto"/>
            </w:tcBorders>
            <w:shd w:val="clear" w:color="auto" w:fill="auto"/>
            <w:noWrap/>
            <w:hideMark/>
          </w:tcPr>
          <w:p w14:paraId="50B7DC27"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38859BFC"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 Compaq 8300 Elite</w:t>
            </w:r>
          </w:p>
        </w:tc>
      </w:tr>
      <w:tr w:rsidR="00D65E17" w:rsidRPr="00D65E17" w14:paraId="7BB372AC"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2875EB66"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4</w:t>
            </w:r>
          </w:p>
        </w:tc>
        <w:tc>
          <w:tcPr>
            <w:tcW w:w="3690" w:type="dxa"/>
            <w:tcBorders>
              <w:top w:val="nil"/>
              <w:left w:val="nil"/>
              <w:bottom w:val="single" w:sz="4" w:space="0" w:color="auto"/>
              <w:right w:val="single" w:sz="4" w:space="0" w:color="auto"/>
            </w:tcBorders>
            <w:shd w:val="clear" w:color="auto" w:fill="auto"/>
            <w:hideMark/>
          </w:tcPr>
          <w:p w14:paraId="4ED46C50"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Nuotraukų koregavimo stotis</w:t>
            </w:r>
          </w:p>
        </w:tc>
        <w:tc>
          <w:tcPr>
            <w:tcW w:w="990" w:type="dxa"/>
            <w:tcBorders>
              <w:top w:val="nil"/>
              <w:left w:val="nil"/>
              <w:bottom w:val="single" w:sz="4" w:space="0" w:color="auto"/>
              <w:right w:val="single" w:sz="4" w:space="0" w:color="auto"/>
            </w:tcBorders>
            <w:shd w:val="clear" w:color="auto" w:fill="auto"/>
            <w:noWrap/>
            <w:hideMark/>
          </w:tcPr>
          <w:p w14:paraId="464C251C"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3 vnt.</w:t>
            </w:r>
          </w:p>
        </w:tc>
        <w:tc>
          <w:tcPr>
            <w:tcW w:w="4140" w:type="dxa"/>
            <w:tcBorders>
              <w:top w:val="nil"/>
              <w:left w:val="nil"/>
              <w:bottom w:val="single" w:sz="4" w:space="0" w:color="auto"/>
              <w:right w:val="single" w:sz="4" w:space="0" w:color="auto"/>
            </w:tcBorders>
            <w:shd w:val="clear" w:color="auto" w:fill="auto"/>
            <w:hideMark/>
          </w:tcPr>
          <w:p w14:paraId="72387A29"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NUKLONAS Deka H410A</w:t>
            </w:r>
          </w:p>
        </w:tc>
      </w:tr>
      <w:tr w:rsidR="00D65E17" w:rsidRPr="00D65E17" w14:paraId="4DB077DF"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2E433363"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5</w:t>
            </w:r>
          </w:p>
        </w:tc>
        <w:tc>
          <w:tcPr>
            <w:tcW w:w="3690" w:type="dxa"/>
            <w:tcBorders>
              <w:top w:val="nil"/>
              <w:left w:val="nil"/>
              <w:bottom w:val="single" w:sz="4" w:space="0" w:color="auto"/>
              <w:right w:val="single" w:sz="4" w:space="0" w:color="auto"/>
            </w:tcBorders>
            <w:shd w:val="clear" w:color="auto" w:fill="auto"/>
            <w:hideMark/>
          </w:tcPr>
          <w:p w14:paraId="63171D07"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BDPS kokybės kontrolės darbo stotis</w:t>
            </w:r>
          </w:p>
        </w:tc>
        <w:tc>
          <w:tcPr>
            <w:tcW w:w="990" w:type="dxa"/>
            <w:tcBorders>
              <w:top w:val="nil"/>
              <w:left w:val="nil"/>
              <w:bottom w:val="single" w:sz="4" w:space="0" w:color="auto"/>
              <w:right w:val="single" w:sz="4" w:space="0" w:color="auto"/>
            </w:tcBorders>
            <w:shd w:val="clear" w:color="auto" w:fill="auto"/>
            <w:noWrap/>
            <w:hideMark/>
          </w:tcPr>
          <w:p w14:paraId="08C17B00"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3 vnt.</w:t>
            </w:r>
          </w:p>
        </w:tc>
        <w:tc>
          <w:tcPr>
            <w:tcW w:w="4140" w:type="dxa"/>
            <w:tcBorders>
              <w:top w:val="nil"/>
              <w:left w:val="nil"/>
              <w:bottom w:val="single" w:sz="4" w:space="0" w:color="auto"/>
              <w:right w:val="single" w:sz="4" w:space="0" w:color="auto"/>
            </w:tcBorders>
            <w:shd w:val="clear" w:color="auto" w:fill="auto"/>
            <w:hideMark/>
          </w:tcPr>
          <w:p w14:paraId="0198603B"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Dell OptiPlex 3050 i5-7500</w:t>
            </w:r>
          </w:p>
        </w:tc>
      </w:tr>
      <w:tr w:rsidR="00D65E17" w:rsidRPr="00D65E17" w14:paraId="114730A1" w14:textId="77777777" w:rsidTr="00D65E17">
        <w:trPr>
          <w:trHeight w:val="330"/>
        </w:trPr>
        <w:tc>
          <w:tcPr>
            <w:tcW w:w="900" w:type="dxa"/>
            <w:tcBorders>
              <w:top w:val="nil"/>
              <w:left w:val="single" w:sz="4" w:space="0" w:color="auto"/>
              <w:bottom w:val="single" w:sz="4" w:space="0" w:color="auto"/>
              <w:right w:val="single" w:sz="4" w:space="0" w:color="auto"/>
            </w:tcBorders>
            <w:shd w:val="clear" w:color="auto" w:fill="auto"/>
            <w:noWrap/>
            <w:hideMark/>
          </w:tcPr>
          <w:p w14:paraId="05F387F3"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6</w:t>
            </w:r>
          </w:p>
        </w:tc>
        <w:tc>
          <w:tcPr>
            <w:tcW w:w="3690" w:type="dxa"/>
            <w:tcBorders>
              <w:top w:val="nil"/>
              <w:left w:val="nil"/>
              <w:bottom w:val="single" w:sz="4" w:space="0" w:color="auto"/>
              <w:right w:val="single" w:sz="4" w:space="0" w:color="auto"/>
            </w:tcBorders>
            <w:shd w:val="clear" w:color="auto" w:fill="auto"/>
            <w:hideMark/>
          </w:tcPr>
          <w:p w14:paraId="6AB31D5D"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Dokumentų patikros įranga</w:t>
            </w:r>
          </w:p>
        </w:tc>
        <w:tc>
          <w:tcPr>
            <w:tcW w:w="990" w:type="dxa"/>
            <w:tcBorders>
              <w:top w:val="nil"/>
              <w:left w:val="nil"/>
              <w:bottom w:val="single" w:sz="4" w:space="0" w:color="auto"/>
              <w:right w:val="single" w:sz="4" w:space="0" w:color="auto"/>
            </w:tcBorders>
            <w:shd w:val="clear" w:color="auto" w:fill="auto"/>
            <w:noWrap/>
            <w:hideMark/>
          </w:tcPr>
          <w:p w14:paraId="747A5971"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8 vnt.</w:t>
            </w:r>
          </w:p>
        </w:tc>
        <w:tc>
          <w:tcPr>
            <w:tcW w:w="4140" w:type="dxa"/>
            <w:tcBorders>
              <w:top w:val="nil"/>
              <w:left w:val="nil"/>
              <w:bottom w:val="single" w:sz="4" w:space="0" w:color="auto"/>
              <w:right w:val="single" w:sz="4" w:space="0" w:color="auto"/>
            </w:tcBorders>
            <w:shd w:val="clear" w:color="auto" w:fill="auto"/>
            <w:hideMark/>
          </w:tcPr>
          <w:p w14:paraId="14C62A08"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Gemalto 3M AT9000</w:t>
            </w:r>
          </w:p>
        </w:tc>
      </w:tr>
      <w:tr w:rsidR="00D65E17" w:rsidRPr="00D65E17" w14:paraId="7CB77954"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3213B0B"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7</w:t>
            </w:r>
          </w:p>
        </w:tc>
        <w:tc>
          <w:tcPr>
            <w:tcW w:w="3690" w:type="dxa"/>
            <w:tcBorders>
              <w:top w:val="nil"/>
              <w:left w:val="nil"/>
              <w:bottom w:val="single" w:sz="4" w:space="0" w:color="auto"/>
              <w:right w:val="single" w:sz="4" w:space="0" w:color="auto"/>
            </w:tcBorders>
            <w:shd w:val="clear" w:color="auto" w:fill="auto"/>
            <w:hideMark/>
          </w:tcPr>
          <w:p w14:paraId="5CE31BCA"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Logistikos darbo stotis</w:t>
            </w:r>
          </w:p>
        </w:tc>
        <w:tc>
          <w:tcPr>
            <w:tcW w:w="990" w:type="dxa"/>
            <w:tcBorders>
              <w:top w:val="nil"/>
              <w:left w:val="nil"/>
              <w:bottom w:val="single" w:sz="4" w:space="0" w:color="auto"/>
              <w:right w:val="single" w:sz="4" w:space="0" w:color="auto"/>
            </w:tcBorders>
            <w:shd w:val="clear" w:color="auto" w:fill="auto"/>
            <w:noWrap/>
            <w:hideMark/>
          </w:tcPr>
          <w:p w14:paraId="0FAE0BE6"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230B1F2B"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LENOVO THINKCentre M710S</w:t>
            </w:r>
          </w:p>
        </w:tc>
      </w:tr>
      <w:tr w:rsidR="00D65E17" w:rsidRPr="00D65E17" w14:paraId="2977CCB5"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25B67B03"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8</w:t>
            </w:r>
          </w:p>
        </w:tc>
        <w:tc>
          <w:tcPr>
            <w:tcW w:w="3690" w:type="dxa"/>
            <w:tcBorders>
              <w:top w:val="nil"/>
              <w:left w:val="nil"/>
              <w:bottom w:val="single" w:sz="4" w:space="0" w:color="auto"/>
              <w:right w:val="single" w:sz="4" w:space="0" w:color="auto"/>
            </w:tcBorders>
            <w:shd w:val="clear" w:color="auto" w:fill="auto"/>
            <w:hideMark/>
          </w:tcPr>
          <w:p w14:paraId="6499E05A"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Logistikos darbo stotis</w:t>
            </w:r>
          </w:p>
        </w:tc>
        <w:tc>
          <w:tcPr>
            <w:tcW w:w="990" w:type="dxa"/>
            <w:tcBorders>
              <w:top w:val="nil"/>
              <w:left w:val="nil"/>
              <w:bottom w:val="single" w:sz="4" w:space="0" w:color="auto"/>
              <w:right w:val="single" w:sz="4" w:space="0" w:color="auto"/>
            </w:tcBorders>
            <w:shd w:val="clear" w:color="auto" w:fill="auto"/>
            <w:noWrap/>
            <w:hideMark/>
          </w:tcPr>
          <w:p w14:paraId="7E40DAB9"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1913D8FB"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Dell OptiPlex 3050 i5-7500</w:t>
            </w:r>
          </w:p>
        </w:tc>
      </w:tr>
      <w:tr w:rsidR="00D65E17" w:rsidRPr="00D65E17" w14:paraId="38535C4D"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3F50614"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9</w:t>
            </w:r>
          </w:p>
        </w:tc>
        <w:tc>
          <w:tcPr>
            <w:tcW w:w="3690" w:type="dxa"/>
            <w:tcBorders>
              <w:top w:val="nil"/>
              <w:left w:val="nil"/>
              <w:bottom w:val="single" w:sz="4" w:space="0" w:color="auto"/>
              <w:right w:val="single" w:sz="4" w:space="0" w:color="auto"/>
            </w:tcBorders>
            <w:shd w:val="clear" w:color="auto" w:fill="auto"/>
            <w:hideMark/>
          </w:tcPr>
          <w:p w14:paraId="19F734AA"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Logistikos darbo stotis</w:t>
            </w:r>
          </w:p>
        </w:tc>
        <w:tc>
          <w:tcPr>
            <w:tcW w:w="990" w:type="dxa"/>
            <w:tcBorders>
              <w:top w:val="nil"/>
              <w:left w:val="nil"/>
              <w:bottom w:val="single" w:sz="4" w:space="0" w:color="auto"/>
              <w:right w:val="single" w:sz="4" w:space="0" w:color="auto"/>
            </w:tcBorders>
            <w:shd w:val="clear" w:color="auto" w:fill="auto"/>
            <w:noWrap/>
            <w:hideMark/>
          </w:tcPr>
          <w:p w14:paraId="3BAC19ED"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546B6D77"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KOMPARSA Kopa S8500</w:t>
            </w:r>
          </w:p>
        </w:tc>
      </w:tr>
      <w:tr w:rsidR="00D65E17" w:rsidRPr="00D65E17" w14:paraId="03C2C02C"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108C94A"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10</w:t>
            </w:r>
          </w:p>
        </w:tc>
        <w:tc>
          <w:tcPr>
            <w:tcW w:w="3690" w:type="dxa"/>
            <w:tcBorders>
              <w:top w:val="nil"/>
              <w:left w:val="nil"/>
              <w:bottom w:val="single" w:sz="4" w:space="0" w:color="auto"/>
              <w:right w:val="single" w:sz="4" w:space="0" w:color="auto"/>
            </w:tcBorders>
            <w:shd w:val="clear" w:color="auto" w:fill="auto"/>
            <w:hideMark/>
          </w:tcPr>
          <w:p w14:paraId="791F1B7C" w14:textId="7426E11C"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ADGS lydra</w:t>
            </w:r>
            <w:r w:rsidR="00140520">
              <w:rPr>
                <w:rFonts w:ascii="Calibri" w:eastAsia="Times New Roman" w:hAnsi="Calibri" w:cs="Calibri"/>
                <w:color w:val="000000"/>
                <w:lang w:val="lt-LT" w:eastAsia="lt-LT"/>
              </w:rPr>
              <w:t>š</w:t>
            </w:r>
            <w:r w:rsidRPr="00D65E17">
              <w:rPr>
                <w:rFonts w:ascii="Calibri" w:eastAsia="Times New Roman" w:hAnsi="Calibri" w:cs="Calibri"/>
                <w:color w:val="000000"/>
                <w:lang w:val="lt-LT" w:eastAsia="lt-LT"/>
              </w:rPr>
              <w:t>čių spausdintuvas</w:t>
            </w:r>
          </w:p>
        </w:tc>
        <w:tc>
          <w:tcPr>
            <w:tcW w:w="990" w:type="dxa"/>
            <w:tcBorders>
              <w:top w:val="nil"/>
              <w:left w:val="nil"/>
              <w:bottom w:val="single" w:sz="4" w:space="0" w:color="auto"/>
              <w:right w:val="single" w:sz="4" w:space="0" w:color="auto"/>
            </w:tcBorders>
            <w:shd w:val="clear" w:color="auto" w:fill="auto"/>
            <w:noWrap/>
            <w:hideMark/>
          </w:tcPr>
          <w:p w14:paraId="396E4AC6"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573768F7"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 LaserJet P2055d</w:t>
            </w:r>
          </w:p>
        </w:tc>
      </w:tr>
      <w:tr w:rsidR="00D65E17" w:rsidRPr="00D65E17" w14:paraId="4B313CF4"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615315CC"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11</w:t>
            </w:r>
          </w:p>
        </w:tc>
        <w:tc>
          <w:tcPr>
            <w:tcW w:w="3690" w:type="dxa"/>
            <w:tcBorders>
              <w:top w:val="nil"/>
              <w:left w:val="nil"/>
              <w:bottom w:val="single" w:sz="4" w:space="0" w:color="auto"/>
              <w:right w:val="single" w:sz="4" w:space="0" w:color="auto"/>
            </w:tcBorders>
            <w:shd w:val="clear" w:color="auto" w:fill="auto"/>
            <w:hideMark/>
          </w:tcPr>
          <w:p w14:paraId="4B782DB1" w14:textId="1296E184"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ADGS lydra</w:t>
            </w:r>
            <w:r w:rsidR="00140520">
              <w:rPr>
                <w:rFonts w:ascii="Calibri" w:eastAsia="Times New Roman" w:hAnsi="Calibri" w:cs="Calibri"/>
                <w:color w:val="000000"/>
                <w:lang w:val="lt-LT" w:eastAsia="lt-LT"/>
              </w:rPr>
              <w:t>š</w:t>
            </w:r>
            <w:r w:rsidRPr="00D65E17">
              <w:rPr>
                <w:rFonts w:ascii="Calibri" w:eastAsia="Times New Roman" w:hAnsi="Calibri" w:cs="Calibri"/>
                <w:color w:val="000000"/>
                <w:lang w:val="lt-LT" w:eastAsia="lt-LT"/>
              </w:rPr>
              <w:t>čių spausdintuvas</w:t>
            </w:r>
          </w:p>
        </w:tc>
        <w:tc>
          <w:tcPr>
            <w:tcW w:w="990" w:type="dxa"/>
            <w:tcBorders>
              <w:top w:val="nil"/>
              <w:left w:val="nil"/>
              <w:bottom w:val="single" w:sz="4" w:space="0" w:color="auto"/>
              <w:right w:val="single" w:sz="4" w:space="0" w:color="auto"/>
            </w:tcBorders>
            <w:shd w:val="clear" w:color="auto" w:fill="auto"/>
            <w:noWrap/>
            <w:hideMark/>
          </w:tcPr>
          <w:p w14:paraId="5C7DBF6F"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5F25E0E3"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 LaserJet Pro M402dne</w:t>
            </w:r>
          </w:p>
        </w:tc>
      </w:tr>
      <w:tr w:rsidR="00D65E17" w:rsidRPr="00D65E17" w14:paraId="338CF6A4"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3AFC4A56"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12</w:t>
            </w:r>
          </w:p>
        </w:tc>
        <w:tc>
          <w:tcPr>
            <w:tcW w:w="3690" w:type="dxa"/>
            <w:tcBorders>
              <w:top w:val="nil"/>
              <w:left w:val="nil"/>
              <w:bottom w:val="single" w:sz="4" w:space="0" w:color="auto"/>
              <w:right w:val="single" w:sz="4" w:space="0" w:color="auto"/>
            </w:tcBorders>
            <w:shd w:val="clear" w:color="auto" w:fill="auto"/>
            <w:hideMark/>
          </w:tcPr>
          <w:p w14:paraId="7BBC9C15" w14:textId="41563F9F"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ADGS lydra</w:t>
            </w:r>
            <w:r w:rsidR="00140520">
              <w:rPr>
                <w:rFonts w:ascii="Calibri" w:eastAsia="Times New Roman" w:hAnsi="Calibri" w:cs="Calibri"/>
                <w:color w:val="000000"/>
                <w:lang w:val="lt-LT" w:eastAsia="lt-LT"/>
              </w:rPr>
              <w:t>š</w:t>
            </w:r>
            <w:r w:rsidRPr="00D65E17">
              <w:rPr>
                <w:rFonts w:ascii="Calibri" w:eastAsia="Times New Roman" w:hAnsi="Calibri" w:cs="Calibri"/>
                <w:color w:val="000000"/>
                <w:lang w:val="lt-LT" w:eastAsia="lt-LT"/>
              </w:rPr>
              <w:t>čių spausdintuvas</w:t>
            </w:r>
          </w:p>
        </w:tc>
        <w:tc>
          <w:tcPr>
            <w:tcW w:w="990" w:type="dxa"/>
            <w:tcBorders>
              <w:top w:val="nil"/>
              <w:left w:val="nil"/>
              <w:bottom w:val="single" w:sz="4" w:space="0" w:color="auto"/>
              <w:right w:val="single" w:sz="4" w:space="0" w:color="auto"/>
            </w:tcBorders>
            <w:shd w:val="clear" w:color="auto" w:fill="auto"/>
            <w:noWrap/>
            <w:hideMark/>
          </w:tcPr>
          <w:p w14:paraId="0DBCBF7A"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1D0A69E3"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TA Triumph Adler P-5000</w:t>
            </w:r>
          </w:p>
        </w:tc>
      </w:tr>
      <w:tr w:rsidR="00D65E17" w:rsidRPr="00D65E17" w14:paraId="66D72106"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41DECEDD"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13</w:t>
            </w:r>
          </w:p>
        </w:tc>
        <w:tc>
          <w:tcPr>
            <w:tcW w:w="3690" w:type="dxa"/>
            <w:tcBorders>
              <w:top w:val="nil"/>
              <w:left w:val="nil"/>
              <w:bottom w:val="single" w:sz="4" w:space="0" w:color="auto"/>
              <w:right w:val="single" w:sz="4" w:space="0" w:color="auto"/>
            </w:tcBorders>
            <w:shd w:val="clear" w:color="auto" w:fill="auto"/>
            <w:hideMark/>
          </w:tcPr>
          <w:p w14:paraId="1BB2D399" w14:textId="24D39938"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BDPS lydra</w:t>
            </w:r>
            <w:r w:rsidR="00140520">
              <w:rPr>
                <w:rFonts w:ascii="Calibri" w:eastAsia="Times New Roman" w:hAnsi="Calibri" w:cs="Calibri"/>
                <w:color w:val="000000"/>
                <w:lang w:val="lt-LT" w:eastAsia="lt-LT"/>
              </w:rPr>
              <w:t>š</w:t>
            </w:r>
            <w:r w:rsidRPr="00D65E17">
              <w:rPr>
                <w:rFonts w:ascii="Calibri" w:eastAsia="Times New Roman" w:hAnsi="Calibri" w:cs="Calibri"/>
                <w:color w:val="000000"/>
                <w:lang w:val="lt-LT" w:eastAsia="lt-LT"/>
              </w:rPr>
              <w:t>čių spausdintuvas</w:t>
            </w:r>
          </w:p>
        </w:tc>
        <w:tc>
          <w:tcPr>
            <w:tcW w:w="990" w:type="dxa"/>
            <w:tcBorders>
              <w:top w:val="nil"/>
              <w:left w:val="nil"/>
              <w:bottom w:val="single" w:sz="4" w:space="0" w:color="auto"/>
              <w:right w:val="single" w:sz="4" w:space="0" w:color="auto"/>
            </w:tcBorders>
            <w:shd w:val="clear" w:color="auto" w:fill="auto"/>
            <w:noWrap/>
            <w:hideMark/>
          </w:tcPr>
          <w:p w14:paraId="366C49DB"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735A3604"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Lexmark MS812de</w:t>
            </w:r>
          </w:p>
        </w:tc>
      </w:tr>
      <w:tr w:rsidR="00D65E17" w:rsidRPr="00D65E17" w14:paraId="39A7C529"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661AE0D5"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14</w:t>
            </w:r>
          </w:p>
        </w:tc>
        <w:tc>
          <w:tcPr>
            <w:tcW w:w="3690" w:type="dxa"/>
            <w:tcBorders>
              <w:top w:val="nil"/>
              <w:left w:val="nil"/>
              <w:bottom w:val="single" w:sz="4" w:space="0" w:color="auto"/>
              <w:right w:val="single" w:sz="4" w:space="0" w:color="auto"/>
            </w:tcBorders>
            <w:shd w:val="clear" w:color="auto" w:fill="auto"/>
            <w:hideMark/>
          </w:tcPr>
          <w:p w14:paraId="30303CAC"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Logistikos lipdukų spausdintuvas</w:t>
            </w:r>
          </w:p>
        </w:tc>
        <w:tc>
          <w:tcPr>
            <w:tcW w:w="990" w:type="dxa"/>
            <w:tcBorders>
              <w:top w:val="nil"/>
              <w:left w:val="nil"/>
              <w:bottom w:val="single" w:sz="4" w:space="0" w:color="auto"/>
              <w:right w:val="single" w:sz="4" w:space="0" w:color="auto"/>
            </w:tcBorders>
            <w:shd w:val="clear" w:color="auto" w:fill="auto"/>
            <w:noWrap/>
            <w:hideMark/>
          </w:tcPr>
          <w:p w14:paraId="45945E89"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67FB959E"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ZEBRA GK420t</w:t>
            </w:r>
          </w:p>
        </w:tc>
      </w:tr>
      <w:tr w:rsidR="00D65E17" w:rsidRPr="00D65E17" w14:paraId="4C0CCD67"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4438BE9"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15</w:t>
            </w:r>
          </w:p>
        </w:tc>
        <w:tc>
          <w:tcPr>
            <w:tcW w:w="3690" w:type="dxa"/>
            <w:tcBorders>
              <w:top w:val="nil"/>
              <w:left w:val="nil"/>
              <w:bottom w:val="single" w:sz="4" w:space="0" w:color="auto"/>
              <w:right w:val="single" w:sz="4" w:space="0" w:color="auto"/>
            </w:tcBorders>
            <w:shd w:val="clear" w:color="auto" w:fill="auto"/>
            <w:hideMark/>
          </w:tcPr>
          <w:p w14:paraId="5E5B5790"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Logistikos lipdukų spausdintuvas</w:t>
            </w:r>
          </w:p>
        </w:tc>
        <w:tc>
          <w:tcPr>
            <w:tcW w:w="990" w:type="dxa"/>
            <w:tcBorders>
              <w:top w:val="nil"/>
              <w:left w:val="nil"/>
              <w:bottom w:val="single" w:sz="4" w:space="0" w:color="auto"/>
              <w:right w:val="single" w:sz="4" w:space="0" w:color="auto"/>
            </w:tcBorders>
            <w:shd w:val="clear" w:color="auto" w:fill="auto"/>
            <w:noWrap/>
            <w:hideMark/>
          </w:tcPr>
          <w:p w14:paraId="713B1B22"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038CCFCE"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ZEBRA ZD421</w:t>
            </w:r>
          </w:p>
        </w:tc>
      </w:tr>
      <w:tr w:rsidR="00D65E17" w:rsidRPr="00D65E17" w14:paraId="1D9999F7"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2230D1C5"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16</w:t>
            </w:r>
          </w:p>
        </w:tc>
        <w:tc>
          <w:tcPr>
            <w:tcW w:w="3690" w:type="dxa"/>
            <w:tcBorders>
              <w:top w:val="nil"/>
              <w:left w:val="nil"/>
              <w:bottom w:val="single" w:sz="4" w:space="0" w:color="auto"/>
              <w:right w:val="single" w:sz="4" w:space="0" w:color="auto"/>
            </w:tcBorders>
            <w:shd w:val="clear" w:color="auto" w:fill="auto"/>
            <w:hideMark/>
          </w:tcPr>
          <w:p w14:paraId="45EC34E1"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PIN vokų spausdinimo įrenginys</w:t>
            </w:r>
          </w:p>
        </w:tc>
        <w:tc>
          <w:tcPr>
            <w:tcW w:w="990" w:type="dxa"/>
            <w:tcBorders>
              <w:top w:val="nil"/>
              <w:left w:val="nil"/>
              <w:bottom w:val="single" w:sz="4" w:space="0" w:color="auto"/>
              <w:right w:val="single" w:sz="4" w:space="0" w:color="auto"/>
            </w:tcBorders>
            <w:shd w:val="clear" w:color="auto" w:fill="auto"/>
            <w:noWrap/>
            <w:hideMark/>
          </w:tcPr>
          <w:p w14:paraId="11B56C11"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77FF70DC"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PSI PP803</w:t>
            </w:r>
          </w:p>
        </w:tc>
      </w:tr>
      <w:tr w:rsidR="00D65E17" w:rsidRPr="00D65E17" w14:paraId="1B96640E"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28B45DE4"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17</w:t>
            </w:r>
          </w:p>
        </w:tc>
        <w:tc>
          <w:tcPr>
            <w:tcW w:w="3690" w:type="dxa"/>
            <w:tcBorders>
              <w:top w:val="nil"/>
              <w:left w:val="nil"/>
              <w:bottom w:val="single" w:sz="4" w:space="0" w:color="auto"/>
              <w:right w:val="single" w:sz="4" w:space="0" w:color="auto"/>
            </w:tcBorders>
            <w:shd w:val="clear" w:color="auto" w:fill="auto"/>
            <w:hideMark/>
          </w:tcPr>
          <w:p w14:paraId="2A82C068"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ADGP daugiafunkcinis įrenginys</w:t>
            </w:r>
          </w:p>
        </w:tc>
        <w:tc>
          <w:tcPr>
            <w:tcW w:w="990" w:type="dxa"/>
            <w:tcBorders>
              <w:top w:val="nil"/>
              <w:left w:val="nil"/>
              <w:bottom w:val="single" w:sz="4" w:space="0" w:color="auto"/>
              <w:right w:val="single" w:sz="4" w:space="0" w:color="auto"/>
            </w:tcBorders>
            <w:shd w:val="clear" w:color="auto" w:fill="auto"/>
            <w:noWrap/>
            <w:hideMark/>
          </w:tcPr>
          <w:p w14:paraId="751C21AE"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5345107D"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Minolta bizhub C224</w:t>
            </w:r>
          </w:p>
        </w:tc>
      </w:tr>
      <w:tr w:rsidR="00D65E17" w:rsidRPr="00D65E17" w14:paraId="5357CC83"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3891BFD"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18</w:t>
            </w:r>
          </w:p>
        </w:tc>
        <w:tc>
          <w:tcPr>
            <w:tcW w:w="3690" w:type="dxa"/>
            <w:tcBorders>
              <w:top w:val="nil"/>
              <w:left w:val="nil"/>
              <w:bottom w:val="single" w:sz="4" w:space="0" w:color="auto"/>
              <w:right w:val="single" w:sz="4" w:space="0" w:color="auto"/>
            </w:tcBorders>
            <w:shd w:val="clear" w:color="auto" w:fill="auto"/>
            <w:hideMark/>
          </w:tcPr>
          <w:p w14:paraId="6E03ADDF"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ADGP daugiafunkcinis įrenginys</w:t>
            </w:r>
          </w:p>
        </w:tc>
        <w:tc>
          <w:tcPr>
            <w:tcW w:w="990" w:type="dxa"/>
            <w:tcBorders>
              <w:top w:val="nil"/>
              <w:left w:val="nil"/>
              <w:bottom w:val="single" w:sz="4" w:space="0" w:color="auto"/>
              <w:right w:val="single" w:sz="4" w:space="0" w:color="auto"/>
            </w:tcBorders>
            <w:shd w:val="clear" w:color="auto" w:fill="auto"/>
            <w:noWrap/>
            <w:hideMark/>
          </w:tcPr>
          <w:p w14:paraId="1E3232AF"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06CF21FE"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 Laser Jet MFP M577</w:t>
            </w:r>
          </w:p>
        </w:tc>
      </w:tr>
      <w:tr w:rsidR="00D65E17" w:rsidRPr="00D65E17" w14:paraId="205D6F11" w14:textId="77777777" w:rsidTr="00D65E17">
        <w:trPr>
          <w:trHeight w:val="600"/>
        </w:trPr>
        <w:tc>
          <w:tcPr>
            <w:tcW w:w="900" w:type="dxa"/>
            <w:tcBorders>
              <w:top w:val="nil"/>
              <w:left w:val="single" w:sz="4" w:space="0" w:color="auto"/>
              <w:bottom w:val="single" w:sz="4" w:space="0" w:color="auto"/>
              <w:right w:val="single" w:sz="4" w:space="0" w:color="auto"/>
            </w:tcBorders>
            <w:shd w:val="clear" w:color="auto" w:fill="auto"/>
            <w:noWrap/>
            <w:hideMark/>
          </w:tcPr>
          <w:p w14:paraId="6A4DA31E"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19</w:t>
            </w:r>
          </w:p>
        </w:tc>
        <w:tc>
          <w:tcPr>
            <w:tcW w:w="3690" w:type="dxa"/>
            <w:tcBorders>
              <w:top w:val="nil"/>
              <w:left w:val="nil"/>
              <w:bottom w:val="single" w:sz="4" w:space="0" w:color="auto"/>
              <w:right w:val="single" w:sz="4" w:space="0" w:color="auto"/>
            </w:tcBorders>
            <w:shd w:val="clear" w:color="auto" w:fill="auto"/>
            <w:hideMark/>
          </w:tcPr>
          <w:p w14:paraId="3F779475"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 xml:space="preserve">CIS paslaugų tarnybinė stotis </w:t>
            </w:r>
          </w:p>
        </w:tc>
        <w:tc>
          <w:tcPr>
            <w:tcW w:w="990" w:type="dxa"/>
            <w:tcBorders>
              <w:top w:val="nil"/>
              <w:left w:val="nil"/>
              <w:bottom w:val="single" w:sz="4" w:space="0" w:color="auto"/>
              <w:right w:val="single" w:sz="4" w:space="0" w:color="auto"/>
            </w:tcBorders>
            <w:shd w:val="clear" w:color="auto" w:fill="auto"/>
            <w:noWrap/>
            <w:hideMark/>
          </w:tcPr>
          <w:p w14:paraId="69872F2F"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022A0062"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IBM Server Express 3550, Xeon Quad Core E5430</w:t>
            </w:r>
          </w:p>
        </w:tc>
      </w:tr>
      <w:tr w:rsidR="00D65E17" w:rsidRPr="00D65E17" w14:paraId="089C3DAD" w14:textId="77777777" w:rsidTr="00D65E17">
        <w:trPr>
          <w:trHeight w:val="330"/>
        </w:trPr>
        <w:tc>
          <w:tcPr>
            <w:tcW w:w="900" w:type="dxa"/>
            <w:tcBorders>
              <w:top w:val="nil"/>
              <w:left w:val="single" w:sz="4" w:space="0" w:color="auto"/>
              <w:bottom w:val="single" w:sz="4" w:space="0" w:color="auto"/>
              <w:right w:val="single" w:sz="4" w:space="0" w:color="auto"/>
            </w:tcBorders>
            <w:shd w:val="clear" w:color="auto" w:fill="auto"/>
            <w:noWrap/>
            <w:hideMark/>
          </w:tcPr>
          <w:p w14:paraId="3B7AB340"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20</w:t>
            </w:r>
          </w:p>
        </w:tc>
        <w:tc>
          <w:tcPr>
            <w:tcW w:w="3690" w:type="dxa"/>
            <w:tcBorders>
              <w:top w:val="nil"/>
              <w:left w:val="nil"/>
              <w:bottom w:val="single" w:sz="4" w:space="0" w:color="auto"/>
              <w:right w:val="single" w:sz="4" w:space="0" w:color="auto"/>
            </w:tcBorders>
            <w:shd w:val="clear" w:color="auto" w:fill="auto"/>
            <w:hideMark/>
          </w:tcPr>
          <w:p w14:paraId="6D3B6115"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 xml:space="preserve">CIS HSM1 raktų operacijų modulis </w:t>
            </w:r>
          </w:p>
        </w:tc>
        <w:tc>
          <w:tcPr>
            <w:tcW w:w="990" w:type="dxa"/>
            <w:tcBorders>
              <w:top w:val="nil"/>
              <w:left w:val="nil"/>
              <w:bottom w:val="single" w:sz="4" w:space="0" w:color="auto"/>
              <w:right w:val="single" w:sz="4" w:space="0" w:color="auto"/>
            </w:tcBorders>
            <w:shd w:val="clear" w:color="auto" w:fill="auto"/>
            <w:noWrap/>
            <w:hideMark/>
          </w:tcPr>
          <w:p w14:paraId="1A0863BC"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4EE6D593"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HSM nShield 500eF3</w:t>
            </w:r>
          </w:p>
        </w:tc>
      </w:tr>
      <w:tr w:rsidR="00D65E17" w:rsidRPr="00D65E17" w14:paraId="1A70DF1D" w14:textId="77777777" w:rsidTr="00D65E17">
        <w:trPr>
          <w:trHeight w:val="600"/>
        </w:trPr>
        <w:tc>
          <w:tcPr>
            <w:tcW w:w="900" w:type="dxa"/>
            <w:tcBorders>
              <w:top w:val="nil"/>
              <w:left w:val="single" w:sz="4" w:space="0" w:color="auto"/>
              <w:bottom w:val="single" w:sz="4" w:space="0" w:color="auto"/>
              <w:right w:val="single" w:sz="4" w:space="0" w:color="auto"/>
            </w:tcBorders>
            <w:shd w:val="clear" w:color="auto" w:fill="auto"/>
            <w:noWrap/>
            <w:hideMark/>
          </w:tcPr>
          <w:p w14:paraId="6CF6BE15"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21</w:t>
            </w:r>
          </w:p>
        </w:tc>
        <w:tc>
          <w:tcPr>
            <w:tcW w:w="3690" w:type="dxa"/>
            <w:tcBorders>
              <w:top w:val="nil"/>
              <w:left w:val="nil"/>
              <w:bottom w:val="single" w:sz="4" w:space="0" w:color="auto"/>
              <w:right w:val="single" w:sz="4" w:space="0" w:color="auto"/>
            </w:tcBorders>
            <w:shd w:val="clear" w:color="auto" w:fill="auto"/>
            <w:hideMark/>
          </w:tcPr>
          <w:p w14:paraId="50E71A39"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CVCA/DVCA tarnybinė stotis</w:t>
            </w:r>
          </w:p>
        </w:tc>
        <w:tc>
          <w:tcPr>
            <w:tcW w:w="990" w:type="dxa"/>
            <w:tcBorders>
              <w:top w:val="nil"/>
              <w:left w:val="nil"/>
              <w:bottom w:val="single" w:sz="4" w:space="0" w:color="auto"/>
              <w:right w:val="single" w:sz="4" w:space="0" w:color="auto"/>
            </w:tcBorders>
            <w:shd w:val="clear" w:color="auto" w:fill="auto"/>
            <w:noWrap/>
            <w:hideMark/>
          </w:tcPr>
          <w:p w14:paraId="4CE5DA71"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28FA03CF"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Serveris Dell PowerEdge 1950-III Intel XeonCPUL5420</w:t>
            </w:r>
          </w:p>
        </w:tc>
      </w:tr>
      <w:tr w:rsidR="00D65E17" w:rsidRPr="00D65E17" w14:paraId="757864BA"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72C16E0"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22</w:t>
            </w:r>
          </w:p>
        </w:tc>
        <w:tc>
          <w:tcPr>
            <w:tcW w:w="3690" w:type="dxa"/>
            <w:tcBorders>
              <w:top w:val="nil"/>
              <w:left w:val="nil"/>
              <w:bottom w:val="single" w:sz="4" w:space="0" w:color="auto"/>
              <w:right w:val="single" w:sz="4" w:space="0" w:color="auto"/>
            </w:tcBorders>
            <w:shd w:val="clear" w:color="auto" w:fill="auto"/>
            <w:hideMark/>
          </w:tcPr>
          <w:p w14:paraId="71768A2E"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CVCA/DVCA raktų operacijų modulis</w:t>
            </w:r>
          </w:p>
        </w:tc>
        <w:tc>
          <w:tcPr>
            <w:tcW w:w="990" w:type="dxa"/>
            <w:tcBorders>
              <w:top w:val="nil"/>
              <w:left w:val="nil"/>
              <w:bottom w:val="single" w:sz="4" w:space="0" w:color="auto"/>
              <w:right w:val="single" w:sz="4" w:space="0" w:color="auto"/>
            </w:tcBorders>
            <w:shd w:val="clear" w:color="auto" w:fill="auto"/>
            <w:noWrap/>
            <w:hideMark/>
          </w:tcPr>
          <w:p w14:paraId="6B9FFBD2"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738CA3E4"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HSM nCipher nC4033P-500</w:t>
            </w:r>
          </w:p>
        </w:tc>
      </w:tr>
      <w:tr w:rsidR="00D65E17" w:rsidRPr="00D65E17" w14:paraId="678B269D" w14:textId="77777777" w:rsidTr="00D65E17">
        <w:trPr>
          <w:trHeight w:val="345"/>
        </w:trPr>
        <w:tc>
          <w:tcPr>
            <w:tcW w:w="900" w:type="dxa"/>
            <w:tcBorders>
              <w:top w:val="nil"/>
              <w:left w:val="single" w:sz="4" w:space="0" w:color="auto"/>
              <w:bottom w:val="single" w:sz="4" w:space="0" w:color="auto"/>
              <w:right w:val="single" w:sz="4" w:space="0" w:color="auto"/>
            </w:tcBorders>
            <w:shd w:val="clear" w:color="auto" w:fill="auto"/>
            <w:noWrap/>
            <w:hideMark/>
          </w:tcPr>
          <w:p w14:paraId="26BD1A00"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23</w:t>
            </w:r>
          </w:p>
        </w:tc>
        <w:tc>
          <w:tcPr>
            <w:tcW w:w="3690" w:type="dxa"/>
            <w:tcBorders>
              <w:top w:val="nil"/>
              <w:left w:val="nil"/>
              <w:bottom w:val="single" w:sz="4" w:space="0" w:color="auto"/>
              <w:right w:val="single" w:sz="4" w:space="0" w:color="auto"/>
            </w:tcBorders>
            <w:shd w:val="clear" w:color="auto" w:fill="auto"/>
            <w:hideMark/>
          </w:tcPr>
          <w:p w14:paraId="3F9B312A"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CSCA tarnybinė stotis</w:t>
            </w:r>
          </w:p>
        </w:tc>
        <w:tc>
          <w:tcPr>
            <w:tcW w:w="990" w:type="dxa"/>
            <w:tcBorders>
              <w:top w:val="nil"/>
              <w:left w:val="nil"/>
              <w:bottom w:val="single" w:sz="4" w:space="0" w:color="auto"/>
              <w:right w:val="single" w:sz="4" w:space="0" w:color="auto"/>
            </w:tcBorders>
            <w:shd w:val="clear" w:color="auto" w:fill="auto"/>
            <w:noWrap/>
            <w:hideMark/>
          </w:tcPr>
          <w:p w14:paraId="3FB9F6D1"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5C3E929B"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HPE ProLiant MicroServer Gen10 Plus</w:t>
            </w:r>
          </w:p>
        </w:tc>
      </w:tr>
      <w:tr w:rsidR="00D65E17" w:rsidRPr="00D65E17" w14:paraId="7C424E9C"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60553ADC"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24</w:t>
            </w:r>
          </w:p>
        </w:tc>
        <w:tc>
          <w:tcPr>
            <w:tcW w:w="3690" w:type="dxa"/>
            <w:tcBorders>
              <w:top w:val="nil"/>
              <w:left w:val="nil"/>
              <w:bottom w:val="single" w:sz="4" w:space="0" w:color="auto"/>
              <w:right w:val="single" w:sz="4" w:space="0" w:color="auto"/>
            </w:tcBorders>
            <w:shd w:val="clear" w:color="auto" w:fill="auto"/>
            <w:hideMark/>
          </w:tcPr>
          <w:p w14:paraId="40C0045B"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HA tinklo komutatorius</w:t>
            </w:r>
          </w:p>
        </w:tc>
        <w:tc>
          <w:tcPr>
            <w:tcW w:w="990" w:type="dxa"/>
            <w:tcBorders>
              <w:top w:val="nil"/>
              <w:left w:val="nil"/>
              <w:bottom w:val="single" w:sz="4" w:space="0" w:color="auto"/>
              <w:right w:val="single" w:sz="4" w:space="0" w:color="auto"/>
            </w:tcBorders>
            <w:shd w:val="clear" w:color="auto" w:fill="auto"/>
            <w:noWrap/>
            <w:hideMark/>
          </w:tcPr>
          <w:p w14:paraId="2173E942"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76C8466A"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Cisco Catalyst 1000 Series</w:t>
            </w:r>
          </w:p>
        </w:tc>
      </w:tr>
      <w:tr w:rsidR="00D65E17" w:rsidRPr="00D65E17" w14:paraId="4A782BB0"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16CEAB7D"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25</w:t>
            </w:r>
          </w:p>
        </w:tc>
        <w:tc>
          <w:tcPr>
            <w:tcW w:w="3690" w:type="dxa"/>
            <w:tcBorders>
              <w:top w:val="nil"/>
              <w:left w:val="nil"/>
              <w:bottom w:val="single" w:sz="4" w:space="0" w:color="auto"/>
              <w:right w:val="single" w:sz="4" w:space="0" w:color="auto"/>
            </w:tcBorders>
            <w:shd w:val="clear" w:color="auto" w:fill="auto"/>
            <w:hideMark/>
          </w:tcPr>
          <w:p w14:paraId="119594C8"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Ugniasienė</w:t>
            </w:r>
          </w:p>
        </w:tc>
        <w:tc>
          <w:tcPr>
            <w:tcW w:w="990" w:type="dxa"/>
            <w:tcBorders>
              <w:top w:val="nil"/>
              <w:left w:val="nil"/>
              <w:bottom w:val="single" w:sz="4" w:space="0" w:color="auto"/>
              <w:right w:val="single" w:sz="4" w:space="0" w:color="auto"/>
            </w:tcBorders>
            <w:shd w:val="clear" w:color="auto" w:fill="auto"/>
            <w:noWrap/>
            <w:hideMark/>
          </w:tcPr>
          <w:p w14:paraId="3279833D"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7AAC990B"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Cisco ISR 4321</w:t>
            </w:r>
          </w:p>
        </w:tc>
      </w:tr>
      <w:tr w:rsidR="00D65E17" w:rsidRPr="00D65E17" w14:paraId="1BAAF15F"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7F30DFF7"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26</w:t>
            </w:r>
          </w:p>
        </w:tc>
        <w:tc>
          <w:tcPr>
            <w:tcW w:w="3690" w:type="dxa"/>
            <w:tcBorders>
              <w:top w:val="nil"/>
              <w:left w:val="nil"/>
              <w:bottom w:val="single" w:sz="4" w:space="0" w:color="auto"/>
              <w:right w:val="single" w:sz="4" w:space="0" w:color="auto"/>
            </w:tcBorders>
            <w:shd w:val="clear" w:color="auto" w:fill="auto"/>
            <w:hideMark/>
          </w:tcPr>
          <w:p w14:paraId="110D0F8D"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ADGP duomenų bazių tarnybinė stotis</w:t>
            </w:r>
          </w:p>
        </w:tc>
        <w:tc>
          <w:tcPr>
            <w:tcW w:w="990" w:type="dxa"/>
            <w:tcBorders>
              <w:top w:val="nil"/>
              <w:left w:val="nil"/>
              <w:bottom w:val="single" w:sz="4" w:space="0" w:color="auto"/>
              <w:right w:val="single" w:sz="4" w:space="0" w:color="auto"/>
            </w:tcBorders>
            <w:shd w:val="clear" w:color="auto" w:fill="auto"/>
            <w:noWrap/>
            <w:hideMark/>
          </w:tcPr>
          <w:p w14:paraId="3D1A61C6"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3825C2B2"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 xml:space="preserve">IBM System x3650 Xeon Quad Core E5430 </w:t>
            </w:r>
          </w:p>
        </w:tc>
      </w:tr>
      <w:tr w:rsidR="00D65E17" w:rsidRPr="00D65E17" w14:paraId="07075D55" w14:textId="77777777" w:rsidTr="00D65E17">
        <w:trPr>
          <w:trHeight w:val="600"/>
        </w:trPr>
        <w:tc>
          <w:tcPr>
            <w:tcW w:w="900" w:type="dxa"/>
            <w:tcBorders>
              <w:top w:val="nil"/>
              <w:left w:val="single" w:sz="4" w:space="0" w:color="auto"/>
              <w:bottom w:val="single" w:sz="4" w:space="0" w:color="auto"/>
              <w:right w:val="single" w:sz="4" w:space="0" w:color="auto"/>
            </w:tcBorders>
            <w:shd w:val="clear" w:color="auto" w:fill="auto"/>
            <w:noWrap/>
            <w:hideMark/>
          </w:tcPr>
          <w:p w14:paraId="07FA80AA"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27</w:t>
            </w:r>
          </w:p>
        </w:tc>
        <w:tc>
          <w:tcPr>
            <w:tcW w:w="3690" w:type="dxa"/>
            <w:tcBorders>
              <w:top w:val="nil"/>
              <w:left w:val="nil"/>
              <w:bottom w:val="single" w:sz="4" w:space="0" w:color="auto"/>
              <w:right w:val="single" w:sz="4" w:space="0" w:color="auto"/>
            </w:tcBorders>
            <w:shd w:val="clear" w:color="auto" w:fill="auto"/>
            <w:hideMark/>
          </w:tcPr>
          <w:p w14:paraId="3026A13F"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ADGP naudotojų administravimo tarnybinė stotis</w:t>
            </w:r>
          </w:p>
        </w:tc>
        <w:tc>
          <w:tcPr>
            <w:tcW w:w="990" w:type="dxa"/>
            <w:tcBorders>
              <w:top w:val="nil"/>
              <w:left w:val="nil"/>
              <w:bottom w:val="single" w:sz="4" w:space="0" w:color="auto"/>
              <w:right w:val="single" w:sz="4" w:space="0" w:color="auto"/>
            </w:tcBorders>
            <w:shd w:val="clear" w:color="auto" w:fill="auto"/>
            <w:noWrap/>
            <w:hideMark/>
          </w:tcPr>
          <w:p w14:paraId="5504BD29"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31D9AE7A"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IBM xSeries 346 Xeon</w:t>
            </w:r>
          </w:p>
        </w:tc>
      </w:tr>
      <w:tr w:rsidR="00D65E17" w:rsidRPr="00D65E17" w14:paraId="1C54B782" w14:textId="77777777" w:rsidTr="00D65E17">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14:paraId="409445A5"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28</w:t>
            </w:r>
          </w:p>
        </w:tc>
        <w:tc>
          <w:tcPr>
            <w:tcW w:w="3690" w:type="dxa"/>
            <w:tcBorders>
              <w:top w:val="nil"/>
              <w:left w:val="nil"/>
              <w:bottom w:val="single" w:sz="4" w:space="0" w:color="auto"/>
              <w:right w:val="single" w:sz="4" w:space="0" w:color="auto"/>
            </w:tcBorders>
            <w:shd w:val="clear" w:color="auto" w:fill="auto"/>
            <w:hideMark/>
          </w:tcPr>
          <w:p w14:paraId="13409486"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ADGP maršrutizuojantis komutatorius</w:t>
            </w:r>
          </w:p>
        </w:tc>
        <w:tc>
          <w:tcPr>
            <w:tcW w:w="990" w:type="dxa"/>
            <w:tcBorders>
              <w:top w:val="nil"/>
              <w:left w:val="nil"/>
              <w:bottom w:val="single" w:sz="4" w:space="0" w:color="auto"/>
              <w:right w:val="single" w:sz="4" w:space="0" w:color="auto"/>
            </w:tcBorders>
            <w:shd w:val="clear" w:color="auto" w:fill="auto"/>
            <w:noWrap/>
            <w:hideMark/>
          </w:tcPr>
          <w:p w14:paraId="2F8E9A65"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 vnt.</w:t>
            </w:r>
          </w:p>
        </w:tc>
        <w:tc>
          <w:tcPr>
            <w:tcW w:w="4140" w:type="dxa"/>
            <w:tcBorders>
              <w:top w:val="nil"/>
              <w:left w:val="nil"/>
              <w:bottom w:val="single" w:sz="4" w:space="0" w:color="auto"/>
              <w:right w:val="single" w:sz="4" w:space="0" w:color="auto"/>
            </w:tcBorders>
            <w:shd w:val="clear" w:color="auto" w:fill="auto"/>
            <w:hideMark/>
          </w:tcPr>
          <w:p w14:paraId="0CC5D3A2"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HP Aruba 6100</w:t>
            </w:r>
          </w:p>
        </w:tc>
      </w:tr>
      <w:tr w:rsidR="00D65E17" w:rsidRPr="00D65E17" w14:paraId="5DCAC5F7" w14:textId="77777777" w:rsidTr="00D65E17">
        <w:trPr>
          <w:trHeight w:val="345"/>
        </w:trPr>
        <w:tc>
          <w:tcPr>
            <w:tcW w:w="900" w:type="dxa"/>
            <w:tcBorders>
              <w:top w:val="nil"/>
              <w:left w:val="single" w:sz="4" w:space="0" w:color="auto"/>
              <w:bottom w:val="single" w:sz="4" w:space="0" w:color="auto"/>
              <w:right w:val="single" w:sz="4" w:space="0" w:color="auto"/>
            </w:tcBorders>
            <w:shd w:val="clear" w:color="auto" w:fill="auto"/>
            <w:noWrap/>
            <w:hideMark/>
          </w:tcPr>
          <w:p w14:paraId="7910BEE7"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29</w:t>
            </w:r>
          </w:p>
        </w:tc>
        <w:tc>
          <w:tcPr>
            <w:tcW w:w="3690" w:type="dxa"/>
            <w:tcBorders>
              <w:top w:val="nil"/>
              <w:left w:val="nil"/>
              <w:bottom w:val="single" w:sz="4" w:space="0" w:color="auto"/>
              <w:right w:val="single" w:sz="4" w:space="0" w:color="auto"/>
            </w:tcBorders>
            <w:shd w:val="clear" w:color="auto" w:fill="auto"/>
            <w:hideMark/>
          </w:tcPr>
          <w:p w14:paraId="1278AB77"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Autonominis oro kompresorius</w:t>
            </w:r>
          </w:p>
        </w:tc>
        <w:tc>
          <w:tcPr>
            <w:tcW w:w="990" w:type="dxa"/>
            <w:tcBorders>
              <w:top w:val="nil"/>
              <w:left w:val="nil"/>
              <w:bottom w:val="single" w:sz="4" w:space="0" w:color="auto"/>
              <w:right w:val="single" w:sz="4" w:space="0" w:color="auto"/>
            </w:tcBorders>
            <w:shd w:val="clear" w:color="auto" w:fill="auto"/>
            <w:noWrap/>
            <w:hideMark/>
          </w:tcPr>
          <w:p w14:paraId="3A56BE56" w14:textId="77777777" w:rsidR="00D65E17" w:rsidRPr="00D65E17" w:rsidRDefault="00D65E17" w:rsidP="00D65E17">
            <w:pPr>
              <w:spacing w:after="0" w:line="240" w:lineRule="auto"/>
              <w:jc w:val="center"/>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1 vnt.</w:t>
            </w:r>
          </w:p>
        </w:tc>
        <w:tc>
          <w:tcPr>
            <w:tcW w:w="4140" w:type="dxa"/>
            <w:tcBorders>
              <w:top w:val="nil"/>
              <w:left w:val="nil"/>
              <w:bottom w:val="single" w:sz="4" w:space="0" w:color="auto"/>
              <w:right w:val="single" w:sz="4" w:space="0" w:color="auto"/>
            </w:tcBorders>
            <w:shd w:val="clear" w:color="auto" w:fill="auto"/>
            <w:hideMark/>
          </w:tcPr>
          <w:p w14:paraId="2CD0B55F" w14:textId="77777777" w:rsidR="00D65E17" w:rsidRPr="00D65E17" w:rsidRDefault="00D65E17" w:rsidP="00D65E17">
            <w:pPr>
              <w:spacing w:after="0" w:line="240" w:lineRule="auto"/>
              <w:jc w:val="left"/>
              <w:rPr>
                <w:rFonts w:ascii="Calibri" w:eastAsia="Times New Roman" w:hAnsi="Calibri" w:cs="Calibri"/>
                <w:color w:val="000000"/>
                <w:lang w:val="lt-LT" w:eastAsia="lt-LT"/>
              </w:rPr>
            </w:pPr>
            <w:r w:rsidRPr="00D65E17">
              <w:rPr>
                <w:rFonts w:ascii="Calibri" w:eastAsia="Times New Roman" w:hAnsi="Calibri" w:cs="Calibri"/>
                <w:color w:val="000000"/>
                <w:lang w:val="lt-LT" w:eastAsia="lt-LT"/>
              </w:rPr>
              <w:t>Boge CD-4</w:t>
            </w:r>
          </w:p>
        </w:tc>
      </w:tr>
    </w:tbl>
    <w:p w14:paraId="142743E2" w14:textId="5C11F195" w:rsidR="00D65E17" w:rsidRDefault="00D65E17" w:rsidP="008328ED">
      <w:pPr>
        <w:spacing w:after="0"/>
        <w:ind w:left="720"/>
        <w:contextualSpacing/>
        <w:rPr>
          <w:rFonts w:asciiTheme="majorHAnsi" w:eastAsia="Calibri" w:hAnsiTheme="majorHAnsi" w:cstheme="majorHAnsi"/>
          <w:lang w:val="lt-LT"/>
        </w:rPr>
      </w:pPr>
    </w:p>
    <w:p w14:paraId="26A12CBD" w14:textId="77777777" w:rsidR="008328ED" w:rsidRPr="009530BE" w:rsidRDefault="008328ED" w:rsidP="008328ED">
      <w:pPr>
        <w:numPr>
          <w:ilvl w:val="0"/>
          <w:numId w:val="40"/>
        </w:numPr>
        <w:tabs>
          <w:tab w:val="left" w:pos="851"/>
        </w:tabs>
        <w:spacing w:after="0" w:line="240" w:lineRule="auto"/>
        <w:ind w:left="0" w:firstLine="0"/>
        <w:jc w:val="center"/>
        <w:rPr>
          <w:rFonts w:asciiTheme="majorHAnsi" w:eastAsia="Times New Roman" w:hAnsiTheme="majorHAnsi" w:cstheme="majorHAnsi"/>
          <w:b/>
          <w:lang w:val="lt-LT"/>
        </w:rPr>
      </w:pPr>
      <w:r w:rsidRPr="009530BE">
        <w:rPr>
          <w:rFonts w:asciiTheme="majorHAnsi" w:eastAsia="Times New Roman" w:hAnsiTheme="majorHAnsi" w:cstheme="majorHAnsi"/>
          <w:b/>
          <w:lang w:val="lt-LT"/>
        </w:rPr>
        <w:t>PASLAUGŲ SPECIFIKACIJA</w:t>
      </w:r>
    </w:p>
    <w:p w14:paraId="103E037D" w14:textId="77777777" w:rsidR="008328ED" w:rsidRPr="009530BE" w:rsidRDefault="008328ED" w:rsidP="008328ED">
      <w:pPr>
        <w:tabs>
          <w:tab w:val="left" w:pos="851"/>
        </w:tabs>
        <w:spacing w:after="0"/>
        <w:rPr>
          <w:rFonts w:asciiTheme="majorHAnsi" w:eastAsia="Times New Roman" w:hAnsiTheme="majorHAnsi" w:cstheme="majorHAnsi"/>
          <w:b/>
          <w:lang w:val="lt-LT"/>
        </w:rPr>
      </w:pPr>
    </w:p>
    <w:p w14:paraId="3618880F" w14:textId="77777777" w:rsidR="008328ED" w:rsidRPr="009530BE" w:rsidRDefault="008328ED" w:rsidP="008328ED">
      <w:pPr>
        <w:numPr>
          <w:ilvl w:val="1"/>
          <w:numId w:val="40"/>
        </w:numPr>
        <w:tabs>
          <w:tab w:val="num" w:pos="792"/>
          <w:tab w:val="left" w:pos="1311"/>
        </w:tabs>
        <w:spacing w:after="0" w:line="240" w:lineRule="auto"/>
        <w:ind w:left="0" w:firstLine="720"/>
        <w:contextualSpacing/>
        <w:rPr>
          <w:rFonts w:asciiTheme="majorHAnsi" w:eastAsia="Calibri" w:hAnsiTheme="majorHAnsi" w:cstheme="majorHAnsi"/>
          <w:b/>
          <w:lang w:val="lt-LT"/>
        </w:rPr>
      </w:pPr>
      <w:r w:rsidRPr="009530BE">
        <w:rPr>
          <w:rFonts w:asciiTheme="majorHAnsi" w:eastAsia="Calibri" w:hAnsiTheme="majorHAnsi" w:cstheme="majorHAnsi"/>
          <w:b/>
          <w:lang w:val="lt-LT"/>
        </w:rPr>
        <w:t>Techninės ir programinės įrangos sutrikimų šalinimas:</w:t>
      </w:r>
    </w:p>
    <w:p w14:paraId="66288362"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sutrikimo priežasčių diagnostika;</w:t>
      </w:r>
    </w:p>
    <w:p w14:paraId="3B4541EF"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konsultacijos telefonu ir elektroniniu paštu teikiamos darbo dienomis nuo 7.30 val. iki 19.00 val.;</w:t>
      </w:r>
    </w:p>
    <w:p w14:paraId="6AFF46E9"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specializuotos programinės įrangos klaidų diagnozavimas, pataisymų parengimas, testavimas, diegimas;</w:t>
      </w:r>
    </w:p>
    <w:p w14:paraId="5E5057B9"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pilnas sistemos veikimo atstatymas:</w:t>
      </w:r>
    </w:p>
    <w:p w14:paraId="4B423072" w14:textId="77777777" w:rsidR="008328ED" w:rsidRPr="009530BE" w:rsidRDefault="008328ED" w:rsidP="008328ED">
      <w:pPr>
        <w:numPr>
          <w:ilvl w:val="3"/>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lastRenderedPageBreak/>
        <w:t>Užregistravus gedimą, reagavimo laikas Paslaugos teikėjo informavimo sistemoje neturi viršyti 1 valandos;</w:t>
      </w:r>
    </w:p>
    <w:p w14:paraId="45494FE5" w14:textId="77777777" w:rsidR="008328ED" w:rsidRPr="009530BE" w:rsidRDefault="008328ED" w:rsidP="008328ED">
      <w:pPr>
        <w:numPr>
          <w:ilvl w:val="3"/>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Maksimalus įrangos dalinio funkcionalumo atstatymo laikas, kai vartotojai dėl gedimo negali tęsti darbo neturi viršyti 4 valandų;</w:t>
      </w:r>
    </w:p>
    <w:p w14:paraId="288ACCCC" w14:textId="77777777" w:rsidR="008328ED" w:rsidRPr="009530BE" w:rsidRDefault="008328ED" w:rsidP="008328ED">
      <w:pPr>
        <w:numPr>
          <w:ilvl w:val="3"/>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Maksimalus įrangos visiško funkcionalumo atstatymo laikas, kai vartotojai dėl gedimo negali dirbti pilnu pajėgumu neturi viršyti 72 valandų.</w:t>
      </w:r>
    </w:p>
    <w:p w14:paraId="6FDF8852" w14:textId="77777777" w:rsidR="008328ED" w:rsidRPr="009530BE" w:rsidRDefault="008328ED" w:rsidP="008328ED">
      <w:pPr>
        <w:numPr>
          <w:ilvl w:val="2"/>
          <w:numId w:val="40"/>
        </w:numPr>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sutrikimų prevencijos rekomendacijų pateikimas ir įgyvendinimas;</w:t>
      </w:r>
    </w:p>
    <w:p w14:paraId="663C3976" w14:textId="5D29A844" w:rsidR="006C3603" w:rsidRPr="006C3603" w:rsidRDefault="008328ED" w:rsidP="006C3603">
      <w:pPr>
        <w:numPr>
          <w:ilvl w:val="2"/>
          <w:numId w:val="40"/>
        </w:numPr>
        <w:spacing w:after="0" w:line="240" w:lineRule="auto"/>
        <w:ind w:left="0" w:firstLine="720"/>
        <w:rPr>
          <w:rFonts w:asciiTheme="majorHAnsi" w:eastAsia="Times New Roman" w:hAnsiTheme="majorHAnsi" w:cstheme="majorHAnsi"/>
          <w:lang w:val="lt-LT"/>
        </w:rPr>
      </w:pPr>
      <w:r w:rsidRPr="006C3603">
        <w:rPr>
          <w:rFonts w:asciiTheme="majorHAnsi" w:eastAsia="Times New Roman" w:hAnsiTheme="majorHAnsi" w:cstheme="majorHAnsi"/>
          <w:lang w:val="lt-LT"/>
        </w:rPr>
        <w:t>detalių techninių reikalavimų papildomam funkcionalumui rengimas ir derinimas;</w:t>
      </w:r>
    </w:p>
    <w:p w14:paraId="08988B9F" w14:textId="7DBD6798" w:rsidR="006C3603" w:rsidRPr="006C3603" w:rsidRDefault="006C3603" w:rsidP="006C3603">
      <w:pPr>
        <w:spacing w:after="0" w:line="240" w:lineRule="auto"/>
        <w:ind w:left="720"/>
        <w:rPr>
          <w:rFonts w:asciiTheme="majorHAnsi" w:eastAsia="Times New Roman" w:hAnsiTheme="majorHAnsi" w:cstheme="majorHAnsi"/>
          <w:lang w:val="lt-LT"/>
        </w:rPr>
      </w:pPr>
      <w:r w:rsidRPr="006C3603">
        <w:rPr>
          <w:rFonts w:asciiTheme="majorHAnsi" w:hAnsiTheme="majorHAnsi" w:cstheme="majorHAnsi"/>
          <w:lang w:val="lt-LT"/>
        </w:rPr>
        <w:t>3</w:t>
      </w:r>
      <w:r w:rsidRPr="006C3603">
        <w:rPr>
          <w:rFonts w:asciiTheme="majorHAnsi" w:hAnsiTheme="majorHAnsi" w:cstheme="majorHAnsi"/>
          <w:lang w:val="lt-LT"/>
        </w:rPr>
        <w:t>.1.7. funkcionalumo pakeitimų programavimas (įsigaliojus naujiems Lietuvos Respublikos ar Europos Sąjungos teisės aktams, naudojamų taikomųjų programinių resursų optimizavimui, keičiantis keliamiems sistemų saugos reikalavimams) , testavimas (testinėje aplinkoje) ir dokumentavimas, papildant esamą arba pateikiant naujus dokumentus;</w:t>
      </w:r>
    </w:p>
    <w:p w14:paraId="5F30FEE5" w14:textId="047D7FE6" w:rsidR="006C3603" w:rsidRPr="006C3603" w:rsidRDefault="006C3603" w:rsidP="006C3603">
      <w:pPr>
        <w:pStyle w:val="Sraopastraipa"/>
        <w:ind w:left="426"/>
        <w:rPr>
          <w:rFonts w:asciiTheme="majorHAnsi" w:hAnsiTheme="majorHAnsi" w:cstheme="majorHAnsi"/>
          <w:lang w:val="lt-LT"/>
        </w:rPr>
      </w:pPr>
      <w:r w:rsidRPr="006C3603">
        <w:rPr>
          <w:rFonts w:asciiTheme="majorHAnsi" w:hAnsiTheme="majorHAnsi" w:cstheme="majorHAnsi"/>
        </w:rPr>
        <w:t xml:space="preserve">     </w:t>
      </w:r>
      <w:r w:rsidRPr="006C3603">
        <w:rPr>
          <w:rFonts w:asciiTheme="majorHAnsi" w:hAnsiTheme="majorHAnsi" w:cstheme="majorHAnsi"/>
          <w:lang w:val="lt-LT"/>
        </w:rPr>
        <w:t xml:space="preserve"> </w:t>
      </w:r>
      <w:r w:rsidRPr="006C3603">
        <w:rPr>
          <w:rFonts w:asciiTheme="majorHAnsi" w:hAnsiTheme="majorHAnsi" w:cstheme="majorHAnsi"/>
          <w:lang w:val="lt-LT"/>
        </w:rPr>
        <w:t>3.1.8. diegimas gamybinėje aplinkoje ir testavimas;</w:t>
      </w:r>
    </w:p>
    <w:p w14:paraId="75AF7081" w14:textId="77777777" w:rsidR="006C3603" w:rsidRPr="006C3603" w:rsidRDefault="006C3603" w:rsidP="006C3603">
      <w:pPr>
        <w:pStyle w:val="Sraopastraipa"/>
        <w:ind w:left="709"/>
        <w:rPr>
          <w:rFonts w:asciiTheme="majorHAnsi" w:hAnsiTheme="majorHAnsi" w:cstheme="majorHAnsi"/>
          <w:lang w:val="lt-LT"/>
        </w:rPr>
      </w:pPr>
      <w:r w:rsidRPr="006C3603">
        <w:rPr>
          <w:rFonts w:asciiTheme="majorHAnsi" w:hAnsiTheme="majorHAnsi" w:cstheme="majorHAnsi"/>
          <w:lang w:val="lt-LT"/>
        </w:rPr>
        <w:t>3.1.9. techninės dokumentacijos rengimas;</w:t>
      </w:r>
    </w:p>
    <w:p w14:paraId="667BF27B" w14:textId="77777777" w:rsidR="006C3603" w:rsidRPr="006C3603" w:rsidRDefault="006C3603" w:rsidP="006C3603">
      <w:pPr>
        <w:pStyle w:val="Sraopastraipa"/>
        <w:ind w:left="709"/>
        <w:rPr>
          <w:rFonts w:asciiTheme="majorHAnsi" w:hAnsiTheme="majorHAnsi" w:cstheme="majorHAnsi"/>
          <w:lang w:val="lt-LT"/>
        </w:rPr>
      </w:pPr>
      <w:r w:rsidRPr="006C3603">
        <w:rPr>
          <w:rFonts w:asciiTheme="majorHAnsi" w:hAnsiTheme="majorHAnsi" w:cstheme="majorHAnsi"/>
          <w:lang w:val="lt-LT"/>
        </w:rPr>
        <w:t>3.1.10. Realizuojant funkcionalumo pakeitimus neturi keistis principinė sistemos architektūra;</w:t>
      </w:r>
    </w:p>
    <w:p w14:paraId="3C124EFF" w14:textId="77777777" w:rsidR="006C3603" w:rsidRPr="006C3603" w:rsidRDefault="006C3603" w:rsidP="006C3603">
      <w:pPr>
        <w:pStyle w:val="Sraopastraipa"/>
        <w:ind w:left="709"/>
        <w:rPr>
          <w:rFonts w:asciiTheme="majorHAnsi" w:hAnsiTheme="majorHAnsi" w:cstheme="majorHAnsi"/>
          <w:lang w:val="lt-LT"/>
        </w:rPr>
      </w:pPr>
      <w:r w:rsidRPr="006C3603">
        <w:rPr>
          <w:rFonts w:asciiTheme="majorHAnsi" w:hAnsiTheme="majorHAnsi" w:cstheme="majorHAnsi"/>
          <w:lang w:val="lt-LT"/>
        </w:rPr>
        <w:t>3.1.11. Pakeista programinė įranga (funkcionalumas) ir jos autorinės teisės turės būti perduotos perkančiosios organizacijos nuosavybėn turtinėmis teisėmis;</w:t>
      </w:r>
    </w:p>
    <w:p w14:paraId="256D5F36" w14:textId="77777777" w:rsidR="006C3603" w:rsidRPr="006C3603" w:rsidRDefault="006C3603" w:rsidP="006C3603">
      <w:pPr>
        <w:pStyle w:val="Sraopastraipa"/>
        <w:ind w:left="709"/>
        <w:rPr>
          <w:rFonts w:asciiTheme="majorHAnsi" w:hAnsiTheme="majorHAnsi" w:cstheme="majorHAnsi"/>
          <w:lang w:val="lt-LT"/>
        </w:rPr>
      </w:pPr>
      <w:r w:rsidRPr="006C3603">
        <w:rPr>
          <w:rFonts w:asciiTheme="majorHAnsi" w:hAnsiTheme="majorHAnsi" w:cstheme="majorHAnsi"/>
          <w:lang w:val="lt-LT"/>
        </w:rPr>
        <w:t>3.1.12. Perkančiosios organizacijos atsakingi asmenys pateikia paraišką el. Paštu ar HELP DESK priemonėmis Paslaugų teikėjo atsakingiems asmenims.</w:t>
      </w:r>
      <w:r w:rsidRPr="006C3603">
        <w:rPr>
          <w:rFonts w:asciiTheme="majorHAnsi" w:hAnsiTheme="majorHAnsi" w:cstheme="majorHAnsi"/>
          <w:b/>
          <w:bCs/>
          <w:lang w:val="lt-LT"/>
        </w:rPr>
        <w:t xml:space="preserve"> </w:t>
      </w:r>
      <w:r w:rsidRPr="006C3603">
        <w:rPr>
          <w:rFonts w:asciiTheme="majorHAnsi" w:hAnsiTheme="majorHAnsi" w:cstheme="majorHAnsi"/>
          <w:lang w:val="lt-LT"/>
        </w:rPr>
        <w:t>Įgalioti Paslaugų teikėjo ir perkančiosios organizacijos specialistai suderina reikalavimų specifikaciją, paslaugų apimtis ir Paslaugų teikėjo specialistų darbo grafiką, įdiegimo ir bandymų procedūras, atnaujintą dokumentaciją, vartotojų mokymo tvarką (šie susitarimai užfiksuojami raštiškai ir tampa paraiškos priedu).</w:t>
      </w:r>
    </w:p>
    <w:p w14:paraId="6FEA5489" w14:textId="77777777" w:rsidR="006C3603" w:rsidRPr="006C3603" w:rsidRDefault="006C3603" w:rsidP="006C3603">
      <w:pPr>
        <w:pStyle w:val="Sraopastraipa"/>
        <w:ind w:left="709"/>
        <w:rPr>
          <w:rFonts w:asciiTheme="majorHAnsi" w:hAnsiTheme="majorHAnsi" w:cstheme="majorHAnsi"/>
          <w:lang w:val="lt-LT"/>
          <w14:ligatures w14:val="standardContextual"/>
        </w:rPr>
      </w:pPr>
      <w:r w:rsidRPr="006C3603">
        <w:rPr>
          <w:rFonts w:asciiTheme="majorHAnsi" w:hAnsiTheme="majorHAnsi" w:cstheme="majorHAnsi"/>
          <w:lang w:val="lt-LT"/>
        </w:rPr>
        <w:t>3.1.13. Sutarties galiojimo laikotarpiu patobulintam funkcionalumui turi būti suteiktas garantija ne trumpesnė kaip 12 mėnesių nuo funkcionalumo patobulinimo (perdavimo - priėmimo akto pasirašymo) dienos</w:t>
      </w:r>
    </w:p>
    <w:p w14:paraId="78032850" w14:textId="7EFC73F1" w:rsidR="006C3603" w:rsidRPr="006C3603" w:rsidRDefault="006C3603" w:rsidP="006C3603">
      <w:pPr>
        <w:pStyle w:val="Sraopastraipa"/>
        <w:ind w:left="709"/>
        <w:rPr>
          <w:rFonts w:asciiTheme="majorHAnsi" w:hAnsiTheme="majorHAnsi" w:cstheme="majorHAnsi"/>
          <w:lang w:val="lt-LT"/>
        </w:rPr>
      </w:pPr>
      <w:r w:rsidRPr="006C3603">
        <w:rPr>
          <w:rFonts w:asciiTheme="majorHAnsi" w:hAnsiTheme="majorHAnsi" w:cstheme="majorHAnsi"/>
          <w:lang w:val="lt-LT"/>
        </w:rPr>
        <w:t>3.1.14 Defektų, atsiradusių po tobulinimo darbų, dėl paslaugos teikėjo kaltės, šalinimas turi būti atliktas nemokamai ir neturi daryti įtakos kitoms teikiamoms paslaugoms (terminui, kainai ir kt.).</w:t>
      </w:r>
    </w:p>
    <w:p w14:paraId="521ACC5F" w14:textId="77777777" w:rsidR="008328ED" w:rsidRPr="009530BE" w:rsidRDefault="008328ED" w:rsidP="008328ED">
      <w:pPr>
        <w:numPr>
          <w:ilvl w:val="1"/>
          <w:numId w:val="40"/>
        </w:numPr>
        <w:tabs>
          <w:tab w:val="num" w:pos="792"/>
          <w:tab w:val="left" w:pos="851"/>
        </w:tabs>
        <w:spacing w:after="0" w:line="240" w:lineRule="auto"/>
        <w:ind w:left="0" w:firstLine="720"/>
        <w:rPr>
          <w:rFonts w:asciiTheme="majorHAnsi" w:eastAsia="Times New Roman" w:hAnsiTheme="majorHAnsi" w:cstheme="majorHAnsi"/>
          <w:b/>
          <w:lang w:val="lt-LT"/>
        </w:rPr>
      </w:pPr>
      <w:r w:rsidRPr="009530BE">
        <w:rPr>
          <w:rFonts w:asciiTheme="majorHAnsi" w:eastAsia="Times New Roman" w:hAnsiTheme="majorHAnsi" w:cstheme="majorHAnsi"/>
          <w:b/>
          <w:lang w:val="lt-LT"/>
        </w:rPr>
        <w:t>Programinės įrangos, operacinių sistemų, techninės įrangos veiklos stebėsena, profilaktinė priežiūra ir kitų sutrikimų šalinimas pagal perkančiosios organizacijos užsakymus:</w:t>
      </w:r>
    </w:p>
    <w:p w14:paraId="691F49A7" w14:textId="77777777" w:rsidR="008328ED" w:rsidRPr="009530BE" w:rsidRDefault="008328ED" w:rsidP="008328ED">
      <w:pPr>
        <w:numPr>
          <w:ilvl w:val="2"/>
          <w:numId w:val="40"/>
        </w:numPr>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 xml:space="preserve">Paslaugų teikėjo įgalioti specialistai, pagal perkančiosios organizacijos poreikį ir </w:t>
      </w:r>
      <w:r w:rsidRPr="009530BE">
        <w:rPr>
          <w:rFonts w:asciiTheme="majorHAnsi" w:eastAsia="Calibri" w:hAnsiTheme="majorHAnsi" w:cstheme="majorHAnsi"/>
          <w:b/>
          <w:lang w:val="lt-LT"/>
        </w:rPr>
        <w:t xml:space="preserve"> </w:t>
      </w:r>
      <w:r w:rsidRPr="009530BE">
        <w:rPr>
          <w:rFonts w:asciiTheme="majorHAnsi" w:eastAsia="Calibri" w:hAnsiTheme="majorHAnsi" w:cstheme="majorHAnsi"/>
          <w:lang w:val="lt-LT"/>
        </w:rPr>
        <w:t>pateiktą el. paštu  ir/arba HELP DESK priemonėmis paraišką, atlieka registrų, programinės įrangos, operacinių sistemų, techninės įrangos profilaktinę priežiūrą. Profilaktinę priežiūrą sudaro:</w:t>
      </w:r>
    </w:p>
    <w:p w14:paraId="70597025" w14:textId="77777777" w:rsidR="008328ED" w:rsidRPr="009530BE" w:rsidRDefault="008328ED" w:rsidP="008328ED">
      <w:pPr>
        <w:numPr>
          <w:ilvl w:val="3"/>
          <w:numId w:val="40"/>
        </w:numPr>
        <w:tabs>
          <w:tab w:val="num" w:pos="15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techninių parametrų optimizavimas našumui ir saugumui užtikrinti;</w:t>
      </w:r>
    </w:p>
    <w:p w14:paraId="32302B89" w14:textId="77777777" w:rsidR="008328ED" w:rsidRPr="009530BE" w:rsidRDefault="008328ED" w:rsidP="008328ED">
      <w:pPr>
        <w:numPr>
          <w:ilvl w:val="3"/>
          <w:numId w:val="40"/>
        </w:numPr>
        <w:tabs>
          <w:tab w:val="num" w:pos="15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naudojamų techninių ir programinės įrangos resursų optimizavimas;</w:t>
      </w:r>
    </w:p>
    <w:p w14:paraId="7D02F66A" w14:textId="77777777" w:rsidR="008328ED" w:rsidRPr="009530BE" w:rsidRDefault="008328ED" w:rsidP="008328ED">
      <w:pPr>
        <w:numPr>
          <w:ilvl w:val="3"/>
          <w:numId w:val="40"/>
        </w:numPr>
        <w:tabs>
          <w:tab w:val="num" w:pos="15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galimų sutrikimų ar resursų trūkumo prognozė;</w:t>
      </w:r>
    </w:p>
    <w:p w14:paraId="75B443EE" w14:textId="77777777" w:rsidR="008328ED" w:rsidRPr="009530BE" w:rsidRDefault="008328ED" w:rsidP="008328ED">
      <w:pPr>
        <w:numPr>
          <w:ilvl w:val="3"/>
          <w:numId w:val="40"/>
        </w:numPr>
        <w:tabs>
          <w:tab w:val="num" w:pos="15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pilnas veikimo atstatymas esant kitam sutrikimui;</w:t>
      </w:r>
    </w:p>
    <w:p w14:paraId="1F9EF261" w14:textId="77777777" w:rsidR="008328ED" w:rsidRPr="009530BE" w:rsidRDefault="008328ED" w:rsidP="008328ED">
      <w:pPr>
        <w:numPr>
          <w:ilvl w:val="3"/>
          <w:numId w:val="40"/>
        </w:numPr>
        <w:tabs>
          <w:tab w:val="num" w:pos="15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programinės įrangos atnaujinimų ir pataisymų diegimas;</w:t>
      </w:r>
    </w:p>
    <w:p w14:paraId="2FC542E3" w14:textId="77777777" w:rsidR="008328ED" w:rsidRPr="009530BE" w:rsidRDefault="008328ED" w:rsidP="008328ED">
      <w:pPr>
        <w:numPr>
          <w:ilvl w:val="3"/>
          <w:numId w:val="40"/>
        </w:numPr>
        <w:tabs>
          <w:tab w:val="num" w:pos="15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kitas sutrikimas – ADGP, BDPS ir KPĮ veiklos procesai ir funkcionalumas, paveiktas nežymiai bei sutrikimas, kuris duomenims ir funkcionalumui grėsmės nekelia, sutrikimo šalinimas vykdomas suderintomis su Perkančiąja organizacija darbo valandomis kreipinyje nurodyta apimtimi ir terminais.</w:t>
      </w:r>
    </w:p>
    <w:p w14:paraId="3DA3DB87" w14:textId="77777777" w:rsidR="008328ED" w:rsidRPr="009530BE" w:rsidRDefault="008328ED" w:rsidP="008328ED">
      <w:pPr>
        <w:numPr>
          <w:ilvl w:val="2"/>
          <w:numId w:val="40"/>
        </w:numPr>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Paslaugų teikėjo įgalioti specialistai pagal poreikį peržiūri ir suderina sistemos techninius parametrus, siekiant pagerinti sistemos darbo našumą ir užtikrinti saugumą.</w:t>
      </w:r>
    </w:p>
    <w:p w14:paraId="52299472" w14:textId="77777777" w:rsidR="008328ED" w:rsidRPr="009530BE" w:rsidRDefault="008328ED" w:rsidP="008328ED">
      <w:pPr>
        <w:numPr>
          <w:ilvl w:val="2"/>
          <w:numId w:val="40"/>
        </w:numPr>
        <w:tabs>
          <w:tab w:val="left" w:pos="270"/>
          <w:tab w:val="left" w:pos="450"/>
          <w:tab w:val="left" w:pos="60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Sistemos techninės ir programinės įrangos gamintojams išleidus atnaujinimų ar pataisymų paketus, tiekėjas, ne vėliau, kaip per vieną mėnesį informuoja perkančiąją organizaciją ir pradeda derinimą dėl diegimo. Jų diegimas atliekamas pagal suderintą su perkančiąja organizacija grafiką, atsižvelgiant į galimą sistemos stabdymo poreikį, galimus sutrikimus ir veikimo atstatymą nesėkmės atveju.</w:t>
      </w:r>
    </w:p>
    <w:p w14:paraId="2030C16B" w14:textId="77777777" w:rsidR="008328ED" w:rsidRPr="009530BE" w:rsidRDefault="008328ED" w:rsidP="008328ED">
      <w:pPr>
        <w:numPr>
          <w:ilvl w:val="1"/>
          <w:numId w:val="40"/>
        </w:numPr>
        <w:tabs>
          <w:tab w:val="center" w:pos="0"/>
          <w:tab w:val="num" w:pos="792"/>
        </w:tabs>
        <w:spacing w:after="0" w:line="240" w:lineRule="auto"/>
        <w:ind w:left="0" w:firstLine="720"/>
        <w:contextualSpacing/>
        <w:rPr>
          <w:rFonts w:asciiTheme="majorHAnsi" w:eastAsia="Calibri" w:hAnsiTheme="majorHAnsi" w:cstheme="majorHAnsi"/>
          <w:b/>
          <w:bCs/>
          <w:lang w:val="lt-LT"/>
        </w:rPr>
      </w:pPr>
      <w:r w:rsidRPr="009530BE">
        <w:rPr>
          <w:rFonts w:asciiTheme="majorHAnsi" w:eastAsia="Calibri" w:hAnsiTheme="majorHAnsi" w:cstheme="majorHAnsi"/>
          <w:b/>
          <w:bCs/>
          <w:lang w:val="lt-LT"/>
        </w:rPr>
        <w:t>Dokumentacija ir išeities tekstai</w:t>
      </w:r>
    </w:p>
    <w:p w14:paraId="0978DDD9" w14:textId="77777777" w:rsidR="008328ED" w:rsidRPr="009530BE" w:rsidRDefault="008328ED" w:rsidP="008328ED">
      <w:pPr>
        <w:numPr>
          <w:ilvl w:val="2"/>
          <w:numId w:val="40"/>
        </w:numPr>
        <w:tabs>
          <w:tab w:val="center" w:pos="0"/>
          <w:tab w:val="left" w:pos="1701"/>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Paslaugų teikėjas turės paruošti šiuos dokumentus:</w:t>
      </w:r>
    </w:p>
    <w:p w14:paraId="7CE3753E" w14:textId="77777777" w:rsidR="008328ED" w:rsidRPr="009530BE" w:rsidRDefault="008328ED" w:rsidP="008328ED">
      <w:pPr>
        <w:numPr>
          <w:ilvl w:val="3"/>
          <w:numId w:val="40"/>
        </w:numPr>
        <w:tabs>
          <w:tab w:val="num" w:pos="-4395"/>
          <w:tab w:val="left" w:pos="-2552"/>
          <w:tab w:val="left" w:pos="15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Atliktų darbų priėmimui turės būti atnaujinta esama dokumentacija taip, kad atspindėtų visus paslaugų vykdymo eigoje įgyvendintus pakeitimus.</w:t>
      </w:r>
    </w:p>
    <w:p w14:paraId="3D15BA31" w14:textId="77777777" w:rsidR="008328ED" w:rsidRPr="009530BE" w:rsidRDefault="008328ED" w:rsidP="008328ED">
      <w:pPr>
        <w:numPr>
          <w:ilvl w:val="3"/>
          <w:numId w:val="40"/>
        </w:numPr>
        <w:tabs>
          <w:tab w:val="num" w:pos="-4395"/>
          <w:tab w:val="left" w:pos="-2552"/>
          <w:tab w:val="left" w:pos="15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Turi būti atnaujinta įrangos naudotojo vadovai ir techninės specifikacijos.</w:t>
      </w:r>
    </w:p>
    <w:p w14:paraId="0594CE95" w14:textId="77777777" w:rsidR="008328ED" w:rsidRPr="009530BE" w:rsidRDefault="008328ED" w:rsidP="008328ED">
      <w:pPr>
        <w:numPr>
          <w:ilvl w:val="2"/>
          <w:numId w:val="40"/>
        </w:numPr>
        <w:tabs>
          <w:tab w:val="left" w:pos="-4395"/>
          <w:tab w:val="num" w:pos="-4253"/>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Dokumentų galutiniai variantai turi būti pateikti dviem formatais: elektroniniu (doc, docx arba kitu lygiaverčiu, su perkančiąja organizacija suderintu formatu) ir popieriniu (1 egz.). Jų preliminarios (projektinės) versijos pateikiamos elektroniniu formatu.</w:t>
      </w:r>
    </w:p>
    <w:p w14:paraId="38C5E95F" w14:textId="77777777" w:rsidR="008328ED" w:rsidRPr="009530BE" w:rsidRDefault="008328ED" w:rsidP="008328ED">
      <w:pPr>
        <w:numPr>
          <w:ilvl w:val="2"/>
          <w:numId w:val="40"/>
        </w:numPr>
        <w:tabs>
          <w:tab w:val="left" w:pos="-4395"/>
          <w:tab w:val="num" w:pos="-4253"/>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lastRenderedPageBreak/>
        <w:t>Programinės įrangos išeities tekstai turi būti pateikiami perkančiajai organizacijai elektroninėje laikmenoje tų įrankių, kuriais jie sukurti, formatu ir nešifruoti.</w:t>
      </w:r>
    </w:p>
    <w:p w14:paraId="1B96A0AE" w14:textId="77777777" w:rsidR="008328ED" w:rsidRPr="009530BE" w:rsidRDefault="008328ED" w:rsidP="008328ED">
      <w:pPr>
        <w:numPr>
          <w:ilvl w:val="2"/>
          <w:numId w:val="40"/>
        </w:numPr>
        <w:tabs>
          <w:tab w:val="left" w:pos="-4395"/>
          <w:tab w:val="num" w:pos="-4253"/>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Paslaugų teikėjas privalės sukonfigūruoti (ir dokumentuoti) programinės įrangos diegimo į gamybinę aplinką procesą ir priemones taip, kad atsakingas ADIC darbuotojas programinę įrangą, pagamintą (sukompiliuotą) iš pateiktų išeities tekstų, galėtų įdiegti į gamybinę aplinką, valdyti diegimo konfigūraciją.</w:t>
      </w:r>
    </w:p>
    <w:p w14:paraId="7C9EEB67" w14:textId="5762C5FE" w:rsidR="008328ED" w:rsidRDefault="008328ED" w:rsidP="008328ED">
      <w:pPr>
        <w:tabs>
          <w:tab w:val="center" w:pos="0"/>
          <w:tab w:val="left" w:pos="567"/>
        </w:tabs>
        <w:spacing w:after="0"/>
        <w:rPr>
          <w:rFonts w:asciiTheme="majorHAnsi" w:eastAsia="Times New Roman" w:hAnsiTheme="majorHAnsi" w:cstheme="majorHAnsi"/>
          <w:lang w:val="lt-LT"/>
        </w:rPr>
      </w:pPr>
    </w:p>
    <w:p w14:paraId="035278CB" w14:textId="0DF0BD38" w:rsidR="003668F9" w:rsidRDefault="003668F9" w:rsidP="008328ED">
      <w:pPr>
        <w:tabs>
          <w:tab w:val="center" w:pos="0"/>
          <w:tab w:val="left" w:pos="567"/>
        </w:tabs>
        <w:spacing w:after="0"/>
        <w:rPr>
          <w:rFonts w:asciiTheme="majorHAnsi" w:eastAsia="Times New Roman" w:hAnsiTheme="majorHAnsi" w:cstheme="majorHAnsi"/>
          <w:lang w:val="lt-LT"/>
        </w:rPr>
      </w:pPr>
    </w:p>
    <w:p w14:paraId="6797CD08" w14:textId="77777777" w:rsidR="003668F9" w:rsidRPr="009530BE" w:rsidRDefault="003668F9" w:rsidP="008328ED">
      <w:pPr>
        <w:tabs>
          <w:tab w:val="center" w:pos="0"/>
          <w:tab w:val="left" w:pos="567"/>
        </w:tabs>
        <w:spacing w:after="0"/>
        <w:rPr>
          <w:rFonts w:asciiTheme="majorHAnsi" w:eastAsia="Times New Roman" w:hAnsiTheme="majorHAnsi" w:cstheme="majorHAnsi"/>
          <w:lang w:val="lt-LT"/>
        </w:rPr>
      </w:pPr>
    </w:p>
    <w:p w14:paraId="77B9D775" w14:textId="77777777" w:rsidR="008328ED" w:rsidRPr="009530BE" w:rsidRDefault="008328ED" w:rsidP="008328ED">
      <w:pPr>
        <w:numPr>
          <w:ilvl w:val="0"/>
          <w:numId w:val="40"/>
        </w:numPr>
        <w:spacing w:after="0" w:line="240" w:lineRule="auto"/>
        <w:ind w:left="0" w:firstLine="0"/>
        <w:contextualSpacing/>
        <w:jc w:val="center"/>
        <w:rPr>
          <w:rFonts w:asciiTheme="majorHAnsi" w:eastAsia="Calibri" w:hAnsiTheme="majorHAnsi" w:cstheme="majorHAnsi"/>
          <w:b/>
          <w:bCs/>
          <w:caps/>
          <w:lang w:val="lt-LT"/>
        </w:rPr>
      </w:pPr>
      <w:r w:rsidRPr="009530BE">
        <w:rPr>
          <w:rFonts w:asciiTheme="majorHAnsi" w:eastAsia="Calibri" w:hAnsiTheme="majorHAnsi" w:cstheme="majorHAnsi"/>
          <w:b/>
          <w:bCs/>
          <w:caps/>
          <w:lang w:val="lt-LT"/>
        </w:rPr>
        <w:t>Reikalavimai paslaugoms</w:t>
      </w:r>
    </w:p>
    <w:p w14:paraId="2F8BAC40" w14:textId="77777777" w:rsidR="008328ED" w:rsidRPr="009530BE" w:rsidRDefault="008328ED" w:rsidP="008328ED">
      <w:pPr>
        <w:spacing w:after="0" w:line="240" w:lineRule="auto"/>
        <w:contextualSpacing/>
        <w:rPr>
          <w:rFonts w:asciiTheme="majorHAnsi" w:eastAsia="Calibri" w:hAnsiTheme="majorHAnsi" w:cstheme="majorHAnsi"/>
          <w:b/>
          <w:bCs/>
          <w:caps/>
          <w:lang w:val="lt-LT"/>
        </w:rPr>
      </w:pPr>
    </w:p>
    <w:p w14:paraId="1C5BD9C3" w14:textId="77777777" w:rsidR="008328ED" w:rsidRPr="009530BE" w:rsidRDefault="008328ED" w:rsidP="008328ED">
      <w:pPr>
        <w:numPr>
          <w:ilvl w:val="1"/>
          <w:numId w:val="40"/>
        </w:numPr>
        <w:tabs>
          <w:tab w:val="num" w:pos="-4395"/>
          <w:tab w:val="left" w:pos="851"/>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Paslaugos teikiamos darbo dienomis, pagal perkančiosios organizacijos poreikį.</w:t>
      </w:r>
    </w:p>
    <w:p w14:paraId="0ABDBE66" w14:textId="77777777" w:rsidR="008328ED" w:rsidRPr="009530BE" w:rsidRDefault="008328ED" w:rsidP="008328ED">
      <w:pPr>
        <w:numPr>
          <w:ilvl w:val="1"/>
          <w:numId w:val="40"/>
        </w:numPr>
        <w:tabs>
          <w:tab w:val="num" w:pos="-4253"/>
          <w:tab w:val="left" w:pos="851"/>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Kiekvienas kreipinys paslaugoms teikti yra individualiai apskaitomas Paslaugų teikėjo informacinėje sistemoje (angl. HELP DESK) – kreipinių valdymo sistemoje. Perkančioji organizacija turi turėti galimybę peržiūrėti jo kreipinių būseną bei įgyvendinimo eigą. Kreipiniai registruojami ir į juos reaguojama šia tvarka:</w:t>
      </w:r>
    </w:p>
    <w:p w14:paraId="2C3DF725"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Perkančiosios organizacijos įgalioti asmenys praneša apie aptiktą gedimą elektroniniu paštu ir/arba HELP DESK priemonėmis. Jeigu sutrikimas kritinis ir reikalauja skubaus ištaisymo, perkančiosios organizacijos įgalioti asmenys papildomai paskambina Paslaugų teikėjo įgaliotiems asmenims;</w:t>
      </w:r>
    </w:p>
    <w:p w14:paraId="603F00BC"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Elektroniniu paštu gautas pranešimas apie trūkumą automatiškai užregistruojamas Paslaugų teikėjo kreipinių valdymo sistemoje ir jam suteikiamas identifikacinis numeris. Apie tai elektroniniu paštu informuojamas kreipinį išsiuntęs perkančiosios organizacijos atstovas ir įgalioti Paslaugų teikėjo asmenys;</w:t>
      </w:r>
    </w:p>
    <w:p w14:paraId="6C0C1246"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Paslaugų teikėjo įgalioti asmenys detalizuoja informaciją apie kreipinį, įvertina kokie yra trūkumai ir sudaro jų pašalinimo grafiką. Grafikas yra suderinamas su perkančiosios organizacijos atstovu. Numatomas įgyvendinimo terminas užfiksuojamas Paslaugų teikėjo kreipinių valdymo sistemoje;</w:t>
      </w:r>
    </w:p>
    <w:p w14:paraId="2625E970"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Išsprendus kreipinyje nurodytus trūkumus, Paslaugų teikėjo atstovas informuoja apie tai perkančiosios organizacijos atstovą elektroniniu paštu. Jeigu klaida kritinė ir reikalauja skubaus ištaisymo  Paslaugų teikėjo atstovas papildomai paskambina perkančiosios organizacijos atstovui ir informuoja jį apie atliktus darbus;</w:t>
      </w:r>
    </w:p>
    <w:p w14:paraId="177937A5"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Bet kurios įrangos remonto metu negalės būti pažeistas esamos ADGP, BDPS ir PKĮ funkcionalumas ir negalės būti sutrikdytas nė vienos rūšies asmens dokumentų išrašymas ir išdavimas.</w:t>
      </w:r>
    </w:p>
    <w:p w14:paraId="20587322"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Kritinis sutrikimas – 2.2 punkte nurodyta įranga negali funkcionuoti, paslaugų teikėjas negali vykdyti savo veiklos.</w:t>
      </w:r>
    </w:p>
    <w:p w14:paraId="7C45B00C" w14:textId="77777777" w:rsidR="008328ED" w:rsidRPr="009530BE" w:rsidRDefault="008328ED" w:rsidP="008328ED">
      <w:pPr>
        <w:numPr>
          <w:ilvl w:val="2"/>
          <w:numId w:val="40"/>
        </w:numPr>
        <w:tabs>
          <w:tab w:val="left" w:pos="960"/>
        </w:tabs>
        <w:spacing w:after="0" w:line="240" w:lineRule="auto"/>
        <w:ind w:left="0" w:firstLine="720"/>
        <w:rPr>
          <w:rFonts w:asciiTheme="majorHAnsi" w:eastAsia="Times New Roman" w:hAnsiTheme="majorHAnsi" w:cstheme="majorHAnsi"/>
          <w:lang w:val="lt-LT"/>
        </w:rPr>
      </w:pPr>
      <w:r w:rsidRPr="009530BE">
        <w:rPr>
          <w:rFonts w:asciiTheme="majorHAnsi" w:eastAsia="Times New Roman" w:hAnsiTheme="majorHAnsi" w:cstheme="majorHAnsi"/>
          <w:lang w:val="lt-LT"/>
        </w:rPr>
        <w:t>Kitas sutrikimas – 2.2. punkte nurodytos įrangos funkcionalumas paveiktas nežymiai bei sutrikimas, kuris duomenims ir funkcionalumui grėsmės nekelia.</w:t>
      </w:r>
    </w:p>
    <w:p w14:paraId="187FAE41" w14:textId="77777777" w:rsidR="008328ED" w:rsidRPr="009530BE" w:rsidRDefault="008328ED" w:rsidP="008328ED">
      <w:pPr>
        <w:spacing w:after="0"/>
        <w:rPr>
          <w:rFonts w:asciiTheme="majorHAnsi" w:eastAsia="Times New Roman" w:hAnsiTheme="majorHAnsi" w:cstheme="majorHAnsi"/>
          <w:lang w:val="lt-LT"/>
        </w:rPr>
      </w:pPr>
    </w:p>
    <w:p w14:paraId="754CAAAF" w14:textId="77777777" w:rsidR="008328ED" w:rsidRPr="009530BE" w:rsidRDefault="008328ED" w:rsidP="008328ED">
      <w:pPr>
        <w:numPr>
          <w:ilvl w:val="0"/>
          <w:numId w:val="40"/>
        </w:numPr>
        <w:spacing w:after="0" w:line="240" w:lineRule="auto"/>
        <w:ind w:left="0" w:firstLine="993"/>
        <w:contextualSpacing/>
        <w:jc w:val="center"/>
        <w:rPr>
          <w:rFonts w:asciiTheme="majorHAnsi" w:eastAsia="Calibri" w:hAnsiTheme="majorHAnsi" w:cstheme="majorHAnsi"/>
          <w:b/>
          <w:bCs/>
          <w:caps/>
          <w:lang w:val="lt-LT"/>
        </w:rPr>
      </w:pPr>
      <w:r w:rsidRPr="009530BE">
        <w:rPr>
          <w:rFonts w:asciiTheme="majorHAnsi" w:eastAsia="Calibri" w:hAnsiTheme="majorHAnsi" w:cstheme="majorHAnsi"/>
          <w:b/>
          <w:bCs/>
          <w:caps/>
          <w:lang w:val="lt-LT"/>
        </w:rPr>
        <w:t>reikalavimai komponentų keitimui naujais</w:t>
      </w:r>
    </w:p>
    <w:p w14:paraId="193CE8D3" w14:textId="77777777" w:rsidR="008328ED" w:rsidRPr="009530BE" w:rsidRDefault="008328ED" w:rsidP="008328ED">
      <w:pPr>
        <w:spacing w:after="0"/>
        <w:jc w:val="center"/>
        <w:rPr>
          <w:rFonts w:asciiTheme="majorHAnsi" w:eastAsia="Times New Roman" w:hAnsiTheme="majorHAnsi" w:cstheme="majorHAnsi"/>
          <w:b/>
          <w:lang w:val="lt-LT"/>
        </w:rPr>
      </w:pPr>
    </w:p>
    <w:p w14:paraId="50BC93D5" w14:textId="77777777" w:rsidR="008328ED" w:rsidRPr="009530BE" w:rsidRDefault="008328ED" w:rsidP="008328ED">
      <w:pPr>
        <w:numPr>
          <w:ilvl w:val="1"/>
          <w:numId w:val="40"/>
        </w:numPr>
        <w:tabs>
          <w:tab w:val="num" w:pos="792"/>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Paslaugų teikėjas, vykdydamas techninės įrangos sutrikimų šalinimo paslaugas, privalo užtikrinti komponentų, nurodytų techninės specifikacijos 2.2.</w:t>
      </w:r>
      <w:r w:rsidRPr="00FF6EFB">
        <w:rPr>
          <w:rFonts w:asciiTheme="majorHAnsi" w:eastAsia="Calibri" w:hAnsiTheme="majorHAnsi" w:cstheme="majorHAnsi"/>
          <w:lang w:val="lt-LT"/>
        </w:rPr>
        <w:t>4</w:t>
      </w:r>
      <w:r w:rsidRPr="009530BE">
        <w:rPr>
          <w:rFonts w:asciiTheme="majorHAnsi" w:eastAsia="Calibri" w:hAnsiTheme="majorHAnsi" w:cstheme="majorHAnsi"/>
          <w:lang w:val="lt-LT"/>
        </w:rPr>
        <w:t xml:space="preserve"> skyriuje, pilną sistemų funkcionavimą.</w:t>
      </w:r>
    </w:p>
    <w:p w14:paraId="6D804085" w14:textId="77777777" w:rsidR="008328ED" w:rsidRPr="009530BE" w:rsidRDefault="008328ED" w:rsidP="008328ED">
      <w:pPr>
        <w:numPr>
          <w:ilvl w:val="1"/>
          <w:numId w:val="40"/>
        </w:numPr>
        <w:tabs>
          <w:tab w:val="num" w:pos="792"/>
          <w:tab w:val="left" w:pos="9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Paslaugų teikėjas privalo informuoti perkančiąją organizaciją apie remontuojamus arba keičiamus komponentus (nurodant pavadinimą, modelį).</w:t>
      </w:r>
    </w:p>
    <w:p w14:paraId="6C382EF7" w14:textId="77777777" w:rsidR="008328ED" w:rsidRPr="009530BE" w:rsidRDefault="008328ED" w:rsidP="008328ED">
      <w:pPr>
        <w:numPr>
          <w:ilvl w:val="1"/>
          <w:numId w:val="40"/>
        </w:numPr>
        <w:tabs>
          <w:tab w:val="num" w:pos="792"/>
          <w:tab w:val="left" w:pos="9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 xml:space="preserve">Sutarties galiojimo laikotarpiu pakeistiems į naujus ir suremontuotiems techninės įrangos komponentams turi būti suteiktas garantinis aptarnavimas ne mažiau kaip 12 mėnesių nuo komponento pakeitimo (komponento pakeitimo akto pasirašymo) dienos. </w:t>
      </w:r>
    </w:p>
    <w:p w14:paraId="426EB54A" w14:textId="77777777" w:rsidR="008328ED" w:rsidRPr="009530BE" w:rsidRDefault="008328ED" w:rsidP="008328ED">
      <w:pPr>
        <w:numPr>
          <w:ilvl w:val="1"/>
          <w:numId w:val="40"/>
        </w:numPr>
        <w:tabs>
          <w:tab w:val="num" w:pos="792"/>
          <w:tab w:val="left" w:pos="9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Jeigu Paslaugų teikėjas negali užtikrinti komponento veikimo funkcionalumo, komponentas keičiamas į analogiškai veikiantį.</w:t>
      </w:r>
    </w:p>
    <w:p w14:paraId="2C2D9F97" w14:textId="77777777" w:rsidR="008328ED" w:rsidRPr="009530BE" w:rsidRDefault="008328ED" w:rsidP="008328ED">
      <w:pPr>
        <w:numPr>
          <w:ilvl w:val="1"/>
          <w:numId w:val="40"/>
        </w:numPr>
        <w:tabs>
          <w:tab w:val="num" w:pos="792"/>
          <w:tab w:val="left" w:pos="9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Pakeisti komponentai atstatomi į komponentų buvimo vietą.</w:t>
      </w:r>
    </w:p>
    <w:p w14:paraId="6D50372C" w14:textId="77777777" w:rsidR="008328ED" w:rsidRPr="009530BE" w:rsidRDefault="008328ED" w:rsidP="008328ED">
      <w:pPr>
        <w:numPr>
          <w:ilvl w:val="1"/>
          <w:numId w:val="40"/>
        </w:numPr>
        <w:tabs>
          <w:tab w:val="num" w:pos="792"/>
          <w:tab w:val="left" w:pos="9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Paslaugų teikėjui, atlikus komponento pakeitimą, pakeitimas apiforminamas vadovaujantis galiojančiais teisės aktais ir surašomas pakeitimo aktas, kuriame nurodomas buvęs komponento inventorinis arba nomenklatūrinis numeris, pavadinimas ir modelis, naujo komponento pavadinimas, modelis ir numeris.</w:t>
      </w:r>
    </w:p>
    <w:p w14:paraId="6E7EAA72" w14:textId="4C421235" w:rsidR="005E7B7E" w:rsidRPr="003668F9" w:rsidRDefault="008328ED" w:rsidP="005E7B7E">
      <w:pPr>
        <w:numPr>
          <w:ilvl w:val="1"/>
          <w:numId w:val="40"/>
        </w:numPr>
        <w:tabs>
          <w:tab w:val="num" w:pos="792"/>
          <w:tab w:val="left" w:pos="960"/>
        </w:tabs>
        <w:spacing w:after="0" w:line="240" w:lineRule="auto"/>
        <w:ind w:left="0" w:firstLine="720"/>
        <w:contextualSpacing/>
        <w:rPr>
          <w:rFonts w:asciiTheme="majorHAnsi" w:eastAsia="Calibri" w:hAnsiTheme="majorHAnsi" w:cstheme="majorHAnsi"/>
          <w:lang w:val="lt-LT"/>
        </w:rPr>
      </w:pPr>
      <w:r w:rsidRPr="009530BE">
        <w:rPr>
          <w:rFonts w:asciiTheme="majorHAnsi" w:eastAsia="Calibri" w:hAnsiTheme="majorHAnsi" w:cstheme="majorHAnsi"/>
          <w:lang w:val="lt-LT"/>
        </w:rPr>
        <w:t>Pakeistas komponentas yra atiduodamas perkančiajai organizacijai.</w:t>
      </w:r>
    </w:p>
    <w:p w14:paraId="3BBB1E4F" w14:textId="77777777" w:rsidR="008328ED" w:rsidRPr="009530BE" w:rsidRDefault="008328ED" w:rsidP="008328ED">
      <w:pPr>
        <w:tabs>
          <w:tab w:val="center" w:pos="4680"/>
          <w:tab w:val="right" w:pos="9360"/>
        </w:tabs>
        <w:spacing w:after="0" w:line="240" w:lineRule="auto"/>
        <w:rPr>
          <w:rFonts w:asciiTheme="majorHAnsi" w:eastAsia="Calibri" w:hAnsiTheme="majorHAnsi" w:cstheme="majorHAnsi"/>
          <w:lang w:val="lt-LT"/>
        </w:rPr>
      </w:pPr>
    </w:p>
    <w:p w14:paraId="148683F6" w14:textId="77777777" w:rsidR="008328ED" w:rsidRPr="009530BE" w:rsidRDefault="008328ED" w:rsidP="008328ED">
      <w:pPr>
        <w:numPr>
          <w:ilvl w:val="0"/>
          <w:numId w:val="40"/>
        </w:numPr>
        <w:spacing w:after="0" w:line="240" w:lineRule="auto"/>
        <w:ind w:left="0" w:firstLine="0"/>
        <w:contextualSpacing/>
        <w:jc w:val="center"/>
        <w:rPr>
          <w:rFonts w:asciiTheme="majorHAnsi" w:eastAsia="Calibri" w:hAnsiTheme="majorHAnsi" w:cstheme="majorHAnsi"/>
          <w:b/>
          <w:bCs/>
          <w:caps/>
          <w:lang w:val="lt-LT"/>
        </w:rPr>
      </w:pPr>
      <w:r w:rsidRPr="009530BE">
        <w:rPr>
          <w:rFonts w:asciiTheme="majorHAnsi" w:eastAsia="Calibri" w:hAnsiTheme="majorHAnsi" w:cstheme="majorHAnsi"/>
          <w:b/>
          <w:bCs/>
          <w:caps/>
          <w:lang w:val="lt-LT"/>
        </w:rPr>
        <w:t>BAIGIAMOSIOS NUOSTATOS</w:t>
      </w:r>
    </w:p>
    <w:p w14:paraId="190FFBD1" w14:textId="77777777" w:rsidR="008328ED" w:rsidRPr="009530BE" w:rsidRDefault="008328ED" w:rsidP="00821D1F">
      <w:pPr>
        <w:spacing w:after="0" w:line="240" w:lineRule="auto"/>
        <w:contextualSpacing/>
        <w:rPr>
          <w:rFonts w:asciiTheme="majorHAnsi" w:eastAsia="Calibri" w:hAnsiTheme="majorHAnsi" w:cstheme="majorHAnsi"/>
          <w:b/>
          <w:bCs/>
          <w:caps/>
          <w:lang w:val="lt-LT"/>
        </w:rPr>
      </w:pPr>
    </w:p>
    <w:p w14:paraId="74B05A6F" w14:textId="77777777" w:rsidR="00821D1F" w:rsidRPr="009530BE" w:rsidRDefault="008328ED" w:rsidP="00821D1F">
      <w:pPr>
        <w:numPr>
          <w:ilvl w:val="1"/>
          <w:numId w:val="40"/>
        </w:numPr>
        <w:tabs>
          <w:tab w:val="left" w:pos="851"/>
        </w:tabs>
        <w:spacing w:after="0" w:line="240" w:lineRule="auto"/>
        <w:ind w:left="-142" w:firstLine="709"/>
        <w:contextualSpacing/>
        <w:rPr>
          <w:rFonts w:asciiTheme="majorHAnsi" w:eastAsia="Calibri" w:hAnsiTheme="majorHAnsi" w:cstheme="majorHAnsi"/>
          <w:b/>
          <w:bCs/>
          <w:caps/>
          <w:lang w:val="lt-LT"/>
        </w:rPr>
      </w:pPr>
      <w:r w:rsidRPr="009530BE">
        <w:rPr>
          <w:rFonts w:asciiTheme="majorHAnsi" w:eastAsia="Calibri" w:hAnsiTheme="majorHAnsi" w:cstheme="majorHAnsi"/>
          <w:lang w:val="lt-LT"/>
        </w:rPr>
        <w:t>Pagrindinė reikalavimų tenkinimo nuostata: ištaisytos rastos programinės įrangos klaidos, pakeisti programinės įrangos funkcionalumai, sauga, greitaveika, patogumas, suremontuota ar pateikta nauja techninė įranga turi būti ne prastesni nei dabartiniai.</w:t>
      </w:r>
    </w:p>
    <w:p w14:paraId="2C7136A0" w14:textId="77777777" w:rsidR="009A3A9F" w:rsidRPr="009530BE" w:rsidRDefault="008328ED" w:rsidP="009A3A9F">
      <w:pPr>
        <w:numPr>
          <w:ilvl w:val="1"/>
          <w:numId w:val="40"/>
        </w:numPr>
        <w:tabs>
          <w:tab w:val="num" w:pos="142"/>
          <w:tab w:val="left" w:pos="851"/>
        </w:tabs>
        <w:spacing w:after="0" w:line="240" w:lineRule="auto"/>
        <w:ind w:left="-142" w:firstLine="851"/>
        <w:contextualSpacing/>
        <w:rPr>
          <w:rFonts w:asciiTheme="majorHAnsi" w:eastAsia="Calibri" w:hAnsiTheme="majorHAnsi" w:cstheme="majorHAnsi"/>
          <w:lang w:val="lt-LT"/>
        </w:rPr>
      </w:pPr>
      <w:r w:rsidRPr="009530BE">
        <w:rPr>
          <w:rFonts w:asciiTheme="majorHAnsi" w:eastAsia="Calibri" w:hAnsiTheme="majorHAnsi" w:cstheme="majorHAnsi"/>
          <w:lang w:val="lt-LT"/>
        </w:rPr>
        <w:lastRenderedPageBreak/>
        <w:t>Paslaugų teikėjas, po darbų perdavimo-priėmimo aktų pasirašymo turi suteikti ne mažesnį nei 12 (dvylikos) mėnesių garantinį aptarnavimą pakeistam programinės įrangos funkcionalumui</w:t>
      </w:r>
      <w:r w:rsidR="009A3A9F" w:rsidRPr="009530BE">
        <w:rPr>
          <w:rFonts w:asciiTheme="majorHAnsi" w:eastAsia="Calibri" w:hAnsiTheme="majorHAnsi" w:cstheme="majorHAnsi"/>
          <w:lang w:val="lt-LT"/>
        </w:rPr>
        <w:t>.</w:t>
      </w:r>
    </w:p>
    <w:p w14:paraId="153C4244" w14:textId="36A8E073" w:rsidR="008328ED" w:rsidRPr="009530BE" w:rsidRDefault="009A3A9F" w:rsidP="009A3A9F">
      <w:pPr>
        <w:numPr>
          <w:ilvl w:val="1"/>
          <w:numId w:val="40"/>
        </w:numPr>
        <w:tabs>
          <w:tab w:val="num" w:pos="142"/>
          <w:tab w:val="left" w:pos="851"/>
        </w:tabs>
        <w:spacing w:after="0" w:line="240" w:lineRule="auto"/>
        <w:ind w:left="-142" w:firstLine="851"/>
        <w:contextualSpacing/>
        <w:rPr>
          <w:rFonts w:asciiTheme="majorHAnsi" w:eastAsia="Calibri" w:hAnsiTheme="majorHAnsi" w:cstheme="majorHAnsi"/>
          <w:b/>
          <w:bCs/>
          <w:caps/>
          <w:lang w:val="lt-LT"/>
        </w:rPr>
      </w:pPr>
      <w:r w:rsidRPr="009530BE">
        <w:rPr>
          <w:rFonts w:asciiTheme="majorHAnsi" w:eastAsia="Calibri" w:hAnsiTheme="majorHAnsi" w:cstheme="majorHAnsi"/>
          <w:lang w:val="lt-LT"/>
        </w:rPr>
        <w:t>Vykdomas žaliasis pirkimas vadovaujantis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6A35936" w14:textId="219AE104" w:rsidR="00FF6EFB" w:rsidRPr="00FF6EFB" w:rsidRDefault="00FF6EFB" w:rsidP="00FF6EFB">
      <w:pPr>
        <w:pStyle w:val="Sraopastraipa"/>
        <w:numPr>
          <w:ilvl w:val="1"/>
          <w:numId w:val="40"/>
        </w:numPr>
        <w:tabs>
          <w:tab w:val="clear" w:pos="1242"/>
        </w:tabs>
        <w:spacing w:after="0" w:line="240" w:lineRule="auto"/>
        <w:ind w:left="0" w:firstLine="810"/>
        <w:rPr>
          <w:rFonts w:asciiTheme="majorHAnsi" w:hAnsiTheme="majorHAnsi" w:cstheme="majorHAnsi"/>
          <w:lang w:val="lt-LT"/>
        </w:rPr>
      </w:pPr>
      <w:r w:rsidRPr="00FF6EFB">
        <w:rPr>
          <w:rFonts w:asciiTheme="majorHAnsi" w:hAnsiTheme="majorHAnsi" w:cstheme="majorHAnsi"/>
          <w:lang w:val="lt-LT"/>
        </w:rPr>
        <w:t>Tiekėjas Perkančiajai organizacijai privalo nedelsdamas raštu pranešti, jeigu tiekėjo, (jungtinės veiklos partnerių, subtiekėjų), informacinių technologijų infrastruktūroje įvyksta kibernetinio saugumo, elektroninės informacijos saugos ar asmens duomenų apsaugos incidentas, nurodydamas incidento datą, laiką, faktines aplinkybes, galimas priežastis, kokį poveikį incidentas turėjo ar gali turėti Perkančiajai organizacijai bei Paslaugų teikimui, incidento suvaldymo būdą, kokių priemonių imtasi, kad incidentas būtų išspręstas ir nepasikartotų.</w:t>
      </w:r>
    </w:p>
    <w:p w14:paraId="43C6ED2A" w14:textId="39003A4D" w:rsidR="008328ED" w:rsidRPr="00FF6EFB" w:rsidRDefault="008328ED" w:rsidP="00FF6EFB">
      <w:pPr>
        <w:pStyle w:val="Sraopastraipa"/>
        <w:spacing w:after="0" w:line="240" w:lineRule="auto"/>
        <w:ind w:left="1242"/>
        <w:rPr>
          <w:rFonts w:asciiTheme="majorHAnsi" w:eastAsia="Calibri" w:hAnsiTheme="majorHAnsi" w:cstheme="majorHAnsi"/>
          <w:b/>
          <w:bCs/>
          <w:caps/>
          <w:lang w:val="lt-LT"/>
        </w:rPr>
      </w:pPr>
    </w:p>
    <w:p w14:paraId="1D20E8F0" w14:textId="77777777" w:rsidR="003668F9" w:rsidRPr="009530BE" w:rsidRDefault="003668F9" w:rsidP="00821D1F">
      <w:pPr>
        <w:spacing w:after="0" w:line="240" w:lineRule="auto"/>
        <w:contextualSpacing/>
        <w:rPr>
          <w:rFonts w:asciiTheme="majorHAnsi" w:eastAsia="Calibri" w:hAnsiTheme="majorHAnsi" w:cstheme="majorHAnsi"/>
          <w:b/>
          <w:bCs/>
          <w:caps/>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B9CFFAB" w14:textId="159D969C" w:rsidR="0018021B" w:rsidRPr="009530BE" w:rsidRDefault="0018021B" w:rsidP="00F63E39">
      <w:pPr>
        <w:spacing w:before="60" w:after="60" w:line="240" w:lineRule="auto"/>
        <w:ind w:left="-709"/>
        <w:jc w:val="center"/>
        <w:rPr>
          <w:rFonts w:asciiTheme="majorHAnsi" w:hAnsiTheme="majorHAnsi" w:cstheme="majorHAnsi"/>
          <w:b/>
          <w:lang w:val="lt-LT"/>
        </w:rPr>
      </w:pPr>
    </w:p>
    <w:sectPr w:rsidR="0018021B" w:rsidRPr="009530BE" w:rsidSect="00F372C9">
      <w:headerReference w:type="default" r:id="rId12"/>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70E6" w14:textId="77777777" w:rsidR="00E41004" w:rsidRDefault="00E41004">
      <w:pPr>
        <w:spacing w:after="0" w:line="240" w:lineRule="auto"/>
      </w:pPr>
      <w:r>
        <w:separator/>
      </w:r>
    </w:p>
  </w:endnote>
  <w:endnote w:type="continuationSeparator" w:id="0">
    <w:p w14:paraId="191699F5" w14:textId="77777777" w:rsidR="00E41004" w:rsidRDefault="00E4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4492947C"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5E7B7E">
              <w:rPr>
                <w:rFonts w:ascii="Calibri Light" w:hAnsi="Calibri Light" w:cs="Calibri Light"/>
                <w:bCs/>
                <w:noProof/>
                <w:sz w:val="20"/>
                <w:szCs w:val="20"/>
              </w:rPr>
              <w:t>6</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5E7B7E">
              <w:rPr>
                <w:rFonts w:ascii="Calibri Light" w:hAnsi="Calibri Light" w:cs="Calibri Light"/>
                <w:bCs/>
                <w:noProof/>
                <w:sz w:val="20"/>
                <w:szCs w:val="20"/>
              </w:rPr>
              <w:t>6</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0DCE" w14:textId="77777777" w:rsidR="00E41004" w:rsidRDefault="00E41004">
      <w:pPr>
        <w:spacing w:after="0" w:line="240" w:lineRule="auto"/>
      </w:pPr>
      <w:r>
        <w:separator/>
      </w:r>
    </w:p>
  </w:footnote>
  <w:footnote w:type="continuationSeparator" w:id="0">
    <w:p w14:paraId="62ADFA05" w14:textId="77777777" w:rsidR="00E41004" w:rsidRDefault="00E4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EBF60DC" w:rsidR="00CC5562" w:rsidRPr="00F946E3" w:rsidRDefault="00CC5562" w:rsidP="005A76BF">
          <w:pPr>
            <w:jc w:val="left"/>
            <w:rPr>
              <w:rFonts w:ascii="Calibri Light" w:hAnsi="Calibri Light" w:cs="Calibri Light"/>
              <w:b/>
              <w:sz w:val="20"/>
              <w:szCs w:val="20"/>
              <w:lang w:val="lt-LT"/>
            </w:rPr>
          </w:pPr>
          <w:r w:rsidRPr="00F946E3">
            <w:rPr>
              <w:rFonts w:ascii="Calibri Light" w:hAnsi="Calibri Light" w:cs="Calibri Light"/>
              <w:b/>
              <w:color w:val="FFFFFF" w:themeColor="background1"/>
              <w:sz w:val="20"/>
              <w:szCs w:val="20"/>
              <w:lang w:val="lt-LT"/>
            </w:rPr>
            <w:t xml:space="preserve">TVŪD &gt; PIRKIMO </w:t>
          </w:r>
          <w:r w:rsidRPr="008328ED">
            <w:rPr>
              <w:rFonts w:ascii="Arial" w:hAnsi="Arial" w:cs="Arial"/>
              <w:b/>
              <w:color w:val="FFFFFF" w:themeColor="background1"/>
              <w:sz w:val="20"/>
              <w:szCs w:val="20"/>
              <w:lang w:val="lt-LT"/>
            </w:rPr>
            <w:t>DOKUMENTAI</w:t>
          </w:r>
          <w:r w:rsidRPr="00F946E3">
            <w:rPr>
              <w:rFonts w:ascii="Calibri Light" w:hAnsi="Calibri Light" w:cs="Calibri Light"/>
              <w:b/>
              <w:color w:val="FFFFFF" w:themeColor="background1"/>
              <w:sz w:val="20"/>
              <w:szCs w:val="20"/>
              <w:lang w:val="lt-LT"/>
            </w:rPr>
            <w:t xml:space="preserve"> (PD) &gt; TECHNINĖ SPECIFIKACIJA (TS)</w:t>
          </w:r>
          <w:r w:rsidR="008328ED">
            <w:rPr>
              <w:rFonts w:ascii="Calibri Light" w:hAnsi="Calibri Light" w:cs="Calibri Light"/>
              <w:b/>
              <w:color w:val="FFFFFF" w:themeColor="background1"/>
              <w:sz w:val="20"/>
              <w:szCs w:val="20"/>
              <w:lang w:val="lt-LT"/>
            </w:rPr>
            <w:t>.</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3E6EDE"/>
    <w:multiLevelType w:val="hybridMultilevel"/>
    <w:tmpl w:val="F11072DC"/>
    <w:lvl w:ilvl="0" w:tplc="C47A2B4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B86370"/>
    <w:multiLevelType w:val="hybridMultilevel"/>
    <w:tmpl w:val="2A6481FA"/>
    <w:lvl w:ilvl="0" w:tplc="82EE897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5866AAA0"/>
    <w:lvl w:ilvl="0">
      <w:start w:val="1"/>
      <w:numFmt w:val="decimal"/>
      <w:lvlText w:val="%1."/>
      <w:lvlJc w:val="left"/>
      <w:pPr>
        <w:tabs>
          <w:tab w:val="num" w:pos="360"/>
        </w:tabs>
        <w:ind w:left="360" w:hanging="360"/>
      </w:pPr>
      <w:rPr>
        <w:b/>
      </w:rPr>
    </w:lvl>
    <w:lvl w:ilvl="1">
      <w:start w:val="1"/>
      <w:numFmt w:val="decimal"/>
      <w:lvlText w:val="%1.%2."/>
      <w:lvlJc w:val="left"/>
      <w:pPr>
        <w:tabs>
          <w:tab w:val="num" w:pos="1242"/>
        </w:tabs>
        <w:ind w:left="1242" w:hanging="432"/>
      </w:pPr>
      <w:rPr>
        <w:b w:val="0"/>
      </w:rPr>
    </w:lvl>
    <w:lvl w:ilvl="2">
      <w:start w:val="1"/>
      <w:numFmt w:val="decimal"/>
      <w:lvlText w:val="%1.%2.%3."/>
      <w:lvlJc w:val="left"/>
      <w:pPr>
        <w:tabs>
          <w:tab w:val="num" w:pos="1440"/>
        </w:tabs>
        <w:ind w:left="1224" w:hanging="504"/>
      </w:pPr>
      <w:rPr>
        <w:rFonts w:ascii="Calibri" w:hAnsi="Calibri" w:cs="Times New Roman" w:hint="default"/>
        <w:b w:val="0"/>
        <w:sz w:val="22"/>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B91115"/>
    <w:multiLevelType w:val="multilevel"/>
    <w:tmpl w:val="013243F4"/>
    <w:lvl w:ilvl="0">
      <w:start w:val="1"/>
      <w:numFmt w:val="decimal"/>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388847923">
    <w:abstractNumId w:val="4"/>
  </w:num>
  <w:num w:numId="2" w16cid:durableId="44374538">
    <w:abstractNumId w:val="3"/>
  </w:num>
  <w:num w:numId="3" w16cid:durableId="889656991">
    <w:abstractNumId w:val="2"/>
  </w:num>
  <w:num w:numId="4" w16cid:durableId="630791786">
    <w:abstractNumId w:val="1"/>
  </w:num>
  <w:num w:numId="5" w16cid:durableId="2056349986">
    <w:abstractNumId w:val="0"/>
  </w:num>
  <w:num w:numId="6" w16cid:durableId="1147359989">
    <w:abstractNumId w:val="14"/>
  </w:num>
  <w:num w:numId="7" w16cid:durableId="874076215">
    <w:abstractNumId w:val="21"/>
  </w:num>
  <w:num w:numId="8" w16cid:durableId="599416568">
    <w:abstractNumId w:val="17"/>
  </w:num>
  <w:num w:numId="9" w16cid:durableId="1569263192">
    <w:abstractNumId w:val="23"/>
  </w:num>
  <w:num w:numId="10" w16cid:durableId="103696406">
    <w:abstractNumId w:val="9"/>
  </w:num>
  <w:num w:numId="11" w16cid:durableId="333075890">
    <w:abstractNumId w:val="27"/>
  </w:num>
  <w:num w:numId="12" w16cid:durableId="502741355">
    <w:abstractNumId w:val="11"/>
  </w:num>
  <w:num w:numId="13" w16cid:durableId="1984502142">
    <w:abstractNumId w:val="34"/>
  </w:num>
  <w:num w:numId="14" w16cid:durableId="420027611">
    <w:abstractNumId w:val="18"/>
  </w:num>
  <w:num w:numId="15" w16cid:durableId="2064403800">
    <w:abstractNumId w:val="40"/>
  </w:num>
  <w:num w:numId="16" w16cid:durableId="36777694">
    <w:abstractNumId w:val="15"/>
  </w:num>
  <w:num w:numId="17" w16cid:durableId="1621913557">
    <w:abstractNumId w:val="31"/>
  </w:num>
  <w:num w:numId="18" w16cid:durableId="783693942">
    <w:abstractNumId w:val="24"/>
  </w:num>
  <w:num w:numId="19" w16cid:durableId="1762291668">
    <w:abstractNumId w:val="20"/>
  </w:num>
  <w:num w:numId="20" w16cid:durableId="1439176185">
    <w:abstractNumId w:val="26"/>
  </w:num>
  <w:num w:numId="21" w16cid:durableId="985744259">
    <w:abstractNumId w:val="35"/>
  </w:num>
  <w:num w:numId="22" w16cid:durableId="531920987">
    <w:abstractNumId w:val="38"/>
  </w:num>
  <w:num w:numId="23" w16cid:durableId="1638875102">
    <w:abstractNumId w:val="12"/>
  </w:num>
  <w:num w:numId="24" w16cid:durableId="981302667">
    <w:abstractNumId w:val="33"/>
  </w:num>
  <w:num w:numId="25" w16cid:durableId="2125495556">
    <w:abstractNumId w:val="13"/>
  </w:num>
  <w:num w:numId="26" w16cid:durableId="505754640">
    <w:abstractNumId w:val="28"/>
  </w:num>
  <w:num w:numId="27" w16cid:durableId="1126586538">
    <w:abstractNumId w:val="42"/>
  </w:num>
  <w:num w:numId="28" w16cid:durableId="417487280">
    <w:abstractNumId w:val="8"/>
  </w:num>
  <w:num w:numId="29" w16cid:durableId="1156918469">
    <w:abstractNumId w:val="19"/>
  </w:num>
  <w:num w:numId="30" w16cid:durableId="1596665350">
    <w:abstractNumId w:val="43"/>
  </w:num>
  <w:num w:numId="31" w16cid:durableId="1612737741">
    <w:abstractNumId w:val="29"/>
  </w:num>
  <w:num w:numId="32" w16cid:durableId="1635594467">
    <w:abstractNumId w:val="6"/>
  </w:num>
  <w:num w:numId="33" w16cid:durableId="68625073">
    <w:abstractNumId w:val="36"/>
  </w:num>
  <w:num w:numId="34" w16cid:durableId="1505823937">
    <w:abstractNumId w:val="7"/>
  </w:num>
  <w:num w:numId="35" w16cid:durableId="412632048">
    <w:abstractNumId w:val="25"/>
  </w:num>
  <w:num w:numId="36" w16cid:durableId="2114277494">
    <w:abstractNumId w:val="39"/>
  </w:num>
  <w:num w:numId="37" w16cid:durableId="152182079">
    <w:abstractNumId w:val="16"/>
  </w:num>
  <w:num w:numId="38" w16cid:durableId="324865897">
    <w:abstractNumId w:val="30"/>
  </w:num>
  <w:num w:numId="39" w16cid:durableId="965084706">
    <w:abstractNumId w:val="22"/>
  </w:num>
  <w:num w:numId="40" w16cid:durableId="1449860687">
    <w:abstractNumId w:val="37"/>
  </w:num>
  <w:num w:numId="41" w16cid:durableId="603920078">
    <w:abstractNumId w:val="32"/>
  </w:num>
  <w:num w:numId="42" w16cid:durableId="1462571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9512933">
    <w:abstractNumId w:val="10"/>
  </w:num>
  <w:num w:numId="44" w16cid:durableId="10558611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70620"/>
    <w:rsid w:val="00084F44"/>
    <w:rsid w:val="0009047A"/>
    <w:rsid w:val="00097241"/>
    <w:rsid w:val="000A23D3"/>
    <w:rsid w:val="000B0A6A"/>
    <w:rsid w:val="000C1A17"/>
    <w:rsid w:val="000D22E5"/>
    <w:rsid w:val="000F554D"/>
    <w:rsid w:val="00140520"/>
    <w:rsid w:val="0014465A"/>
    <w:rsid w:val="00147E0C"/>
    <w:rsid w:val="0015224A"/>
    <w:rsid w:val="00153478"/>
    <w:rsid w:val="00153F22"/>
    <w:rsid w:val="001555AC"/>
    <w:rsid w:val="00155B18"/>
    <w:rsid w:val="0016225E"/>
    <w:rsid w:val="0016304D"/>
    <w:rsid w:val="00165468"/>
    <w:rsid w:val="00165519"/>
    <w:rsid w:val="00171C82"/>
    <w:rsid w:val="0018021B"/>
    <w:rsid w:val="00187BE8"/>
    <w:rsid w:val="001C29D9"/>
    <w:rsid w:val="001E72B5"/>
    <w:rsid w:val="001F3F23"/>
    <w:rsid w:val="0020401E"/>
    <w:rsid w:val="002101D9"/>
    <w:rsid w:val="00216CC3"/>
    <w:rsid w:val="002304E4"/>
    <w:rsid w:val="00230C9A"/>
    <w:rsid w:val="00246179"/>
    <w:rsid w:val="00250268"/>
    <w:rsid w:val="00261339"/>
    <w:rsid w:val="00261B88"/>
    <w:rsid w:val="00263108"/>
    <w:rsid w:val="00273CFD"/>
    <w:rsid w:val="0027683E"/>
    <w:rsid w:val="00290944"/>
    <w:rsid w:val="002912FE"/>
    <w:rsid w:val="002A474B"/>
    <w:rsid w:val="002A626E"/>
    <w:rsid w:val="002C2765"/>
    <w:rsid w:val="002C422B"/>
    <w:rsid w:val="002C4E6E"/>
    <w:rsid w:val="002C658C"/>
    <w:rsid w:val="002C7F2C"/>
    <w:rsid w:val="002C7F39"/>
    <w:rsid w:val="002D2E57"/>
    <w:rsid w:val="002D4D03"/>
    <w:rsid w:val="002F1836"/>
    <w:rsid w:val="002F6A0C"/>
    <w:rsid w:val="003150D0"/>
    <w:rsid w:val="003236D0"/>
    <w:rsid w:val="00334A5F"/>
    <w:rsid w:val="00341C69"/>
    <w:rsid w:val="00355400"/>
    <w:rsid w:val="00355850"/>
    <w:rsid w:val="00355B56"/>
    <w:rsid w:val="00357BD5"/>
    <w:rsid w:val="0036142A"/>
    <w:rsid w:val="003668F9"/>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A29D2"/>
    <w:rsid w:val="004A2E21"/>
    <w:rsid w:val="004A2F52"/>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A210F"/>
    <w:rsid w:val="005A76BF"/>
    <w:rsid w:val="005B681B"/>
    <w:rsid w:val="005C3338"/>
    <w:rsid w:val="005C5732"/>
    <w:rsid w:val="005D6336"/>
    <w:rsid w:val="005E7B7E"/>
    <w:rsid w:val="006040B7"/>
    <w:rsid w:val="006171F1"/>
    <w:rsid w:val="0062594A"/>
    <w:rsid w:val="0062688A"/>
    <w:rsid w:val="0063093F"/>
    <w:rsid w:val="00671C08"/>
    <w:rsid w:val="00677474"/>
    <w:rsid w:val="00693FFA"/>
    <w:rsid w:val="006A2DF1"/>
    <w:rsid w:val="006B2576"/>
    <w:rsid w:val="006B5389"/>
    <w:rsid w:val="006C070D"/>
    <w:rsid w:val="006C3603"/>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AE7"/>
    <w:rsid w:val="007D484D"/>
    <w:rsid w:val="007E19FD"/>
    <w:rsid w:val="007E41FC"/>
    <w:rsid w:val="007F6E32"/>
    <w:rsid w:val="00801195"/>
    <w:rsid w:val="00820FF6"/>
    <w:rsid w:val="00821D1F"/>
    <w:rsid w:val="00824C4D"/>
    <w:rsid w:val="008328ED"/>
    <w:rsid w:val="008329FD"/>
    <w:rsid w:val="00834941"/>
    <w:rsid w:val="008430BA"/>
    <w:rsid w:val="00861471"/>
    <w:rsid w:val="00862EA0"/>
    <w:rsid w:val="008702D5"/>
    <w:rsid w:val="008718DB"/>
    <w:rsid w:val="008816B6"/>
    <w:rsid w:val="008841E0"/>
    <w:rsid w:val="008921E1"/>
    <w:rsid w:val="00893188"/>
    <w:rsid w:val="00896B6B"/>
    <w:rsid w:val="008A61F5"/>
    <w:rsid w:val="008B07BD"/>
    <w:rsid w:val="008B13A4"/>
    <w:rsid w:val="008B27EE"/>
    <w:rsid w:val="008B30BA"/>
    <w:rsid w:val="008B680B"/>
    <w:rsid w:val="008B6962"/>
    <w:rsid w:val="008B6DD2"/>
    <w:rsid w:val="008C2772"/>
    <w:rsid w:val="008D40BF"/>
    <w:rsid w:val="008E1C16"/>
    <w:rsid w:val="008E2DBF"/>
    <w:rsid w:val="009123C2"/>
    <w:rsid w:val="00913591"/>
    <w:rsid w:val="009530BE"/>
    <w:rsid w:val="0095386F"/>
    <w:rsid w:val="0095500A"/>
    <w:rsid w:val="00957A69"/>
    <w:rsid w:val="00974023"/>
    <w:rsid w:val="0098678C"/>
    <w:rsid w:val="0099199E"/>
    <w:rsid w:val="0099266F"/>
    <w:rsid w:val="00993F3E"/>
    <w:rsid w:val="009A3A9F"/>
    <w:rsid w:val="009B26D3"/>
    <w:rsid w:val="009B63A4"/>
    <w:rsid w:val="009C1CD8"/>
    <w:rsid w:val="009C3BD8"/>
    <w:rsid w:val="009C73B4"/>
    <w:rsid w:val="009D0B8C"/>
    <w:rsid w:val="009F47E6"/>
    <w:rsid w:val="009F6EAF"/>
    <w:rsid w:val="00A1109D"/>
    <w:rsid w:val="00A12041"/>
    <w:rsid w:val="00A122D6"/>
    <w:rsid w:val="00A25093"/>
    <w:rsid w:val="00A33D41"/>
    <w:rsid w:val="00A34BF3"/>
    <w:rsid w:val="00A37389"/>
    <w:rsid w:val="00A5617A"/>
    <w:rsid w:val="00A62F89"/>
    <w:rsid w:val="00A660A0"/>
    <w:rsid w:val="00A72069"/>
    <w:rsid w:val="00A90AB3"/>
    <w:rsid w:val="00A91815"/>
    <w:rsid w:val="00A9338B"/>
    <w:rsid w:val="00AA01C0"/>
    <w:rsid w:val="00AB0C91"/>
    <w:rsid w:val="00AB2361"/>
    <w:rsid w:val="00AD0B84"/>
    <w:rsid w:val="00AD47A2"/>
    <w:rsid w:val="00AF31B2"/>
    <w:rsid w:val="00B00BCD"/>
    <w:rsid w:val="00B065CB"/>
    <w:rsid w:val="00B1115A"/>
    <w:rsid w:val="00B20BFE"/>
    <w:rsid w:val="00B2421F"/>
    <w:rsid w:val="00B47F94"/>
    <w:rsid w:val="00B56DE9"/>
    <w:rsid w:val="00B71273"/>
    <w:rsid w:val="00B7462E"/>
    <w:rsid w:val="00B76618"/>
    <w:rsid w:val="00B80593"/>
    <w:rsid w:val="00B9147E"/>
    <w:rsid w:val="00B9260E"/>
    <w:rsid w:val="00BA2917"/>
    <w:rsid w:val="00BA5B69"/>
    <w:rsid w:val="00BB4829"/>
    <w:rsid w:val="00BB6668"/>
    <w:rsid w:val="00BC0C34"/>
    <w:rsid w:val="00BD0CA9"/>
    <w:rsid w:val="00BD1775"/>
    <w:rsid w:val="00BD2308"/>
    <w:rsid w:val="00BD665B"/>
    <w:rsid w:val="00BE7109"/>
    <w:rsid w:val="00BF7E4E"/>
    <w:rsid w:val="00C01B59"/>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A2E38"/>
    <w:rsid w:val="00CC0F45"/>
    <w:rsid w:val="00CC5562"/>
    <w:rsid w:val="00CD0DE0"/>
    <w:rsid w:val="00CD0E31"/>
    <w:rsid w:val="00CD184D"/>
    <w:rsid w:val="00CD4779"/>
    <w:rsid w:val="00D0377C"/>
    <w:rsid w:val="00D04F42"/>
    <w:rsid w:val="00D1304D"/>
    <w:rsid w:val="00D1317D"/>
    <w:rsid w:val="00D2233A"/>
    <w:rsid w:val="00D23D84"/>
    <w:rsid w:val="00D25C2F"/>
    <w:rsid w:val="00D36319"/>
    <w:rsid w:val="00D42EEC"/>
    <w:rsid w:val="00D62C94"/>
    <w:rsid w:val="00D65E17"/>
    <w:rsid w:val="00D666B4"/>
    <w:rsid w:val="00D92A1E"/>
    <w:rsid w:val="00DA6CD1"/>
    <w:rsid w:val="00DB087F"/>
    <w:rsid w:val="00DB2CC7"/>
    <w:rsid w:val="00DB6CBD"/>
    <w:rsid w:val="00DB7DFF"/>
    <w:rsid w:val="00DC06DE"/>
    <w:rsid w:val="00DC157F"/>
    <w:rsid w:val="00DC4FBD"/>
    <w:rsid w:val="00DD2695"/>
    <w:rsid w:val="00DF1F1B"/>
    <w:rsid w:val="00E05259"/>
    <w:rsid w:val="00E066C9"/>
    <w:rsid w:val="00E14620"/>
    <w:rsid w:val="00E205E0"/>
    <w:rsid w:val="00E241BC"/>
    <w:rsid w:val="00E2482E"/>
    <w:rsid w:val="00E25BB1"/>
    <w:rsid w:val="00E322C4"/>
    <w:rsid w:val="00E35014"/>
    <w:rsid w:val="00E37313"/>
    <w:rsid w:val="00E41004"/>
    <w:rsid w:val="00E83E6A"/>
    <w:rsid w:val="00EA0899"/>
    <w:rsid w:val="00ED0DC5"/>
    <w:rsid w:val="00ED793B"/>
    <w:rsid w:val="00EF116A"/>
    <w:rsid w:val="00EF1BE9"/>
    <w:rsid w:val="00EF3813"/>
    <w:rsid w:val="00F048F2"/>
    <w:rsid w:val="00F22BDF"/>
    <w:rsid w:val="00F268B6"/>
    <w:rsid w:val="00F372C9"/>
    <w:rsid w:val="00F377FE"/>
    <w:rsid w:val="00F40BB8"/>
    <w:rsid w:val="00F4255E"/>
    <w:rsid w:val="00F467F9"/>
    <w:rsid w:val="00F5081D"/>
    <w:rsid w:val="00F56A57"/>
    <w:rsid w:val="00F57DDF"/>
    <w:rsid w:val="00F63E39"/>
    <w:rsid w:val="00F64268"/>
    <w:rsid w:val="00F676C2"/>
    <w:rsid w:val="00F946E3"/>
    <w:rsid w:val="00FA7116"/>
    <w:rsid w:val="00FB46C5"/>
    <w:rsid w:val="00FB65B0"/>
    <w:rsid w:val="00FC044B"/>
    <w:rsid w:val="00FC72ED"/>
    <w:rsid w:val="00FD3686"/>
    <w:rsid w:val="00FE55BE"/>
    <w:rsid w:val="00FF670C"/>
    <w:rsid w:val="00FF6E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D1F"/>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4711">
      <w:bodyDiv w:val="1"/>
      <w:marLeft w:val="0"/>
      <w:marRight w:val="0"/>
      <w:marTop w:val="0"/>
      <w:marBottom w:val="0"/>
      <w:divBdr>
        <w:top w:val="none" w:sz="0" w:space="0" w:color="auto"/>
        <w:left w:val="none" w:sz="0" w:space="0" w:color="auto"/>
        <w:bottom w:val="none" w:sz="0" w:space="0" w:color="auto"/>
        <w:right w:val="none" w:sz="0" w:space="0" w:color="auto"/>
      </w:divBdr>
    </w:div>
    <w:div w:id="51584716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6944781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92979386">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707%2067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184B680-D4E1-4158-97BD-AEBCBB23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5</TotalTime>
  <Pages>6</Pages>
  <Words>12933</Words>
  <Characters>7372</Characters>
  <Application>Microsoft Office Word</Application>
  <DocSecurity>0</DocSecurity>
  <Lines>61</Lines>
  <Paragraphs>40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6</cp:revision>
  <cp:lastPrinted>2021-01-19T12:06:00Z</cp:lastPrinted>
  <dcterms:created xsi:type="dcterms:W3CDTF">2025-04-09T09:09:00Z</dcterms:created>
  <dcterms:modified xsi:type="dcterms:W3CDTF">2025-04-11T09:34:00Z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