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23CF917B"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F431BD" w:rsidRPr="00195201">
            <w:rPr>
              <w:rFonts w:ascii="Times New Roman" w:eastAsia="Times New Roman" w:hAnsi="Times New Roman" w:cs="Times New Roman"/>
              <w:noProof/>
              <w:sz w:val="20"/>
              <w:szCs w:val="20"/>
            </w:rPr>
            <w:t>5</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F431BD" w:rsidRPr="00195201">
            <w:rPr>
              <w:rFonts w:ascii="Times New Roman" w:eastAsia="Times New Roman" w:hAnsi="Times New Roman" w:cs="Times New Roman"/>
              <w:noProof/>
              <w:sz w:val="20"/>
              <w:szCs w:val="20"/>
            </w:rPr>
            <w:t>0</w:t>
          </w:r>
          <w:r w:rsidR="00E54A27" w:rsidRPr="00195201">
            <w:rPr>
              <w:rFonts w:ascii="Times New Roman" w:eastAsia="Times New Roman" w:hAnsi="Times New Roman" w:cs="Times New Roman"/>
              <w:noProof/>
              <w:sz w:val="20"/>
              <w:szCs w:val="20"/>
            </w:rPr>
            <w:t>4</w:t>
          </w:r>
          <w:r w:rsidR="000F5BE7" w:rsidRPr="00195201">
            <w:rPr>
              <w:rFonts w:ascii="Times New Roman" w:eastAsia="Times New Roman" w:hAnsi="Times New Roman" w:cs="Times New Roman"/>
              <w:noProof/>
              <w:sz w:val="20"/>
              <w:szCs w:val="20"/>
            </w:rPr>
            <w:t>-</w:t>
          </w:r>
          <w:r w:rsidR="00E54A27" w:rsidRPr="00195201">
            <w:rPr>
              <w:rFonts w:ascii="Times New Roman" w:eastAsia="Times New Roman" w:hAnsi="Times New Roman" w:cs="Times New Roman"/>
              <w:noProof/>
              <w:sz w:val="20"/>
              <w:szCs w:val="20"/>
            </w:rPr>
            <w:t>10</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7DF0CBC4" w:rsidR="00D526C8" w:rsidRPr="00E43092" w:rsidRDefault="008E3474"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VIEŠOJO PIRKIMO „</w:t>
          </w:r>
          <w:r w:rsidR="00E54A27">
            <w:rPr>
              <w:rFonts w:ascii="Times New Roman" w:hAnsi="Times New Roman" w:cs="Times New Roman"/>
              <w:b/>
              <w:bCs/>
              <w:sz w:val="24"/>
              <w:szCs w:val="24"/>
            </w:rPr>
            <w:t xml:space="preserve">DAVIKLIAI </w:t>
          </w:r>
          <w:r w:rsidR="00E54A27" w:rsidRPr="00E54A27">
            <w:rPr>
              <w:rFonts w:ascii="Times New Roman" w:hAnsi="Times New Roman" w:cs="Times New Roman"/>
              <w:b/>
              <w:bCs/>
              <w:sz w:val="24"/>
              <w:szCs w:val="24"/>
            </w:rPr>
            <w:t>PERSTEMPLINEI ŠIRDIES ECHOSKOPIJAI</w:t>
          </w:r>
          <w:r w:rsidR="00E54A27">
            <w:rPr>
              <w:rFonts w:ascii="Times New Roman" w:hAnsi="Times New Roman" w:cs="Times New Roman"/>
              <w:b/>
              <w:bCs/>
              <w:sz w:val="24"/>
              <w:szCs w:val="24"/>
            </w:rPr>
            <w:t xml:space="preserve"> IR </w:t>
          </w:r>
          <w:r w:rsidR="00E54A27" w:rsidRPr="00E54A27">
            <w:rPr>
              <w:rFonts w:ascii="Times New Roman" w:hAnsi="Times New Roman" w:cs="Times New Roman"/>
              <w:b/>
              <w:bCs/>
              <w:sz w:val="24"/>
              <w:szCs w:val="24"/>
            </w:rPr>
            <w:t>TRANSTORAKALINEI ŠIRDIES ECHOSKOPIJAI</w:t>
          </w:r>
          <w:r w:rsidRPr="00E43092">
            <w:rPr>
              <w:rFonts w:ascii="Times New Roman" w:hAnsi="Times New Roman" w:cs="Times New Roman"/>
              <w:b/>
              <w:bCs/>
              <w:sz w:val="24"/>
              <w:szCs w:val="24"/>
            </w:rPr>
            <w:t>“</w:t>
          </w:r>
        </w:p>
        <w:p w14:paraId="18ACC6AD" w14:textId="5BFA9AAB" w:rsidR="00D526C8" w:rsidRPr="00E43092" w:rsidRDefault="008E3474"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w:t>
          </w:r>
          <w:r w:rsidRPr="00E43092">
            <w:rPr>
              <w:rFonts w:ascii="Times New Roman" w:hAnsi="Times New Roman" w:cs="Times New Roman"/>
              <w:b/>
              <w:bCs/>
              <w:sz w:val="24"/>
              <w:szCs w:val="24"/>
            </w:rPr>
            <w:t>TIN</w:t>
          </w:r>
          <w:r>
            <w:rPr>
              <w:rFonts w:ascii="Times New Roman" w:hAnsi="Times New Roman" w:cs="Times New Roman"/>
              <w:b/>
              <w:bCs/>
              <w:sz w:val="24"/>
              <w:szCs w:val="24"/>
            </w:rPr>
            <w:t>T</w:t>
          </w:r>
          <w:r w:rsidRPr="00E43092">
            <w:rPr>
              <w:rFonts w:ascii="Times New Roman" w:hAnsi="Times New Roman" w:cs="Times New Roman"/>
              <w:b/>
              <w:bCs/>
              <w:sz w:val="24"/>
              <w:szCs w:val="24"/>
            </w:rPr>
            <w:t>O KONKURSO SPECIALIOSIOS SĄLYGOS</w:t>
          </w:r>
        </w:p>
        <w:p w14:paraId="67D34D7E" w14:textId="51AD35FC"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8E3474">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3B506A0A"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F431BD">
                  <w:rPr>
                    <w:webHidden/>
                    <w:sz w:val="22"/>
                    <w:szCs w:val="22"/>
                  </w:rPr>
                  <w:t>1</w:t>
                </w:r>
                <w:r w:rsidR="00C43719" w:rsidRPr="008A5BA5">
                  <w:rPr>
                    <w:webHidden/>
                    <w:sz w:val="22"/>
                    <w:szCs w:val="22"/>
                  </w:rPr>
                  <w:fldChar w:fldCharType="end"/>
                </w:r>
              </w:hyperlink>
            </w:p>
            <w:p w14:paraId="67A34114" w14:textId="04C2D50F"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F431BD">
                  <w:rPr>
                    <w:webHidden/>
                    <w:sz w:val="22"/>
                    <w:szCs w:val="22"/>
                  </w:rPr>
                  <w:t>1</w:t>
                </w:r>
                <w:r w:rsidRPr="008A5BA5">
                  <w:rPr>
                    <w:webHidden/>
                    <w:sz w:val="22"/>
                    <w:szCs w:val="22"/>
                  </w:rPr>
                  <w:fldChar w:fldCharType="end"/>
                </w:r>
              </w:hyperlink>
            </w:p>
            <w:p w14:paraId="7D047CFF" w14:textId="2ED92D55"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F431BD">
                  <w:rPr>
                    <w:webHidden/>
                    <w:sz w:val="22"/>
                    <w:szCs w:val="22"/>
                  </w:rPr>
                  <w:t>1</w:t>
                </w:r>
                <w:r w:rsidRPr="008A5BA5">
                  <w:rPr>
                    <w:webHidden/>
                    <w:sz w:val="22"/>
                    <w:szCs w:val="22"/>
                  </w:rPr>
                  <w:fldChar w:fldCharType="end"/>
                </w:r>
              </w:hyperlink>
            </w:p>
            <w:p w14:paraId="303C2F95" w14:textId="7F8DD39D"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F431BD">
                  <w:rPr>
                    <w:webHidden/>
                    <w:sz w:val="22"/>
                    <w:szCs w:val="22"/>
                  </w:rPr>
                  <w:t>1</w:t>
                </w:r>
                <w:r w:rsidRPr="008A5BA5">
                  <w:rPr>
                    <w:webHidden/>
                    <w:sz w:val="22"/>
                    <w:szCs w:val="22"/>
                  </w:rPr>
                  <w:fldChar w:fldCharType="end"/>
                </w:r>
              </w:hyperlink>
            </w:p>
            <w:p w14:paraId="0FFA452B" w14:textId="243EE3E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F431BD">
                  <w:rPr>
                    <w:webHidden/>
                    <w:sz w:val="22"/>
                    <w:szCs w:val="22"/>
                  </w:rPr>
                  <w:t>2</w:t>
                </w:r>
                <w:r w:rsidRPr="008A5BA5">
                  <w:rPr>
                    <w:webHidden/>
                    <w:sz w:val="22"/>
                    <w:szCs w:val="22"/>
                  </w:rPr>
                  <w:fldChar w:fldCharType="end"/>
                </w:r>
              </w:hyperlink>
            </w:p>
            <w:p w14:paraId="0F3C3487" w14:textId="5F2DB0ED"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F431BD">
                  <w:rPr>
                    <w:webHidden/>
                    <w:sz w:val="22"/>
                    <w:szCs w:val="22"/>
                  </w:rPr>
                  <w:t>2</w:t>
                </w:r>
                <w:r w:rsidRPr="008A5BA5">
                  <w:rPr>
                    <w:webHidden/>
                    <w:sz w:val="22"/>
                    <w:szCs w:val="22"/>
                  </w:rPr>
                  <w:fldChar w:fldCharType="end"/>
                </w:r>
              </w:hyperlink>
            </w:p>
            <w:p w14:paraId="13B7D179" w14:textId="7E392293"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0DEBCBCD" w14:textId="27AF3AA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29F63DD5" w14:textId="46B3985C"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66AEDD5B" w14:textId="4462F9BC"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5D6EE91D" w14:textId="7BB12CB3"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02F1DD73" w14:textId="6903A285"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F431BD">
                  <w:rPr>
                    <w:noProof/>
                    <w:webHidden/>
                  </w:rPr>
                  <w:t>4</w:t>
                </w:r>
                <w:r w:rsidRPr="008A5BA5">
                  <w:rPr>
                    <w:noProof/>
                    <w:webHidden/>
                  </w:rPr>
                  <w:fldChar w:fldCharType="end"/>
                </w:r>
              </w:hyperlink>
            </w:p>
            <w:p w14:paraId="13C92513" w14:textId="014B81F1"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F431BD">
                  <w:rPr>
                    <w:noProof/>
                    <w:webHidden/>
                  </w:rPr>
                  <w:t>6</w:t>
                </w:r>
                <w:r w:rsidRPr="008A5BA5">
                  <w:rPr>
                    <w:noProof/>
                    <w:webHidden/>
                  </w:rPr>
                  <w:fldChar w:fldCharType="end"/>
                </w:r>
              </w:hyperlink>
            </w:p>
            <w:p w14:paraId="26A00866" w14:textId="56DF6FB8"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F431BD">
                  <w:rPr>
                    <w:noProof/>
                    <w:webHidden/>
                  </w:rPr>
                  <w:t>13</w:t>
                </w:r>
                <w:r w:rsidRPr="008A5BA5">
                  <w:rPr>
                    <w:noProof/>
                    <w:webHidden/>
                  </w:rPr>
                  <w:fldChar w:fldCharType="end"/>
                </w:r>
              </w:hyperlink>
            </w:p>
            <w:p w14:paraId="646EE7E6" w14:textId="5201BFD3"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F431BD">
                  <w:rPr>
                    <w:noProof/>
                    <w:webHidden/>
                  </w:rPr>
                  <w:t>14</w:t>
                </w:r>
                <w:r w:rsidRPr="008A5BA5">
                  <w:rPr>
                    <w:noProof/>
                    <w:webHidden/>
                  </w:rPr>
                  <w:fldChar w:fldCharType="end"/>
                </w:r>
              </w:hyperlink>
            </w:p>
            <w:p w14:paraId="0DC36143" w14:textId="45783375"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F431BD">
                  <w:rPr>
                    <w:noProof/>
                    <w:webHidden/>
                  </w:rPr>
                  <w:t>15</w:t>
                </w:r>
                <w:r w:rsidRPr="008A5BA5">
                  <w:rPr>
                    <w:noProof/>
                    <w:webHidden/>
                  </w:rPr>
                  <w:fldChar w:fldCharType="end"/>
                </w:r>
              </w:hyperlink>
            </w:p>
            <w:p w14:paraId="1B7700BD" w14:textId="7F5F0647"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F431BD">
                  <w:rPr>
                    <w:noProof/>
                    <w:webHidden/>
                  </w:rPr>
                  <w:t>16</w:t>
                </w:r>
                <w:r w:rsidRPr="008A5BA5">
                  <w:rPr>
                    <w:noProof/>
                    <w:webHidden/>
                  </w:rPr>
                  <w:fldChar w:fldCharType="end"/>
                </w:r>
              </w:hyperlink>
            </w:p>
            <w:p w14:paraId="3F640B62" w14:textId="379407BE" w:rsidR="00C43719" w:rsidRPr="008A5BA5" w:rsidRDefault="00C43719" w:rsidP="00F431BD">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F431BD">
                  <w:rPr>
                    <w:noProof/>
                    <w:webHidden/>
                  </w:rPr>
                  <w:t>17</w:t>
                </w:r>
                <w:r w:rsidRPr="008A5BA5">
                  <w:rPr>
                    <w:noProof/>
                    <w:webHidden/>
                  </w:rPr>
                  <w:fldChar w:fldCharType="end"/>
                </w:r>
              </w:hyperlink>
            </w:p>
            <w:p w14:paraId="5E4329B3" w14:textId="5D2AD601" w:rsidR="00C43719" w:rsidRPr="008A5BA5" w:rsidRDefault="00C43719" w:rsidP="00F431BD">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F431BD">
                  <w:rPr>
                    <w:noProof/>
                    <w:webHidden/>
                  </w:rPr>
                  <w:t>18</w:t>
                </w:r>
                <w:r w:rsidRPr="008A5BA5">
                  <w:rPr>
                    <w:noProof/>
                    <w:webHidden/>
                  </w:rPr>
                  <w:fldChar w:fldCharType="end"/>
                </w:r>
              </w:hyperlink>
            </w:p>
            <w:p w14:paraId="51A3A08D" w14:textId="2F31AAE9" w:rsidR="00C43719" w:rsidRPr="008A5BA5" w:rsidRDefault="00C43719" w:rsidP="00F431BD">
              <w:pPr>
                <w:pStyle w:val="Turinys2"/>
                <w:rPr>
                  <w:noProof/>
                  <w:kern w:val="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noProof/>
                    <w:webHidden/>
                  </w:rPr>
                  <w:tab/>
                </w:r>
                <w:r w:rsidRPr="008A5BA5">
                  <w:rPr>
                    <w:noProof/>
                    <w:webHidden/>
                  </w:rPr>
                  <w:fldChar w:fldCharType="begin"/>
                </w:r>
                <w:r w:rsidRPr="008A5BA5">
                  <w:rPr>
                    <w:noProof/>
                    <w:webHidden/>
                  </w:rPr>
                  <w:instrText xml:space="preserve"> PAGEREF _Toc159231069 \h </w:instrText>
                </w:r>
                <w:r w:rsidRPr="008A5BA5">
                  <w:rPr>
                    <w:noProof/>
                    <w:webHidden/>
                  </w:rPr>
                </w:r>
                <w:r w:rsidRPr="008A5BA5">
                  <w:rPr>
                    <w:noProof/>
                    <w:webHidden/>
                  </w:rPr>
                  <w:fldChar w:fldCharType="separate"/>
                </w:r>
                <w:r w:rsidR="00F431BD">
                  <w:rPr>
                    <w:noProof/>
                    <w:webHidden/>
                  </w:rPr>
                  <w:t>19</w:t>
                </w:r>
                <w:r w:rsidRPr="008A5BA5">
                  <w:rPr>
                    <w:noProof/>
                    <w:webHidden/>
                  </w:rPr>
                  <w:fldChar w:fldCharType="end"/>
                </w:r>
              </w:hyperlink>
            </w:p>
            <w:p w14:paraId="0D5329FA" w14:textId="013E2899" w:rsidR="00C43719" w:rsidRPr="008A5BA5" w:rsidRDefault="00C43719" w:rsidP="00F431BD">
              <w:pPr>
                <w:pStyle w:val="Turinys2"/>
                <w:rPr>
                  <w:noProof/>
                  <w:kern w:val="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F431BD">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proofErr w:type="spellStart"/>
      <w:r w:rsidR="00E32C8E" w:rsidRPr="00AD01A4">
        <w:rPr>
          <w:rFonts w:ascii="Times New Roman" w:hAnsi="Times New Roman" w:cs="Times New Roman"/>
          <w:i/>
          <w:iCs/>
          <w:sz w:val="22"/>
          <w:szCs w:val="22"/>
          <w:lang w:eastAsia="en-US"/>
        </w:rPr>
        <w:t>ex</w:t>
      </w:r>
      <w:proofErr w:type="spellEnd"/>
      <w:r w:rsidR="00E32C8E" w:rsidRPr="00AD01A4">
        <w:rPr>
          <w:rFonts w:ascii="Times New Roman" w:hAnsi="Times New Roman" w:cs="Times New Roman"/>
          <w:i/>
          <w:iCs/>
          <w:sz w:val="22"/>
          <w:szCs w:val="22"/>
          <w:lang w:eastAsia="en-US"/>
        </w:rPr>
        <w:t xml:space="preserve">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4BDA9ABA" w:rsidR="00B41C66"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E54A27">
        <w:rPr>
          <w:rFonts w:ascii="Times New Roman" w:hAnsi="Times New Roman" w:cs="Times New Roman"/>
          <w:sz w:val="22"/>
          <w:szCs w:val="22"/>
        </w:rPr>
        <w:t xml:space="preserve">daviklius </w:t>
      </w:r>
      <w:proofErr w:type="spellStart"/>
      <w:r w:rsidR="00E54A27" w:rsidRPr="00E54A27">
        <w:rPr>
          <w:rFonts w:ascii="Times New Roman" w:hAnsi="Times New Roman" w:cs="Times New Roman"/>
          <w:sz w:val="22"/>
          <w:szCs w:val="22"/>
        </w:rPr>
        <w:t>perstemplinei</w:t>
      </w:r>
      <w:proofErr w:type="spellEnd"/>
      <w:r w:rsidR="00E54A27" w:rsidRPr="00E54A27">
        <w:rPr>
          <w:rFonts w:ascii="Times New Roman" w:hAnsi="Times New Roman" w:cs="Times New Roman"/>
          <w:sz w:val="22"/>
          <w:szCs w:val="22"/>
        </w:rPr>
        <w:t xml:space="preserve"> širdies echoskopijai ir </w:t>
      </w:r>
      <w:proofErr w:type="spellStart"/>
      <w:r w:rsidR="00E54A27" w:rsidRPr="00E54A27">
        <w:rPr>
          <w:rFonts w:ascii="Times New Roman" w:hAnsi="Times New Roman" w:cs="Times New Roman"/>
          <w:sz w:val="22"/>
          <w:szCs w:val="22"/>
        </w:rPr>
        <w:t>transtorakalinei</w:t>
      </w:r>
      <w:proofErr w:type="spellEnd"/>
      <w:r w:rsidR="00E54A27" w:rsidRPr="00E54A27">
        <w:rPr>
          <w:rFonts w:ascii="Times New Roman" w:hAnsi="Times New Roman" w:cs="Times New Roman"/>
          <w:sz w:val="22"/>
          <w:szCs w:val="22"/>
        </w:rPr>
        <w:t xml:space="preserve"> širdies echoskopijai</w:t>
      </w:r>
      <w:r w:rsidR="008E3474">
        <w:rPr>
          <w:rFonts w:ascii="Times New Roman"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w:t>
      </w:r>
      <w:r w:rsidR="008E3474">
        <w:rPr>
          <w:rFonts w:ascii="Times New Roman" w:hAnsi="Times New Roman" w:cs="Times New Roman"/>
          <w:sz w:val="22"/>
          <w:szCs w:val="22"/>
        </w:rPr>
        <w:t>s</w:t>
      </w:r>
      <w:r w:rsidR="000D5661">
        <w:rPr>
          <w:rFonts w:ascii="Times New Roman" w:hAnsi="Times New Roman" w:cs="Times New Roman"/>
          <w:sz w:val="22"/>
          <w:szCs w:val="22"/>
        </w:rPr>
        <w:t xml:space="preserve"> </w:t>
      </w:r>
      <w:r w:rsidR="008E3474">
        <w:rPr>
          <w:rFonts w:ascii="Times New Roman" w:hAnsi="Times New Roman" w:cs="Times New Roman"/>
          <w:sz w:val="22"/>
          <w:szCs w:val="22"/>
        </w:rPr>
        <w:t xml:space="preserve">dalyje </w:t>
      </w:r>
      <w:r w:rsidR="000D5661">
        <w:rPr>
          <w:rFonts w:ascii="Times New Roman" w:hAnsi="Times New Roman" w:cs="Times New Roman"/>
          <w:sz w:val="22"/>
          <w:szCs w:val="22"/>
        </w:rPr>
        <w:t>– Techninėje specifikacijoje</w:t>
      </w:r>
      <w:r w:rsidRPr="00C7434D">
        <w:rPr>
          <w:rFonts w:ascii="Times New Roman" w:hAnsi="Times New Roman" w:cs="Times New Roman"/>
          <w:sz w:val="22"/>
          <w:szCs w:val="22"/>
        </w:rPr>
        <w:t>.</w:t>
      </w:r>
    </w:p>
    <w:p w14:paraId="56DC82B4" w14:textId="2A153CC0" w:rsidR="00151333" w:rsidRDefault="00E4309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Pirkimo objektas skaidomas</w:t>
      </w:r>
      <w:r w:rsidR="00E54A27">
        <w:rPr>
          <w:rFonts w:ascii="Times New Roman" w:hAnsi="Times New Roman" w:cs="Times New Roman"/>
          <w:sz w:val="22"/>
          <w:szCs w:val="22"/>
        </w:rPr>
        <w:t xml:space="preserve"> į dvi dalis:</w:t>
      </w:r>
    </w:p>
    <w:p w14:paraId="2019D0F5" w14:textId="404488BE" w:rsidR="00E54A27" w:rsidRDefault="00E54A27" w:rsidP="00E54A27">
      <w:pPr>
        <w:pStyle w:val="Betarp"/>
        <w:numPr>
          <w:ilvl w:val="2"/>
          <w:numId w:val="39"/>
        </w:numPr>
        <w:tabs>
          <w:tab w:val="left" w:pos="1560"/>
        </w:tabs>
        <w:spacing w:line="235" w:lineRule="auto"/>
        <w:ind w:firstLine="131"/>
        <w:contextualSpacing/>
        <w:jc w:val="both"/>
        <w:rPr>
          <w:rFonts w:ascii="Times New Roman" w:hAnsi="Times New Roman" w:cs="Times New Roman"/>
          <w:sz w:val="22"/>
          <w:szCs w:val="22"/>
        </w:rPr>
      </w:pPr>
      <w:r w:rsidRPr="00E54A27">
        <w:rPr>
          <w:rFonts w:ascii="Times New Roman" w:hAnsi="Times New Roman" w:cs="Times New Roman"/>
          <w:sz w:val="22"/>
          <w:szCs w:val="22"/>
        </w:rPr>
        <w:t xml:space="preserve">Daviklis, skirtas </w:t>
      </w:r>
      <w:proofErr w:type="spellStart"/>
      <w:r w:rsidRPr="00E54A27">
        <w:rPr>
          <w:rFonts w:ascii="Times New Roman" w:hAnsi="Times New Roman" w:cs="Times New Roman"/>
          <w:sz w:val="22"/>
          <w:szCs w:val="22"/>
        </w:rPr>
        <w:t>perstemplinei</w:t>
      </w:r>
      <w:proofErr w:type="spellEnd"/>
      <w:r w:rsidRPr="00E54A27">
        <w:rPr>
          <w:rFonts w:ascii="Times New Roman" w:hAnsi="Times New Roman" w:cs="Times New Roman"/>
          <w:sz w:val="22"/>
          <w:szCs w:val="22"/>
        </w:rPr>
        <w:t xml:space="preserve"> širdies echoskopijai</w:t>
      </w:r>
      <w:r>
        <w:rPr>
          <w:rFonts w:ascii="Times New Roman" w:hAnsi="Times New Roman" w:cs="Times New Roman"/>
          <w:sz w:val="22"/>
          <w:szCs w:val="22"/>
        </w:rPr>
        <w:t>, 1 vnt.;</w:t>
      </w:r>
    </w:p>
    <w:p w14:paraId="22E3D2D4" w14:textId="47AF35A1" w:rsidR="00E54A27" w:rsidRPr="00192F15" w:rsidRDefault="00E54A27" w:rsidP="00E54A27">
      <w:pPr>
        <w:pStyle w:val="Betarp"/>
        <w:numPr>
          <w:ilvl w:val="2"/>
          <w:numId w:val="39"/>
        </w:numPr>
        <w:tabs>
          <w:tab w:val="left" w:pos="1560"/>
        </w:tabs>
        <w:spacing w:line="235" w:lineRule="auto"/>
        <w:ind w:firstLine="131"/>
        <w:contextualSpacing/>
        <w:jc w:val="both"/>
        <w:rPr>
          <w:rFonts w:ascii="Times New Roman" w:hAnsi="Times New Roman" w:cs="Times New Roman"/>
          <w:sz w:val="22"/>
          <w:szCs w:val="22"/>
        </w:rPr>
      </w:pPr>
      <w:r w:rsidRPr="00E54A27">
        <w:rPr>
          <w:rFonts w:ascii="Times New Roman" w:hAnsi="Times New Roman" w:cs="Times New Roman"/>
          <w:sz w:val="22"/>
          <w:szCs w:val="22"/>
        </w:rPr>
        <w:t>D</w:t>
      </w:r>
      <w:r w:rsidRPr="00E54A27">
        <w:rPr>
          <w:rFonts w:ascii="Times New Roman" w:hAnsi="Times New Roman" w:cs="Times New Roman"/>
          <w:sz w:val="22"/>
          <w:szCs w:val="22"/>
        </w:rPr>
        <w:t xml:space="preserve">aviklis, skirtas </w:t>
      </w:r>
      <w:proofErr w:type="spellStart"/>
      <w:r w:rsidRPr="00E54A27">
        <w:rPr>
          <w:rFonts w:ascii="Times New Roman" w:hAnsi="Times New Roman" w:cs="Times New Roman"/>
          <w:sz w:val="22"/>
          <w:szCs w:val="22"/>
        </w:rPr>
        <w:t>transtorakalinei</w:t>
      </w:r>
      <w:proofErr w:type="spellEnd"/>
      <w:r w:rsidRPr="00E54A27">
        <w:rPr>
          <w:rFonts w:ascii="Times New Roman" w:hAnsi="Times New Roman" w:cs="Times New Roman"/>
          <w:sz w:val="22"/>
          <w:szCs w:val="22"/>
        </w:rPr>
        <w:t xml:space="preserve"> širdies echoskopijai</w:t>
      </w:r>
      <w:r>
        <w:rPr>
          <w:rFonts w:ascii="Times New Roman" w:hAnsi="Times New Roman" w:cs="Times New Roman"/>
          <w:sz w:val="22"/>
          <w:szCs w:val="22"/>
        </w:rPr>
        <w:t>, 1 vnt.</w:t>
      </w:r>
    </w:p>
    <w:p w14:paraId="4C3B15C3" w14:textId="6DB6E4B8" w:rsidR="00A03D97" w:rsidRDefault="0045325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sidR="00E54A27">
        <w:rPr>
          <w:rFonts w:ascii="Times New Roman" w:hAnsi="Times New Roman" w:cs="Times New Roman"/>
          <w:sz w:val="22"/>
          <w:szCs w:val="22"/>
        </w:rPr>
        <w:t>turi būti į</w:t>
      </w:r>
      <w:r w:rsidR="00244FC8">
        <w:rPr>
          <w:rFonts w:ascii="Times New Roman" w:hAnsi="Times New Roman" w:cs="Times New Roman"/>
          <w:sz w:val="22"/>
          <w:szCs w:val="22"/>
        </w:rPr>
        <w:t>vykd</w:t>
      </w:r>
      <w:r w:rsidR="00E54A27">
        <w:rPr>
          <w:rFonts w:ascii="Times New Roman" w:hAnsi="Times New Roman" w:cs="Times New Roman"/>
          <w:sz w:val="22"/>
          <w:szCs w:val="22"/>
        </w:rPr>
        <w:t>yt</w:t>
      </w:r>
      <w:r w:rsidR="00244FC8">
        <w:rPr>
          <w:rFonts w:ascii="Times New Roman" w:hAnsi="Times New Roman" w:cs="Times New Roman"/>
          <w:sz w:val="22"/>
          <w:szCs w:val="22"/>
        </w:rPr>
        <w:t>i</w:t>
      </w:r>
      <w:r w:rsidR="00E54A27">
        <w:rPr>
          <w:rFonts w:ascii="Times New Roman" w:hAnsi="Times New Roman" w:cs="Times New Roman"/>
          <w:sz w:val="22"/>
          <w:szCs w:val="22"/>
        </w:rPr>
        <w:t xml:space="preserve"> per</w:t>
      </w:r>
      <w:r w:rsidR="00244FC8">
        <w:rPr>
          <w:rFonts w:ascii="Times New Roman" w:hAnsi="Times New Roman" w:cs="Times New Roman"/>
          <w:sz w:val="22"/>
          <w:szCs w:val="22"/>
        </w:rPr>
        <w:t xml:space="preserve"> 1 mėnes</w:t>
      </w:r>
      <w:r w:rsidR="00E54A27">
        <w:rPr>
          <w:rFonts w:ascii="Times New Roman" w:hAnsi="Times New Roman" w:cs="Times New Roman"/>
          <w:sz w:val="22"/>
          <w:szCs w:val="22"/>
        </w:rPr>
        <w:t>į.</w:t>
      </w:r>
    </w:p>
    <w:p w14:paraId="4188D75A" w14:textId="4E677371" w:rsidR="00E54A27" w:rsidRPr="00E54A27" w:rsidRDefault="00E54A27"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E54A27">
        <w:rPr>
          <w:rFonts w:ascii="Times New Roman" w:hAnsi="Times New Roman" w:cs="Times New Roman"/>
          <w:sz w:val="22"/>
          <w:szCs w:val="22"/>
        </w:rPr>
        <w:t>Prekių pristatymo, montavimo, instaliavimo/įdiegimo ir paleidimo terminas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Šalims raštu išreiškus tam sutikimą gali būti pratęstas ne daugiau kaip 1 mėnesio laikotarpiui</w:t>
      </w:r>
      <w:r>
        <w:rPr>
          <w:rFonts w:ascii="Times New Roman" w:hAnsi="Times New Roman" w:cs="Times New Roman"/>
          <w:sz w:val="22"/>
          <w:szCs w:val="22"/>
        </w:rPr>
        <w:t>.</w:t>
      </w:r>
    </w:p>
    <w:p w14:paraId="0CA81FB8" w14:textId="757EA7E5" w:rsidR="00325243" w:rsidRPr="00192F15" w:rsidRDefault="00E53E1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Pr="00192F15" w:rsidRDefault="00004521"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lastRenderedPageBreak/>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192F15">
        <w:rPr>
          <w:rFonts w:ascii="Times New Roman" w:eastAsia="Times New Roman" w:hAnsi="Times New Roman" w:cs="Times New Roman"/>
          <w:sz w:val="22"/>
          <w:szCs w:val="22"/>
          <w:lang w:eastAsia="en-US"/>
        </w:rPr>
        <w:t>kvazisubtiekėjai</w:t>
      </w:r>
      <w:proofErr w:type="spellEnd"/>
      <w:r w:rsidRPr="00192F15">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6D6F6DE"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54A27">
        <w:rPr>
          <w:rFonts w:ascii="Times New Roman" w:hAnsi="Times New Roman" w:cs="Times New Roman"/>
          <w:sz w:val="22"/>
          <w:szCs w:val="22"/>
        </w:rPr>
        <w:t xml:space="preserve"> </w:t>
      </w:r>
      <w:r w:rsidR="00E54A27" w:rsidRPr="00E54A27">
        <w:rPr>
          <w:rFonts w:ascii="Times New Roman" w:hAnsi="Times New Roman" w:cs="Times New Roman"/>
          <w:b/>
          <w:bCs/>
          <w:sz w:val="22"/>
          <w:szCs w:val="22"/>
        </w:rPr>
        <w:t>(</w:t>
      </w:r>
      <w:r w:rsidR="00E54A27" w:rsidRPr="00A50A27">
        <w:rPr>
          <w:rFonts w:ascii="Times New Roman" w:hAnsi="Times New Roman" w:cs="Times New Roman"/>
          <w:b/>
          <w:sz w:val="22"/>
          <w:szCs w:val="22"/>
          <w:u w:val="single"/>
        </w:rPr>
        <w:t xml:space="preserve">Užpildytas dokumentas privalo būti pateiktas ne skenuota forma, bet </w:t>
      </w:r>
      <w:r w:rsidR="00E54A27" w:rsidRPr="00A50A27">
        <w:rPr>
          <w:rFonts w:ascii="Times New Roman" w:hAnsi="Times New Roman" w:cs="Times New Roman"/>
          <w:b/>
          <w:bCs/>
          <w:sz w:val="22"/>
          <w:szCs w:val="22"/>
          <w:u w:val="single"/>
        </w:rPr>
        <w:t>prisegant atskiru dokumentu Microsoft Excel)</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23830027" w14:textId="5F7AC4A9" w:rsidR="00166F02"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siūlom</w:t>
      </w:r>
      <w:r w:rsidR="00244FC8">
        <w:rPr>
          <w:rFonts w:ascii="Times New Roman" w:hAnsi="Times New Roman" w:cs="Times New Roman"/>
          <w:b/>
          <w:bCs/>
          <w:sz w:val="22"/>
          <w:szCs w:val="22"/>
        </w:rPr>
        <w:t>ų</w:t>
      </w:r>
      <w:r w:rsidRPr="00192F15">
        <w:rPr>
          <w:rFonts w:ascii="Times New Roman" w:hAnsi="Times New Roman" w:cs="Times New Roman"/>
          <w:b/>
          <w:bCs/>
          <w:sz w:val="22"/>
          <w:szCs w:val="22"/>
        </w:rPr>
        <w:t xml:space="preserve"> medicinos </w:t>
      </w:r>
      <w:r w:rsidR="00244FC8">
        <w:rPr>
          <w:rFonts w:ascii="Times New Roman" w:hAnsi="Times New Roman" w:cs="Times New Roman"/>
          <w:b/>
          <w:bCs/>
          <w:sz w:val="22"/>
          <w:szCs w:val="22"/>
        </w:rPr>
        <w:t>prekių</w:t>
      </w:r>
      <w:r w:rsidRPr="00192F15">
        <w:rPr>
          <w:rFonts w:ascii="Times New Roman" w:hAnsi="Times New Roman" w:cs="Times New Roman"/>
          <w:b/>
          <w:bCs/>
          <w:sz w:val="22"/>
          <w:szCs w:val="22"/>
        </w:rPr>
        <w:t xml:space="preserve"> ar/ir medicinos reikmenų </w:t>
      </w:r>
      <w:r w:rsidRPr="00192F15">
        <w:rPr>
          <w:rFonts w:ascii="Times New Roman" w:hAnsi="Times New Roman" w:cs="Times New Roman"/>
          <w:b/>
          <w:sz w:val="22"/>
          <w:szCs w:val="22"/>
        </w:rPr>
        <w:t>gamintojo atstovas</w:t>
      </w:r>
      <w:r w:rsidR="002D76EC" w:rsidRPr="00192F15">
        <w:rPr>
          <w:rFonts w:ascii="Times New Roman" w:hAnsi="Times New Roman" w:cs="Times New Roman"/>
          <w:b/>
          <w:sz w:val="22"/>
          <w:szCs w:val="22"/>
        </w:rPr>
        <w:t xml:space="preserve">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406C1ED7" w14:textId="48A826D0"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 xml:space="preserve">patvirtinimai su/ ar internetinėmis nuorodomis į siūlomos </w:t>
      </w:r>
      <w:r w:rsidR="00244FC8">
        <w:rPr>
          <w:rFonts w:ascii="Times New Roman" w:hAnsi="Times New Roman" w:cs="Times New Roman"/>
          <w:b/>
          <w:bCs/>
          <w:sz w:val="22"/>
          <w:szCs w:val="22"/>
        </w:rPr>
        <w:t>prekės</w:t>
      </w:r>
      <w:r w:rsidRPr="00192F15">
        <w:rPr>
          <w:rFonts w:ascii="Times New Roman" w:hAnsi="Times New Roman" w:cs="Times New Roman"/>
          <w:b/>
          <w:bCs/>
          <w:sz w:val="22"/>
          <w:szCs w:val="22"/>
        </w:rPr>
        <w:t xml:space="preserve">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w:t>
      </w:r>
      <w:r w:rsidR="002D76EC" w:rsidRPr="00192F15">
        <w:rPr>
          <w:rFonts w:ascii="Times New Roman" w:hAnsi="Times New Roman" w:cs="Times New Roman"/>
          <w:sz w:val="22"/>
          <w:szCs w:val="22"/>
        </w:rPr>
        <w:t>5</w:t>
      </w:r>
      <w:r w:rsidRPr="00192F15">
        <w:rPr>
          <w:rFonts w:ascii="Times New Roman" w:hAnsi="Times New Roman" w:cs="Times New Roman"/>
          <w:sz w:val="22"/>
          <w:szCs w:val="22"/>
        </w:rPr>
        <w:t xml:space="preserve">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lastRenderedPageBreak/>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0F73F3FA" w14:textId="5004A8FB" w:rsidR="00244FC8" w:rsidRPr="00244FC8" w:rsidRDefault="00244FC8" w:rsidP="00244FC8">
      <w:pPr>
        <w:pStyle w:val="Sraopastraipa"/>
        <w:numPr>
          <w:ilvl w:val="1"/>
          <w:numId w:val="30"/>
        </w:numPr>
        <w:spacing w:after="0" w:line="20" w:lineRule="atLeast"/>
        <w:ind w:left="0" w:firstLine="709"/>
        <w:jc w:val="both"/>
        <w:rPr>
          <w:rFonts w:ascii="Times New Roman" w:hAnsi="Times New Roman" w:cs="Times New Roman"/>
          <w:sz w:val="22"/>
          <w:szCs w:val="22"/>
        </w:rPr>
      </w:pPr>
      <w:bookmarkStart w:id="39" w:name="_Ref39425999"/>
      <w:bookmarkStart w:id="40" w:name="_Ref39426005"/>
      <w:bookmarkStart w:id="41" w:name="_Toc159231058"/>
      <w:r w:rsidRPr="00244FC8">
        <w:rPr>
          <w:rFonts w:ascii="Times New Roman"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2" w:name="_Hlk91157291"/>
      <w:r w:rsidRPr="00244FC8">
        <w:rPr>
          <w:rFonts w:ascii="Times New Roman" w:hAnsi="Times New Roman" w:cs="Times New Roman"/>
          <w:sz w:val="22"/>
          <w:szCs w:val="22"/>
        </w:rPr>
        <w:t xml:space="preserve">specialiųjų pirkimo sąlygų </w:t>
      </w:r>
      <w:bookmarkEnd w:id="42"/>
      <w:r>
        <w:rPr>
          <w:rFonts w:ascii="Times New Roman" w:hAnsi="Times New Roman" w:cs="Times New Roman"/>
          <w:sz w:val="22"/>
          <w:szCs w:val="22"/>
        </w:rPr>
        <w:t>5</w:t>
      </w:r>
      <w:r w:rsidRPr="00244FC8">
        <w:rPr>
          <w:rFonts w:ascii="Times New Roman" w:hAnsi="Times New Roman" w:cs="Times New Roman"/>
          <w:sz w:val="22"/>
          <w:szCs w:val="22"/>
        </w:rPr>
        <w:t xml:space="preserve"> pried</w:t>
      </w:r>
      <w:r>
        <w:rPr>
          <w:rFonts w:ascii="Times New Roman" w:hAnsi="Times New Roman" w:cs="Times New Roman"/>
          <w:sz w:val="22"/>
          <w:szCs w:val="22"/>
        </w:rPr>
        <w:t>o</w:t>
      </w:r>
      <w:r w:rsidRPr="00244FC8">
        <w:rPr>
          <w:rFonts w:ascii="Times New Roman" w:hAnsi="Times New Roman" w:cs="Times New Roman"/>
          <w:sz w:val="22"/>
          <w:szCs w:val="22"/>
        </w:rPr>
        <w:t xml:space="preserve"> „Pasiūlymo forma</w:t>
      </w:r>
      <w:r>
        <w:rPr>
          <w:rFonts w:ascii="Times New Roman" w:hAnsi="Times New Roman" w:cs="Times New Roman"/>
          <w:sz w:val="22"/>
          <w:szCs w:val="22"/>
        </w:rPr>
        <w:t xml:space="preserve">“ </w:t>
      </w:r>
      <w:r w:rsidRPr="00244FC8">
        <w:rPr>
          <w:rFonts w:ascii="Times New Roman" w:hAnsi="Times New Roman" w:cs="Times New Roman"/>
          <w:sz w:val="22"/>
          <w:szCs w:val="22"/>
        </w:rPr>
        <w:t xml:space="preserve"> </w:t>
      </w:r>
      <w:r>
        <w:rPr>
          <w:rFonts w:ascii="Times New Roman" w:hAnsi="Times New Roman" w:cs="Times New Roman"/>
          <w:sz w:val="22"/>
          <w:szCs w:val="22"/>
        </w:rPr>
        <w:t>T</w:t>
      </w:r>
      <w:r w:rsidRPr="00244FC8">
        <w:rPr>
          <w:rFonts w:ascii="Times New Roman" w:hAnsi="Times New Roman" w:cs="Times New Roman"/>
          <w:sz w:val="22"/>
          <w:szCs w:val="22"/>
        </w:rPr>
        <w:t>echninė</w:t>
      </w:r>
      <w:r>
        <w:rPr>
          <w:rFonts w:ascii="Times New Roman" w:hAnsi="Times New Roman" w:cs="Times New Roman"/>
          <w:sz w:val="22"/>
          <w:szCs w:val="22"/>
        </w:rPr>
        <w:t>je</w:t>
      </w:r>
      <w:r w:rsidRPr="00244FC8">
        <w:rPr>
          <w:rFonts w:ascii="Times New Roman" w:hAnsi="Times New Roman" w:cs="Times New Roman"/>
          <w:sz w:val="22"/>
          <w:szCs w:val="22"/>
        </w:rPr>
        <w:t xml:space="preserve"> specifikacij</w:t>
      </w:r>
      <w:r>
        <w:rPr>
          <w:rFonts w:ascii="Times New Roman" w:hAnsi="Times New Roman" w:cs="Times New Roman"/>
          <w:sz w:val="22"/>
          <w:szCs w:val="22"/>
        </w:rPr>
        <w:t>oje</w:t>
      </w:r>
      <w:r w:rsidRPr="00244FC8">
        <w:rPr>
          <w:rFonts w:ascii="Times New Roman" w:hAnsi="Times New Roman" w:cs="Times New Roman"/>
          <w:sz w:val="22"/>
          <w:szCs w:val="22"/>
        </w:rPr>
        <w:t>.</w:t>
      </w:r>
    </w:p>
    <w:p w14:paraId="6E637963" w14:textId="56037735" w:rsidR="00244FC8" w:rsidRPr="00244FC8" w:rsidRDefault="00244FC8" w:rsidP="00244FC8">
      <w:pPr>
        <w:pStyle w:val="Sraopastraipa"/>
        <w:numPr>
          <w:ilvl w:val="1"/>
          <w:numId w:val="30"/>
        </w:numPr>
        <w:spacing w:after="0" w:line="20" w:lineRule="atLeast"/>
        <w:ind w:left="0" w:firstLine="709"/>
        <w:jc w:val="both"/>
        <w:rPr>
          <w:rFonts w:ascii="Times New Roman" w:hAnsi="Times New Roman" w:cs="Times New Roman"/>
          <w:sz w:val="22"/>
          <w:szCs w:val="22"/>
        </w:rPr>
      </w:pPr>
      <w:r w:rsidRPr="00244FC8">
        <w:rPr>
          <w:rFonts w:ascii="Times New Roman" w:hAnsi="Times New Roman" w:cs="Times New Roman"/>
          <w:sz w:val="22"/>
          <w:szCs w:val="22"/>
        </w:rPr>
        <w:t>Laimėjusiu pasiūlymu galės būti pripažinti tik po 1 (vieną) ekonomiškai naudingiausią pasiūlymą eilės pirmojoje vietoje. Tas pats tiekėjas gali būti nustatomas laimėtoju dėl visų pirkimo objekto dalių.  (Taikoma jei pirkimas skirstomas į dalis).</w:t>
      </w:r>
    </w:p>
    <w:p w14:paraId="7934B450" w14:textId="15276194" w:rsidR="00244FC8" w:rsidRPr="00244FC8" w:rsidRDefault="00244FC8" w:rsidP="00244FC8">
      <w:pPr>
        <w:pStyle w:val="Sraopastraipa"/>
        <w:numPr>
          <w:ilvl w:val="1"/>
          <w:numId w:val="30"/>
        </w:numPr>
        <w:spacing w:after="0" w:line="20" w:lineRule="atLeast"/>
        <w:ind w:left="0" w:firstLine="709"/>
        <w:jc w:val="both"/>
        <w:rPr>
          <w:rFonts w:ascii="Times New Roman" w:eastAsiaTheme="minorHAnsi" w:hAnsi="Times New Roman" w:cs="Times New Roman"/>
          <w:bCs/>
          <w:i/>
          <w:iCs/>
          <w:sz w:val="22"/>
          <w:szCs w:val="22"/>
        </w:rPr>
      </w:pPr>
      <w:r w:rsidRPr="00244FC8">
        <w:rPr>
          <w:rFonts w:ascii="Times New Roman" w:hAnsi="Times New Roman" w:cs="Times New Roman"/>
          <w:sz w:val="22"/>
          <w:szCs w:val="22"/>
        </w:rPr>
        <w:t>Perkančioji organizacija atmes tiekėjo pasiūlymą, jeigu kartu su pasiūlymu nebus pateikti šie pirkimo sąlygose reikalaujami pateikti dokumentai: užpildyta pasiūlymo forma ir techninė specifikacija (</w:t>
      </w:r>
      <w:r>
        <w:rPr>
          <w:rFonts w:ascii="Times New Roman" w:hAnsi="Times New Roman" w:cs="Times New Roman"/>
          <w:sz w:val="22"/>
          <w:szCs w:val="22"/>
        </w:rPr>
        <w:t>5</w:t>
      </w:r>
      <w:r w:rsidRPr="00244FC8">
        <w:rPr>
          <w:rFonts w:ascii="Times New Roman" w:hAnsi="Times New Roman" w:cs="Times New Roman"/>
          <w:sz w:val="22"/>
          <w:szCs w:val="22"/>
        </w:rPr>
        <w:t xml:space="preserve"> priedas). </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39"/>
      <w:bookmarkEnd w:id="40"/>
      <w:bookmarkEnd w:id="41"/>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tcPr>
          <w:p w14:paraId="7ECB1EDB" w14:textId="62E95466"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shd w:val="clear" w:color="auto" w:fill="auto"/>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shd w:val="clear" w:color="auto" w:fill="auto"/>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7"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18"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19"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0"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1"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3"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7F08E9CD" w14:textId="77777777" w:rsidR="00F431BD" w:rsidRPr="00D51822" w:rsidRDefault="00F431BD" w:rsidP="00F431BD">
      <w:pPr>
        <w:spacing w:line="240" w:lineRule="auto"/>
        <w:ind w:left="7314"/>
        <w:rPr>
          <w:rFonts w:ascii="Times New Roman" w:hAnsi="Times New Roman" w:cs="Times New Roman"/>
          <w:sz w:val="24"/>
          <w:szCs w:val="24"/>
        </w:rPr>
      </w:pPr>
    </w:p>
    <w:p w14:paraId="13FE4853" w14:textId="702602A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1.</w:t>
      </w:r>
      <w:r w:rsidRPr="00F431BD">
        <w:rPr>
          <w:rFonts w:eastAsiaTheme="minorEastAsia"/>
          <w:lang w:eastAsia="lt-LT"/>
        </w:rPr>
        <w:tab/>
        <w:t>Perkančioji organizacija ekonomiškai naudingiausią pasiūlymą išrenka pagal kainos kriterijų.</w:t>
      </w:r>
    </w:p>
    <w:p w14:paraId="1D294C88" w14:textId="77777777" w:rsidR="00F431BD" w:rsidRPr="00F431BD" w:rsidRDefault="00F431BD" w:rsidP="00F431BD">
      <w:pPr>
        <w:pStyle w:val="paragrafesrasas2lygis"/>
        <w:ind w:firstLine="709"/>
        <w:jc w:val="left"/>
        <w:rPr>
          <w:i/>
          <w:iCs/>
          <w:color w:val="7030A0"/>
        </w:rPr>
      </w:pPr>
      <w:r w:rsidRPr="00F431BD">
        <w:rPr>
          <w:rFonts w:eastAsiaTheme="minorEastAsia"/>
          <w:lang w:eastAsia="lt-LT"/>
        </w:rPr>
        <w:t>2.</w:t>
      </w:r>
      <w:r w:rsidRPr="00F431BD">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auto"/>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8"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9"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3"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9"/>
  </w:num>
  <w:num w:numId="2" w16cid:durableId="207184103">
    <w:abstractNumId w:val="5"/>
  </w:num>
  <w:num w:numId="3" w16cid:durableId="1528367431">
    <w:abstractNumId w:val="25"/>
  </w:num>
  <w:num w:numId="4" w16cid:durableId="1484615006">
    <w:abstractNumId w:val="28"/>
  </w:num>
  <w:num w:numId="5" w16cid:durableId="607934237">
    <w:abstractNumId w:val="18"/>
  </w:num>
  <w:num w:numId="6" w16cid:durableId="1759206832">
    <w:abstractNumId w:val="23"/>
  </w:num>
  <w:num w:numId="7" w16cid:durableId="408162091">
    <w:abstractNumId w:val="33"/>
  </w:num>
  <w:num w:numId="8" w16cid:durableId="412043720">
    <w:abstractNumId w:val="32"/>
  </w:num>
  <w:num w:numId="9" w16cid:durableId="1996449446">
    <w:abstractNumId w:val="31"/>
  </w:num>
  <w:num w:numId="10" w16cid:durableId="1318921492">
    <w:abstractNumId w:val="17"/>
  </w:num>
  <w:num w:numId="11" w16cid:durableId="182548654">
    <w:abstractNumId w:val="15"/>
  </w:num>
  <w:num w:numId="12" w16cid:durableId="1573735120">
    <w:abstractNumId w:val="13"/>
  </w:num>
  <w:num w:numId="13" w16cid:durableId="593629820">
    <w:abstractNumId w:val="14"/>
  </w:num>
  <w:num w:numId="14" w16cid:durableId="1086878064">
    <w:abstractNumId w:val="24"/>
  </w:num>
  <w:num w:numId="15" w16cid:durableId="601766584">
    <w:abstractNumId w:val="27"/>
  </w:num>
  <w:num w:numId="16" w16cid:durableId="1876188991">
    <w:abstractNumId w:val="11"/>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4"/>
  </w:num>
  <w:num w:numId="22" w16cid:durableId="1137794015">
    <w:abstractNumId w:val="6"/>
  </w:num>
  <w:num w:numId="23" w16cid:durableId="750396670">
    <w:abstractNumId w:val="7"/>
  </w:num>
  <w:num w:numId="24" w16cid:durableId="175846264">
    <w:abstractNumId w:val="8"/>
  </w:num>
  <w:num w:numId="25" w16cid:durableId="256329913">
    <w:abstractNumId w:val="20"/>
  </w:num>
  <w:num w:numId="26" w16cid:durableId="1237983620">
    <w:abstractNumId w:val="4"/>
  </w:num>
  <w:num w:numId="27" w16cid:durableId="1873491117">
    <w:abstractNumId w:val="19"/>
  </w:num>
  <w:num w:numId="28" w16cid:durableId="1053306223">
    <w:abstractNumId w:val="2"/>
  </w:num>
  <w:num w:numId="29" w16cid:durableId="326519142">
    <w:abstractNumId w:val="3"/>
  </w:num>
  <w:num w:numId="30" w16cid:durableId="2062433539">
    <w:abstractNumId w:val="21"/>
  </w:num>
  <w:num w:numId="31" w16cid:durableId="92303335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0"/>
  </w:num>
  <w:num w:numId="34" w16cid:durableId="1503620051">
    <w:abstractNumId w:val="16"/>
  </w:num>
  <w:num w:numId="35" w16cid:durableId="1789858266">
    <w:abstractNumId w:val="30"/>
  </w:num>
  <w:num w:numId="36" w16cid:durableId="494614562">
    <w:abstractNumId w:val="26"/>
  </w:num>
  <w:num w:numId="37" w16cid:durableId="1473055655">
    <w:abstractNumId w:val="29"/>
  </w:num>
  <w:num w:numId="38" w16cid:durableId="510532351">
    <w:abstractNumId w:val="1"/>
  </w:num>
  <w:num w:numId="39" w16cid:durableId="58244944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29959</Words>
  <Characters>17078</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2</cp:revision>
  <dcterms:created xsi:type="dcterms:W3CDTF">2025-04-10T10:15:00Z</dcterms:created>
  <dcterms:modified xsi:type="dcterms:W3CDTF">2025-04-10T10:15:00Z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