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4D84BDB0" w:rsidR="005A5832" w:rsidRPr="00CA02F4" w:rsidRDefault="00CA02F4">
            <w:pPr>
              <w:jc w:val="both"/>
              <w:rPr>
                <w:b/>
                <w:bCs/>
                <w:kern w:val="2"/>
                <w:szCs w:val="24"/>
                <w:highlight w:val="yellow"/>
              </w:rPr>
            </w:pPr>
            <w:r w:rsidRPr="00CA02F4">
              <w:rPr>
                <w:b/>
                <w:bCs/>
                <w:kern w:val="2"/>
                <w:szCs w:val="24"/>
                <w:highlight w:val="yellow"/>
              </w:rPr>
              <w:t>A</w:t>
            </w:r>
            <w:r w:rsidRPr="00CA02F4">
              <w:rPr>
                <w:b/>
                <w:bCs/>
                <w:kern w:val="2"/>
                <w:szCs w:val="24"/>
                <w:highlight w:val="yellow"/>
              </w:rPr>
              <w:t>ntivirusinės ir ugniasienės programinės įrangos licencijų atnaujinimo (kibernetinio saugumo sprendimo paketas)</w:t>
            </w:r>
            <w:r w:rsidR="0046560A" w:rsidRPr="00CA02F4">
              <w:rPr>
                <w:b/>
                <w:bCs/>
                <w:kern w:val="2"/>
                <w:szCs w:val="24"/>
                <w:highlight w:val="yellow"/>
              </w:rPr>
              <w:t xml:space="preserve"> 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1A94D3C4" w14:textId="77777777" w:rsidR="005A5832" w:rsidRDefault="00A10867">
            <w:pPr>
              <w:rPr>
                <w:color w:val="4472C4"/>
                <w:kern w:val="2"/>
                <w:szCs w:val="24"/>
              </w:rPr>
            </w:pPr>
            <w:r>
              <w:rPr>
                <w:color w:val="4472C4"/>
                <w:kern w:val="2"/>
                <w:szCs w:val="24"/>
              </w:rPr>
              <w:t>(jei Tiekėjas yra fizinis asmuo, skiltys atitinkamai pakoreguojamos)</w:t>
            </w:r>
          </w:p>
          <w:p w14:paraId="5A8CB9D4" w14:textId="77777777" w:rsidR="005A5832" w:rsidRDefault="005A5832">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509F7AEC" w:rsidR="005A5832" w:rsidRPr="008E0F8D" w:rsidRDefault="00A10867" w:rsidP="00F1674A">
            <w:pPr>
              <w:jc w:val="both"/>
              <w:rPr>
                <w:kern w:val="2"/>
                <w:szCs w:val="24"/>
              </w:rPr>
            </w:pPr>
            <w:r w:rsidRPr="008E0F8D">
              <w:rPr>
                <w:kern w:val="2"/>
                <w:szCs w:val="24"/>
              </w:rPr>
              <w:t xml:space="preserve">Tiekėjas įsipareigoja Sutartyje numatytomis sąlygomis perduoti Pirkėjui </w:t>
            </w:r>
            <w:r w:rsidR="00305643" w:rsidRPr="00305643">
              <w:rPr>
                <w:b/>
                <w:bCs/>
                <w:kern w:val="2"/>
                <w:szCs w:val="24"/>
                <w:highlight w:val="yellow"/>
              </w:rPr>
              <w:t>antivirusinės ir ugniasienės programinės įrangos licencijų atnaujinim</w:t>
            </w:r>
            <w:r w:rsidR="001D0FBE">
              <w:rPr>
                <w:b/>
                <w:bCs/>
                <w:kern w:val="2"/>
                <w:szCs w:val="24"/>
                <w:highlight w:val="yellow"/>
              </w:rPr>
              <w:t>ą</w:t>
            </w:r>
            <w:r w:rsidR="00305643" w:rsidRPr="00305643">
              <w:rPr>
                <w:b/>
                <w:bCs/>
                <w:kern w:val="2"/>
                <w:szCs w:val="24"/>
                <w:highlight w:val="yellow"/>
              </w:rPr>
              <w:t xml:space="preserve"> (kibernetinio saugumo sprendimo paket</w:t>
            </w:r>
            <w:r w:rsidR="00DF7BE8">
              <w:rPr>
                <w:b/>
                <w:bCs/>
                <w:kern w:val="2"/>
                <w:szCs w:val="24"/>
                <w:highlight w:val="yellow"/>
              </w:rPr>
              <w:t>ą</w:t>
            </w:r>
            <w:r w:rsidR="00305643" w:rsidRPr="00305643">
              <w:rPr>
                <w:b/>
                <w:bCs/>
                <w:kern w:val="2"/>
                <w:szCs w:val="24"/>
                <w:highlight w:val="yellow"/>
              </w:rPr>
              <w:t>)</w:t>
            </w:r>
            <w:r w:rsidR="004239B3" w:rsidRPr="00305643">
              <w:rPr>
                <w:kern w:val="2"/>
                <w:szCs w:val="24"/>
                <w:highlight w:val="yellow"/>
              </w:rPr>
              <w:t>,</w:t>
            </w:r>
            <w:r w:rsidR="004239B3" w:rsidRPr="008E0F8D">
              <w:rPr>
                <w:kern w:val="2"/>
                <w:szCs w:val="24"/>
              </w:rPr>
              <w:t xml:space="preserve"> įskaitant pristatymą</w:t>
            </w:r>
            <w:r w:rsidR="007A5FF6">
              <w:rPr>
                <w:kern w:val="2"/>
                <w:szCs w:val="24"/>
              </w:rPr>
              <w:t xml:space="preserve">, </w:t>
            </w:r>
            <w:r w:rsidRPr="008E0F8D">
              <w:rPr>
                <w:kern w:val="2"/>
                <w:szCs w:val="24"/>
              </w:rPr>
              <w:t>(toliau – Prekės).</w:t>
            </w:r>
          </w:p>
          <w:p w14:paraId="7CCEC918" w14:textId="77777777" w:rsidR="005A5832" w:rsidRPr="008E0F8D" w:rsidRDefault="00A10867" w:rsidP="00F1674A">
            <w:pPr>
              <w:jc w:val="both"/>
              <w:rPr>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202586B1"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1DF11B7F" w14:textId="7B85A7AB" w:rsidR="0070480B" w:rsidRPr="0070480B" w:rsidRDefault="0070480B" w:rsidP="0070480B">
            <w:pPr>
              <w:textAlignment w:val="baseline"/>
              <w:rPr>
                <w:kern w:val="2"/>
                <w:szCs w:val="24"/>
              </w:rPr>
            </w:pPr>
            <w:r w:rsidRPr="0070480B">
              <w:rPr>
                <w:kern w:val="2"/>
                <w:szCs w:val="24"/>
              </w:rPr>
              <w:t xml:space="preserve">Tiekėjas Prekes įsipareigoja pristatyti ne vėliau  kaip per </w:t>
            </w:r>
            <w:r w:rsidR="000B7CDD" w:rsidRPr="00306216">
              <w:rPr>
                <w:kern w:val="2"/>
                <w:szCs w:val="24"/>
                <w:highlight w:val="yellow"/>
              </w:rPr>
              <w:t xml:space="preserve">30 (trisdešimt) </w:t>
            </w:r>
            <w:r w:rsidR="00B66D8F">
              <w:rPr>
                <w:kern w:val="2"/>
                <w:szCs w:val="24"/>
                <w:highlight w:val="yellow"/>
              </w:rPr>
              <w:t>kalendorinių</w:t>
            </w:r>
            <w:r w:rsidR="00306216" w:rsidRPr="00306216">
              <w:rPr>
                <w:kern w:val="2"/>
                <w:szCs w:val="24"/>
                <w:highlight w:val="yellow"/>
              </w:rPr>
              <w:t xml:space="preserve"> dienų</w:t>
            </w:r>
            <w:r w:rsidR="00306216">
              <w:rPr>
                <w:kern w:val="2"/>
                <w:szCs w:val="24"/>
              </w:rPr>
              <w:t xml:space="preserve"> </w:t>
            </w:r>
            <w:r w:rsidR="000B7CDD">
              <w:rPr>
                <w:kern w:val="2"/>
                <w:szCs w:val="24"/>
              </w:rPr>
              <w:t>Užsakymo</w:t>
            </w:r>
            <w:r w:rsidR="00306216">
              <w:rPr>
                <w:kern w:val="2"/>
                <w:szCs w:val="24"/>
              </w:rPr>
              <w:t xml:space="preserve"> pateikimo adresu:</w:t>
            </w:r>
            <w:r w:rsidRPr="0070480B">
              <w:rPr>
                <w:kern w:val="2"/>
                <w:szCs w:val="24"/>
              </w:rPr>
              <w:t xml:space="preserve"> Lietuvos sveikatos mokslų universitetas, Kaunas.</w:t>
            </w:r>
          </w:p>
          <w:p w14:paraId="15D0E4C9" w14:textId="77777777" w:rsidR="00306216" w:rsidRDefault="0070480B" w:rsidP="0070480B">
            <w:pPr>
              <w:jc w:val="both"/>
              <w:textAlignment w:val="baseline"/>
              <w:rPr>
                <w:kern w:val="2"/>
                <w:szCs w:val="24"/>
              </w:rPr>
            </w:pPr>
            <w:r w:rsidRPr="0070480B">
              <w:rPr>
                <w:kern w:val="2"/>
                <w:szCs w:val="24"/>
              </w:rPr>
              <w:t>Tiekėjas prekes galės pristatyti tik iš anksto suderinęs su perkančiąja organizacija laiką ir kontaktinį asmenį prekėms priimti.</w:t>
            </w:r>
            <w:r w:rsidR="000B7CDD">
              <w:rPr>
                <w:kern w:val="2"/>
                <w:szCs w:val="24"/>
              </w:rPr>
              <w:t xml:space="preserve"> </w:t>
            </w:r>
          </w:p>
          <w:p w14:paraId="100865AA" w14:textId="66DE0C1C" w:rsidR="00592923" w:rsidRPr="00056031" w:rsidRDefault="00592923" w:rsidP="00BF42D4">
            <w:pPr>
              <w:jc w:val="both"/>
              <w:textAlignment w:val="baseline"/>
              <w:rPr>
                <w:szCs w:val="24"/>
              </w:rPr>
            </w:pPr>
            <w:r>
              <w:rPr>
                <w:szCs w:val="24"/>
              </w:rPr>
              <w:t>Bendra</w:t>
            </w:r>
            <w:r w:rsidR="00306216">
              <w:rPr>
                <w:szCs w:val="24"/>
              </w:rPr>
              <w:t>s</w:t>
            </w:r>
            <w:r>
              <w:rPr>
                <w:szCs w:val="24"/>
              </w:rPr>
              <w:t xml:space="preserve"> prekių tiekimo terminas – </w:t>
            </w:r>
            <w:r w:rsidR="00B66D8F">
              <w:rPr>
                <w:szCs w:val="24"/>
                <w:highlight w:val="yellow"/>
              </w:rPr>
              <w:t>36</w:t>
            </w:r>
            <w:r w:rsidRPr="0008796F">
              <w:rPr>
                <w:szCs w:val="24"/>
                <w:highlight w:val="yellow"/>
              </w:rPr>
              <w:t xml:space="preserve"> (</w:t>
            </w:r>
            <w:r w:rsidR="00B66D8F">
              <w:rPr>
                <w:szCs w:val="24"/>
                <w:highlight w:val="yellow"/>
              </w:rPr>
              <w:t>trisdešimt šeši</w:t>
            </w:r>
            <w:r w:rsidRPr="0008796F">
              <w:rPr>
                <w:szCs w:val="24"/>
                <w:highlight w:val="yellow"/>
              </w:rPr>
              <w:t>) mėnesi</w:t>
            </w:r>
            <w:r w:rsidR="00B923A2">
              <w:rPr>
                <w:szCs w:val="24"/>
              </w:rPr>
              <w:t>ai</w:t>
            </w:r>
            <w:r>
              <w:rPr>
                <w:szCs w:val="24"/>
              </w:rPr>
              <w:t xml:space="preserve"> nuo Sutarties įsigaliojimo dienos.</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71BB3222" w14:textId="77777777" w:rsidR="00032988" w:rsidRPr="00974845" w:rsidRDefault="00032988" w:rsidP="00032988">
            <w:pPr>
              <w:rPr>
                <w:kern w:val="2"/>
                <w:szCs w:val="24"/>
              </w:rPr>
            </w:pPr>
            <w:r w:rsidRPr="00974845">
              <w:rPr>
                <w:kern w:val="2"/>
                <w:szCs w:val="24"/>
              </w:rPr>
              <w:t>Netaikoma</w:t>
            </w:r>
          </w:p>
          <w:p w14:paraId="357F2F4C" w14:textId="77777777" w:rsidR="00032988" w:rsidRPr="00974845" w:rsidRDefault="00032988" w:rsidP="00032988">
            <w:pPr>
              <w:rPr>
                <w:kern w:val="2"/>
                <w:szCs w:val="24"/>
              </w:rPr>
            </w:pPr>
          </w:p>
          <w:p w14:paraId="30990ADD" w14:textId="23916C9B" w:rsidR="00032988" w:rsidRPr="00974845" w:rsidRDefault="00032988" w:rsidP="00032988">
            <w:pPr>
              <w:rPr>
                <w:kern w:val="2"/>
                <w:szCs w:val="24"/>
              </w:rPr>
            </w:pP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40847F85" w14:textId="77777777" w:rsidR="006C4CE1" w:rsidRDefault="00FA093D" w:rsidP="00032988">
            <w:pPr>
              <w:rPr>
                <w:kern w:val="2"/>
                <w:szCs w:val="24"/>
              </w:rPr>
            </w:pPr>
            <w:r w:rsidRPr="00D517FA">
              <w:rPr>
                <w:kern w:val="2"/>
                <w:szCs w:val="24"/>
              </w:rPr>
              <w:t xml:space="preserve">Kartu su Prekėmis pateikiami šie dokumentai: </w:t>
            </w:r>
          </w:p>
          <w:p w14:paraId="2E6D1362" w14:textId="4D2DD04E" w:rsidR="006C4CE1" w:rsidRDefault="0008796F" w:rsidP="00032988">
            <w:pPr>
              <w:rPr>
                <w:kern w:val="2"/>
                <w:szCs w:val="24"/>
              </w:rPr>
            </w:pPr>
            <w:r w:rsidRPr="00D517FA">
              <w:rPr>
                <w:kern w:val="2"/>
                <w:szCs w:val="24"/>
                <w:highlight w:val="yellow"/>
              </w:rPr>
              <w:t xml:space="preserve">Sąskaita </w:t>
            </w:r>
            <w:r w:rsidRPr="007C28E6">
              <w:rPr>
                <w:kern w:val="2"/>
                <w:szCs w:val="24"/>
                <w:highlight w:val="yellow"/>
              </w:rPr>
              <w:t>faktūra</w:t>
            </w:r>
            <w:r w:rsidR="003061EB" w:rsidRPr="007C28E6">
              <w:rPr>
                <w:kern w:val="2"/>
                <w:szCs w:val="24"/>
                <w:highlight w:val="yellow"/>
              </w:rPr>
              <w:t xml:space="preserve"> (kuri laikoma ir prekių priėmimo-perdavimo aktu</w:t>
            </w:r>
            <w:r w:rsidR="003061EB">
              <w:rPr>
                <w:kern w:val="2"/>
                <w:szCs w:val="24"/>
              </w:rPr>
              <w:t>)</w:t>
            </w:r>
            <w:r w:rsidR="00F000C1">
              <w:rPr>
                <w:kern w:val="2"/>
                <w:szCs w:val="24"/>
              </w:rPr>
              <w:t xml:space="preserve">, </w:t>
            </w:r>
          </w:p>
          <w:p w14:paraId="7F4B3361" w14:textId="298D625B" w:rsidR="00032988" w:rsidRPr="00974845" w:rsidRDefault="00FA093D" w:rsidP="00032988">
            <w:pPr>
              <w:rPr>
                <w:kern w:val="2"/>
                <w:szCs w:val="24"/>
              </w:rPr>
            </w:pP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770CCE67" w14:textId="249D948B" w:rsidR="00032988" w:rsidRPr="00974845" w:rsidRDefault="00A93ADD" w:rsidP="00032988">
            <w:pPr>
              <w:rPr>
                <w:kern w:val="2"/>
                <w:szCs w:val="24"/>
              </w:rPr>
            </w:pPr>
            <w:r w:rsidRPr="006D213B">
              <w:rPr>
                <w:kern w:val="2"/>
                <w:szCs w:val="24"/>
                <w:highlight w:val="yellow"/>
              </w:rPr>
              <w:t>Fiksuotos kainos kainodara</w:t>
            </w: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76E20DA3" w14:textId="3943E272" w:rsidR="00032988" w:rsidRDefault="00032988" w:rsidP="00032988">
            <w:pPr>
              <w:rPr>
                <w:b/>
                <w:bCs/>
                <w:kern w:val="2"/>
                <w:szCs w:val="24"/>
              </w:rPr>
            </w:pPr>
            <w:r>
              <w:rPr>
                <w:b/>
                <w:bCs/>
                <w:kern w:val="2"/>
                <w:szCs w:val="24"/>
              </w:rPr>
              <w:t xml:space="preserve">5.2. </w:t>
            </w:r>
            <w:r w:rsidR="00362208" w:rsidRPr="00362208">
              <w:rPr>
                <w:b/>
                <w:bCs/>
                <w:kern w:val="2"/>
                <w:szCs w:val="24"/>
              </w:rPr>
              <w:t>Pradinės Sutarties vertė ir Sutarties kaina, kai taikoma fiksuotos kainos kainodara</w:t>
            </w: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4C42F974" w14:textId="77777777" w:rsidR="00DF1130" w:rsidRPr="00DF1130" w:rsidRDefault="00DF1130" w:rsidP="00DF1130">
            <w:pPr>
              <w:rPr>
                <w:kern w:val="2"/>
                <w:szCs w:val="24"/>
              </w:rPr>
            </w:pPr>
            <w:r w:rsidRPr="00DF1130">
              <w:rPr>
                <w:kern w:val="2"/>
                <w:szCs w:val="24"/>
              </w:rPr>
              <w:lastRenderedPageBreak/>
              <w:t xml:space="preserve">Pradinės Sutarties vertė yra (nurodyti sumą skaičiais) Eur, (nurodyti sumą žodžiais) be pridėtinės vertės mokesčio (toliau – PVM). </w:t>
            </w:r>
          </w:p>
          <w:p w14:paraId="4068AD9C" w14:textId="77777777" w:rsidR="00DF1130" w:rsidRPr="00DF1130" w:rsidRDefault="00DF1130" w:rsidP="00DF1130">
            <w:pPr>
              <w:rPr>
                <w:kern w:val="2"/>
                <w:szCs w:val="24"/>
              </w:rPr>
            </w:pPr>
            <w:r w:rsidRPr="00DF1130">
              <w:rPr>
                <w:kern w:val="2"/>
                <w:szCs w:val="24"/>
              </w:rPr>
              <w:t>PVM sudaro (nurodyti sumą skaičiais) Eur, (nurodyti sumą žodžiais).</w:t>
            </w:r>
          </w:p>
          <w:p w14:paraId="0AD904AE" w14:textId="77777777" w:rsidR="00DF1130" w:rsidRPr="00DF1130" w:rsidRDefault="00DF1130" w:rsidP="00DF1130">
            <w:pPr>
              <w:rPr>
                <w:kern w:val="2"/>
                <w:szCs w:val="24"/>
              </w:rPr>
            </w:pPr>
            <w:r w:rsidRPr="00DF1130">
              <w:rPr>
                <w:kern w:val="2"/>
                <w:szCs w:val="24"/>
              </w:rPr>
              <w:t>Sutarties kaina yra (nurodyti sumą skaičiais) Eur, (nurodyti sumą žodžiais) Eur su PVM.</w:t>
            </w:r>
          </w:p>
          <w:p w14:paraId="27EC1933" w14:textId="429533DE" w:rsidR="00032988" w:rsidRDefault="00DF1130" w:rsidP="00DF1130">
            <w:pPr>
              <w:rPr>
                <w:color w:val="FF0000"/>
                <w:kern w:val="2"/>
                <w:szCs w:val="24"/>
              </w:rPr>
            </w:pPr>
            <w:r w:rsidRPr="00DF1130">
              <w:rPr>
                <w:kern w:val="2"/>
                <w:szCs w:val="24"/>
              </w:rPr>
              <w:lastRenderedPageBreak/>
              <w:t>Šioje Sutartyje Pradinės Sutarties vertė yra lygi Tiekėjo pasiūlymo kainai be PVM, nurodytai už visą pirkimo dokumentuose ir Sutartyje nurodytą Prekių kiekį ir (ar) apimtį.</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70B6D8B5" w:rsidR="00C26314" w:rsidRPr="0075502B" w:rsidRDefault="00C26314" w:rsidP="00C26314">
            <w:pPr>
              <w:rPr>
                <w:kern w:val="2"/>
                <w:szCs w:val="24"/>
              </w:rPr>
            </w:pPr>
            <w:r w:rsidRPr="0075502B">
              <w:rPr>
                <w:kern w:val="2"/>
                <w:szCs w:val="24"/>
              </w:rPr>
              <w:t xml:space="preserve">5.3.3. </w:t>
            </w:r>
            <w:r w:rsidR="00E51518" w:rsidRPr="00E51518">
              <w:rPr>
                <w:kern w:val="2"/>
                <w:szCs w:val="24"/>
              </w:rPr>
              <w:t>dėl kainų lygio pokyčio</w:t>
            </w:r>
            <w:r w:rsidRPr="0075502B">
              <w:rPr>
                <w:kern w:val="2"/>
                <w:szCs w:val="24"/>
              </w:rPr>
              <w:t>;</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2C0BB14A" w14:textId="77777777" w:rsidR="00157729" w:rsidRPr="00157729" w:rsidRDefault="00157729" w:rsidP="00157729">
            <w:pPr>
              <w:rPr>
                <w:color w:val="000000"/>
                <w:kern w:val="2"/>
                <w:szCs w:val="24"/>
              </w:rPr>
            </w:pPr>
            <w:r w:rsidRPr="00157729">
              <w:rPr>
                <w:color w:val="000000"/>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 Sutarties kainos peržiūra atliekama ne rečiau kaip kas 6 (šešis) mėnesius.</w:t>
            </w:r>
          </w:p>
          <w:p w14:paraId="579D2A2A" w14:textId="77777777" w:rsidR="00157729" w:rsidRPr="00157729" w:rsidRDefault="00157729" w:rsidP="00157729">
            <w:pPr>
              <w:rPr>
                <w:color w:val="000000"/>
                <w:kern w:val="2"/>
                <w:szCs w:val="24"/>
              </w:rPr>
            </w:pPr>
            <w:r w:rsidRPr="00157729">
              <w:rPr>
                <w:color w:val="000000"/>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436775A2" w14:textId="77777777" w:rsidR="00157729" w:rsidRPr="00157729" w:rsidRDefault="00157729" w:rsidP="00157729">
            <w:pPr>
              <w:rPr>
                <w:color w:val="000000"/>
                <w:kern w:val="2"/>
                <w:szCs w:val="24"/>
              </w:rPr>
            </w:pPr>
            <w:r w:rsidRPr="00157729">
              <w:rPr>
                <w:color w:val="000000"/>
                <w:kern w:val="2"/>
                <w:szCs w:val="24"/>
              </w:rPr>
              <w:t>5.3.3.3. Jeigu Paslaugų teikimas vėluoja dėl Tiekėjo kaltės, uždelstų suteikti Paslaugų kaina nėra perskaičiuojami dėl kainų lygio kilimo (gali būti mažinami, tačiau negali būti didinami).</w:t>
            </w:r>
          </w:p>
          <w:p w14:paraId="7318A2A9" w14:textId="77777777" w:rsidR="00157729" w:rsidRPr="00157729" w:rsidRDefault="00157729" w:rsidP="00157729">
            <w:pPr>
              <w:rPr>
                <w:color w:val="000000"/>
                <w:kern w:val="2"/>
                <w:szCs w:val="24"/>
              </w:rPr>
            </w:pPr>
            <w:r w:rsidRPr="00157729">
              <w:rPr>
                <w:color w:val="000000"/>
                <w:kern w:val="2"/>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w:t>
            </w:r>
            <w:r w:rsidRPr="00157729">
              <w:rPr>
                <w:color w:val="000000"/>
                <w:kern w:val="2"/>
                <w:szCs w:val="24"/>
              </w:rPr>
              <w:lastRenderedPageBreak/>
              <w:t xml:space="preserve">oficialaus Valstybės duomenų agentūros ar kitos institucijos išduoto dokumento ar patvirtinimo. </w:t>
            </w:r>
          </w:p>
          <w:p w14:paraId="1325334B" w14:textId="77777777" w:rsidR="00157729" w:rsidRPr="00157729" w:rsidRDefault="00157729" w:rsidP="00157729">
            <w:pPr>
              <w:rPr>
                <w:color w:val="000000"/>
                <w:kern w:val="2"/>
                <w:szCs w:val="24"/>
              </w:rPr>
            </w:pPr>
            <w:r w:rsidRPr="00157729">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52D8E81" w14:textId="77777777" w:rsidR="00157729" w:rsidRPr="00157729" w:rsidRDefault="00157729" w:rsidP="00157729">
            <w:pPr>
              <w:rPr>
                <w:color w:val="000000"/>
                <w:kern w:val="2"/>
                <w:szCs w:val="24"/>
              </w:rPr>
            </w:pPr>
            <w:r w:rsidRPr="00157729">
              <w:rPr>
                <w:color w:val="000000"/>
                <w:kern w:val="2"/>
                <w:szCs w:val="24"/>
              </w:rPr>
              <w:t>5.3.3.6. Nauja Sutarties kaina apskaičiuojami pagal žemiau pateiktą formulę:</w:t>
            </w:r>
          </w:p>
          <w:p w14:paraId="0FC09E91" w14:textId="77777777" w:rsidR="00157729" w:rsidRPr="00157729" w:rsidRDefault="00157729" w:rsidP="00157729">
            <w:pPr>
              <w:rPr>
                <w:color w:val="000000"/>
                <w:kern w:val="2"/>
                <w:szCs w:val="24"/>
              </w:rPr>
            </w:pPr>
          </w:p>
          <w:p w14:paraId="6B8FE0E3" w14:textId="77777777" w:rsidR="00157729" w:rsidRPr="00157729" w:rsidRDefault="00157729" w:rsidP="00157729">
            <w:pPr>
              <w:rPr>
                <w:color w:val="000000"/>
                <w:kern w:val="2"/>
                <w:szCs w:val="24"/>
              </w:rPr>
            </w:pPr>
            <w:r w:rsidRPr="00157729">
              <w:rPr>
                <w:color w:val="000000"/>
                <w:kern w:val="2"/>
                <w:szCs w:val="24"/>
              </w:rPr>
              <w:t>a_1=a+(k/100×a), kur a – kaina (Eur be PVM) (jei peržiūra jau buvo atlikta, tai po paskutinio perskaičiavimo)</w:t>
            </w:r>
          </w:p>
          <w:p w14:paraId="09B357DC" w14:textId="77777777" w:rsidR="00157729" w:rsidRPr="00157729" w:rsidRDefault="00157729" w:rsidP="00157729">
            <w:pPr>
              <w:rPr>
                <w:color w:val="000000"/>
                <w:kern w:val="2"/>
                <w:szCs w:val="24"/>
              </w:rPr>
            </w:pPr>
            <w:r w:rsidRPr="00157729">
              <w:rPr>
                <w:color w:val="000000"/>
                <w:kern w:val="2"/>
                <w:szCs w:val="24"/>
              </w:rPr>
              <w:t>a1 – perskaičiuota (pakeista) kaina (Eur be PVM)</w:t>
            </w:r>
          </w:p>
          <w:p w14:paraId="403E3BE8" w14:textId="77777777" w:rsidR="00157729" w:rsidRPr="00157729" w:rsidRDefault="00157729" w:rsidP="00157729">
            <w:pPr>
              <w:rPr>
                <w:color w:val="000000"/>
                <w:kern w:val="2"/>
                <w:szCs w:val="24"/>
              </w:rPr>
            </w:pPr>
            <w:r w:rsidRPr="00157729">
              <w:rPr>
                <w:color w:val="000000"/>
                <w:kern w:val="2"/>
                <w:szCs w:val="24"/>
              </w:rPr>
              <w:t>k – pagal vartotojų kainų indeksą („Vartojimo prekių ir paslaugų“) apskaičiuotas Vartojimo prekių ir paslaugų kainų pokytis (padidėjimas arba sumažėjimas) (%). „k“ reikšmė skaičiuojama pagal formulę:</w:t>
            </w:r>
          </w:p>
          <w:p w14:paraId="2E8D1AD5" w14:textId="77777777" w:rsidR="00157729" w:rsidRPr="00157729" w:rsidRDefault="00157729" w:rsidP="00157729">
            <w:pPr>
              <w:rPr>
                <w:color w:val="000000"/>
                <w:kern w:val="2"/>
                <w:szCs w:val="24"/>
              </w:rPr>
            </w:pPr>
            <w:r w:rsidRPr="00157729">
              <w:rPr>
                <w:color w:val="000000"/>
                <w:kern w:val="2"/>
                <w:szCs w:val="24"/>
              </w:rPr>
              <w:t>k =</w:t>
            </w:r>
            <w:proofErr w:type="spellStart"/>
            <w:r w:rsidRPr="00157729">
              <w:rPr>
                <w:color w:val="000000"/>
                <w:kern w:val="2"/>
                <w:szCs w:val="24"/>
              </w:rPr>
              <w:t>Ind_naujausias</w:t>
            </w:r>
            <w:proofErr w:type="spellEnd"/>
            <w:r w:rsidRPr="00157729">
              <w:rPr>
                <w:color w:val="000000"/>
                <w:kern w:val="2"/>
                <w:szCs w:val="24"/>
              </w:rPr>
              <w:t>/</w:t>
            </w:r>
            <w:proofErr w:type="spellStart"/>
            <w:r w:rsidRPr="00157729">
              <w:rPr>
                <w:color w:val="000000"/>
                <w:kern w:val="2"/>
                <w:szCs w:val="24"/>
              </w:rPr>
              <w:t>Ind_pradžia</w:t>
            </w:r>
            <w:proofErr w:type="spellEnd"/>
            <w:r w:rsidRPr="00157729">
              <w:rPr>
                <w:color w:val="000000"/>
                <w:kern w:val="2"/>
                <w:szCs w:val="24"/>
              </w:rPr>
              <w:t xml:space="preserve"> ×100-100, (proc.) kur</w:t>
            </w:r>
          </w:p>
          <w:p w14:paraId="764B3844" w14:textId="77777777" w:rsidR="00157729" w:rsidRPr="00157729" w:rsidRDefault="00157729" w:rsidP="00157729">
            <w:pPr>
              <w:rPr>
                <w:color w:val="000000"/>
                <w:kern w:val="2"/>
                <w:szCs w:val="24"/>
              </w:rPr>
            </w:pPr>
            <w:proofErr w:type="spellStart"/>
            <w:r w:rsidRPr="00157729">
              <w:rPr>
                <w:color w:val="000000"/>
                <w:kern w:val="2"/>
                <w:szCs w:val="24"/>
              </w:rPr>
              <w:t>Indnaujausias</w:t>
            </w:r>
            <w:proofErr w:type="spellEnd"/>
            <w:r w:rsidRPr="00157729">
              <w:rPr>
                <w:color w:val="000000"/>
                <w:kern w:val="2"/>
                <w:szCs w:val="24"/>
              </w:rPr>
              <w:t xml:space="preserve"> – kreipimosi dėl įkainių peržiūros išsiuntimo kitai šaliai dieną paskelbtas naujausias vartojimo prekių ir paslaugų indeksas („Vartojimo prekių ir paslaugų“).</w:t>
            </w:r>
          </w:p>
          <w:p w14:paraId="3EBA6F35" w14:textId="77777777" w:rsidR="00157729" w:rsidRPr="00157729" w:rsidRDefault="00157729" w:rsidP="00157729">
            <w:pPr>
              <w:rPr>
                <w:color w:val="000000"/>
                <w:kern w:val="2"/>
                <w:szCs w:val="24"/>
              </w:rPr>
            </w:pPr>
            <w:proofErr w:type="spellStart"/>
            <w:r w:rsidRPr="00157729">
              <w:rPr>
                <w:color w:val="000000"/>
                <w:kern w:val="2"/>
                <w:szCs w:val="24"/>
              </w:rPr>
              <w:t>Indpradžia</w:t>
            </w:r>
            <w:proofErr w:type="spellEnd"/>
            <w:r w:rsidRPr="00157729">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490A51" w14:textId="77777777" w:rsidR="00157729" w:rsidRPr="00157729" w:rsidRDefault="00157729" w:rsidP="00157729">
            <w:pPr>
              <w:rPr>
                <w:color w:val="000000"/>
                <w:kern w:val="2"/>
                <w:szCs w:val="24"/>
              </w:rPr>
            </w:pPr>
            <w:r w:rsidRPr="00157729">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1D7289" w14:textId="77777777" w:rsidR="00157729" w:rsidRPr="00157729" w:rsidRDefault="00157729" w:rsidP="00157729">
            <w:pPr>
              <w:rPr>
                <w:color w:val="000000"/>
                <w:kern w:val="2"/>
                <w:szCs w:val="24"/>
              </w:rPr>
            </w:pPr>
            <w:r w:rsidRPr="00157729">
              <w:rPr>
                <w:color w:val="000000"/>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BFB296" w14:textId="77777777" w:rsidR="00157729" w:rsidRPr="00157729" w:rsidRDefault="00157729" w:rsidP="00157729">
            <w:pPr>
              <w:rPr>
                <w:color w:val="000000"/>
                <w:kern w:val="2"/>
                <w:szCs w:val="24"/>
              </w:rPr>
            </w:pPr>
            <w:r w:rsidRPr="00157729">
              <w:rPr>
                <w:color w:val="000000"/>
                <w:kern w:val="2"/>
                <w:szCs w:val="24"/>
              </w:rPr>
              <w:t>5.3.3.9. Susitarimas turi būti sudarytas per 10 (dešimt) kalendorinių dienų nuo Šalies pateikto tinkamo prašymo perskaičiuoti Sutarties kainą gavimo dienos.</w:t>
            </w:r>
          </w:p>
          <w:p w14:paraId="10A69FF6" w14:textId="5332DC8A" w:rsidR="00C13E5D" w:rsidRDefault="00157729" w:rsidP="00157729">
            <w:pPr>
              <w:rPr>
                <w:color w:val="4472C4"/>
                <w:kern w:val="2"/>
                <w:szCs w:val="24"/>
              </w:rPr>
            </w:pPr>
            <w:r w:rsidRPr="00157729">
              <w:rPr>
                <w:color w:val="000000"/>
                <w:kern w:val="2"/>
                <w:szCs w:val="24"/>
              </w:rPr>
              <w:lastRenderedPageBreak/>
              <w:t>5.3.3.10. Susitarimu Šalys neturi teisės keisti procedūroje nurodytos tvarkos ar kitų Sutarties nuostatų, išskyrus, jei keitimas atliekamas pagal VPĮ nuostatas.</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574B9E32" w:rsidR="00032988" w:rsidRDefault="000F2CA8" w:rsidP="000F2CA8">
            <w:pPr>
              <w:rPr>
                <w:color w:val="000000"/>
                <w:kern w:val="2"/>
                <w:szCs w:val="24"/>
                <w:shd w:val="clear" w:color="auto" w:fill="FFFFFF"/>
              </w:rPr>
            </w:pPr>
            <w:r w:rsidRPr="000F2CA8">
              <w:rPr>
                <w:kern w:val="2"/>
                <w:szCs w:val="24"/>
              </w:rPr>
              <w:t xml:space="preserve">Apmokėjimo sąlygos: </w:t>
            </w:r>
            <w:r w:rsidR="002C6C34" w:rsidRPr="00827A27">
              <w:rPr>
                <w:kern w:val="2"/>
                <w:szCs w:val="24"/>
                <w:highlight w:val="yellow"/>
              </w:rPr>
              <w:t>įvykdžius visus sutartinius įsipareigojimus, sumokama visa Sutarties kaina.</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69DB2F2B" w:rsidR="00032988" w:rsidRDefault="001A3C3C"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328F56F1" w14:textId="77777777" w:rsidR="00086944" w:rsidRPr="00086944" w:rsidRDefault="00086944" w:rsidP="00086944">
            <w:pPr>
              <w:rPr>
                <w:kern w:val="2"/>
                <w:szCs w:val="24"/>
              </w:rPr>
            </w:pPr>
            <w:r w:rsidRPr="00086944">
              <w:rPr>
                <w:kern w:val="2"/>
                <w:szCs w:val="24"/>
              </w:rPr>
              <w:t xml:space="preserve">Tiekėjas privalo pašalinti trūkumus/gedimus ne vėliau kaip per </w:t>
            </w:r>
            <w:r w:rsidRPr="00086944">
              <w:rPr>
                <w:kern w:val="2"/>
                <w:szCs w:val="24"/>
                <w:highlight w:val="yellow"/>
              </w:rPr>
              <w:t>30 (trisdešimt) kalendorinių dienų</w:t>
            </w:r>
            <w:r w:rsidRPr="00086944">
              <w:rPr>
                <w:kern w:val="2"/>
                <w:szCs w:val="24"/>
              </w:rPr>
              <w:t xml:space="preserve"> nuo pranešimo apie trūkumus/gedimus gavimo.</w:t>
            </w:r>
          </w:p>
          <w:p w14:paraId="40073B76" w14:textId="77777777" w:rsidR="00086944" w:rsidRPr="00086944" w:rsidRDefault="00086944" w:rsidP="00086944">
            <w:pPr>
              <w:rPr>
                <w:kern w:val="2"/>
                <w:szCs w:val="24"/>
              </w:rPr>
            </w:pPr>
          </w:p>
          <w:p w14:paraId="6B98B497" w14:textId="7080E486" w:rsidR="00032988" w:rsidRPr="00BE71E9" w:rsidRDefault="00086944" w:rsidP="00086944">
            <w:pPr>
              <w:rPr>
                <w:kern w:val="2"/>
                <w:szCs w:val="24"/>
              </w:rPr>
            </w:pPr>
            <w:r w:rsidRPr="00086944">
              <w:rPr>
                <w:kern w:val="2"/>
                <w:szCs w:val="24"/>
              </w:rPr>
              <w:t>Prekių trūkumų/gedimų nustatymo bei šalinimo tvarka nustatyta Bendrųjų sąlygų 7 skyriuje.</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lastRenderedPageBreak/>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9.3. Tiekėjui / Pirkėjui taikoma bauda 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9.5. Tiekėjui taikomos baudos dėl aplinkosauginių ir (arba) socialinių kriterijų nesilaikymo</w:t>
            </w:r>
          </w:p>
        </w:tc>
        <w:tc>
          <w:tcPr>
            <w:tcW w:w="6831" w:type="dxa"/>
            <w:gridSpan w:val="2"/>
          </w:tcPr>
          <w:p w14:paraId="1603A08F" w14:textId="663F52C8" w:rsidR="00245D86" w:rsidRPr="00245D86" w:rsidRDefault="001A3C3C" w:rsidP="00245D86">
            <w:pPr>
              <w:rPr>
                <w:color w:val="000000"/>
                <w:kern w:val="2"/>
                <w:szCs w:val="24"/>
              </w:rPr>
            </w:pPr>
            <w:r>
              <w:rPr>
                <w:color w:val="000000"/>
                <w:kern w:val="2"/>
                <w:szCs w:val="24"/>
              </w:rPr>
              <w:t>Netaikoma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lastRenderedPageBreak/>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F12BA" w:rsidRDefault="00032988" w:rsidP="00032988">
            <w:pPr>
              <w:rPr>
                <w:b/>
                <w:bCs/>
                <w:kern w:val="2"/>
                <w:szCs w:val="24"/>
              </w:rPr>
            </w:pPr>
            <w:r w:rsidRPr="006F12BA">
              <w:rPr>
                <w:b/>
                <w:bCs/>
                <w:kern w:val="2"/>
                <w:szCs w:val="24"/>
              </w:rPr>
              <w:t>10.1. Sutarties sudarymas ir įsigaliojimas</w:t>
            </w:r>
          </w:p>
        </w:tc>
        <w:tc>
          <w:tcPr>
            <w:tcW w:w="6831" w:type="dxa"/>
            <w:gridSpan w:val="2"/>
          </w:tcPr>
          <w:p w14:paraId="06288556" w14:textId="77777777" w:rsidR="00737B9F" w:rsidRPr="00737B9F" w:rsidRDefault="00737B9F" w:rsidP="00737B9F">
            <w:pPr>
              <w:rPr>
                <w:kern w:val="2"/>
                <w:szCs w:val="24"/>
              </w:rPr>
            </w:pPr>
            <w:r w:rsidRPr="00737B9F">
              <w:rPr>
                <w:kern w:val="2"/>
                <w:szCs w:val="24"/>
              </w:rPr>
              <w:t>Ši Sutartis laikoma sudaryta ir įsigalioja nuo Sutarties pasirašymo dienos (antrosios Šalies pasirašymo dieną).</w:t>
            </w:r>
          </w:p>
          <w:p w14:paraId="0C99578D" w14:textId="001EB03B" w:rsidR="00032988" w:rsidRPr="006F12BA" w:rsidRDefault="00737B9F" w:rsidP="00737B9F">
            <w:pPr>
              <w:rPr>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sidR="00FF606F">
              <w:rPr>
                <w:kern w:val="2"/>
                <w:szCs w:val="24"/>
                <w:highlight w:val="yellow"/>
              </w:rPr>
              <w:t>3</w:t>
            </w:r>
            <w:r w:rsidR="001A3C3C">
              <w:rPr>
                <w:kern w:val="2"/>
                <w:szCs w:val="24"/>
                <w:highlight w:val="yellow"/>
              </w:rPr>
              <w:t>7</w:t>
            </w:r>
            <w:r w:rsidR="00EC21E3">
              <w:rPr>
                <w:kern w:val="2"/>
                <w:szCs w:val="24"/>
                <w:highlight w:val="yellow"/>
              </w:rPr>
              <w:t xml:space="preserve"> </w:t>
            </w:r>
            <w:r w:rsidRPr="00B23223">
              <w:rPr>
                <w:kern w:val="2"/>
                <w:szCs w:val="24"/>
                <w:highlight w:val="yellow"/>
              </w:rPr>
              <w:t>(</w:t>
            </w:r>
            <w:r w:rsidR="001A3C3C" w:rsidRPr="001A3C3C">
              <w:rPr>
                <w:kern w:val="2"/>
                <w:szCs w:val="24"/>
                <w:highlight w:val="yellow"/>
              </w:rPr>
              <w:t>trisdešimt septyni)</w:t>
            </w:r>
            <w:r w:rsidRPr="00605823">
              <w:rPr>
                <w:i/>
                <w:iCs/>
                <w:kern w:val="2"/>
                <w:szCs w:val="24"/>
              </w:rPr>
              <w:t xml:space="preserve"> </w:t>
            </w:r>
            <w:r w:rsidRPr="00605823">
              <w:rPr>
                <w:kern w:val="2"/>
                <w:szCs w:val="24"/>
              </w:rPr>
              <w:t>mėnesi</w:t>
            </w:r>
            <w:r w:rsidR="00CE710C">
              <w:rPr>
                <w:kern w:val="2"/>
                <w:szCs w:val="24"/>
              </w:rPr>
              <w:t xml:space="preserve">ai </w:t>
            </w:r>
            <w:r w:rsidRPr="00605823">
              <w:rPr>
                <w:kern w:val="2"/>
                <w:szCs w:val="24"/>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Default="00032988" w:rsidP="00032988">
            <w:pPr>
              <w:rPr>
                <w:kern w:val="2"/>
                <w:szCs w:val="24"/>
              </w:rPr>
            </w:pPr>
            <w:r>
              <w:rPr>
                <w:kern w:val="2"/>
                <w:szCs w:val="24"/>
              </w:rPr>
              <w:t>Netaikoma</w:t>
            </w:r>
          </w:p>
          <w:p w14:paraId="3ED8BF4F" w14:textId="2154AE68" w:rsidR="00032988"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lastRenderedPageBreak/>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1C26178F" w:rsidR="00A13C9A" w:rsidRPr="00C47C97" w:rsidRDefault="000709E3" w:rsidP="00C47C97">
            <w:pPr>
              <w:jc w:val="both"/>
              <w:rPr>
                <w:b/>
                <w:bCs/>
                <w:kern w:val="2"/>
                <w:szCs w:val="24"/>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1A3C3C">
              <w:rPr>
                <w:color w:val="000000"/>
                <w:kern w:val="2"/>
                <w:szCs w:val="24"/>
                <w:shd w:val="clear" w:color="auto" w:fill="FFFFFF"/>
              </w:rPr>
              <w:t>3</w:t>
            </w:r>
            <w:r w:rsidRPr="000709E3">
              <w:rPr>
                <w:color w:val="000000"/>
                <w:kern w:val="2"/>
                <w:szCs w:val="24"/>
                <w:shd w:val="clear" w:color="auto" w:fill="FFFFFF"/>
              </w:rPr>
              <w:t>. papunkčiu.</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6397E851" w14:textId="55B85AFE" w:rsidR="00FB683D" w:rsidRDefault="001A3C3C" w:rsidP="00A13C9A">
            <w:pPr>
              <w:rPr>
                <w:kern w:val="2"/>
                <w:szCs w:val="24"/>
                <w:shd w:val="clear" w:color="auto" w:fill="FFFFFF"/>
              </w:rPr>
            </w:pPr>
            <w:r>
              <w:rPr>
                <w:kern w:val="2"/>
                <w:szCs w:val="24"/>
                <w:shd w:val="clear" w:color="auto" w:fill="FFFFFF"/>
              </w:rPr>
              <w:t>Netaikoma</w:t>
            </w:r>
          </w:p>
          <w:p w14:paraId="12238E03" w14:textId="06C5BD7B" w:rsidR="001A3C3C" w:rsidRDefault="001A3C3C" w:rsidP="00A13C9A">
            <w:pPr>
              <w:rPr>
                <w:color w:val="008080"/>
                <w:szCs w:val="24"/>
              </w:rPr>
            </w:pPr>
          </w:p>
        </w:tc>
      </w:tr>
      <w:tr w:rsidR="00A13C9A" w14:paraId="74AC8CBC" w14:textId="77777777">
        <w:trPr>
          <w:trHeight w:val="300"/>
        </w:trPr>
        <w:tc>
          <w:tcPr>
            <w:tcW w:w="2532" w:type="dxa"/>
          </w:tcPr>
          <w:p w14:paraId="50FAA79B" w14:textId="77777777" w:rsidR="00A13C9A" w:rsidRPr="00912946" w:rsidRDefault="00A13C9A" w:rsidP="00A13C9A">
            <w:pPr>
              <w:rPr>
                <w:b/>
                <w:bCs/>
                <w:kern w:val="2"/>
                <w:szCs w:val="24"/>
              </w:rPr>
            </w:pPr>
            <w:r w:rsidRPr="00912946">
              <w:rPr>
                <w:b/>
                <w:bCs/>
                <w:kern w:val="2"/>
                <w:szCs w:val="24"/>
              </w:rPr>
              <w:t xml:space="preserve">12.3. </w:t>
            </w:r>
            <w:r w:rsidRPr="00912946">
              <w:rPr>
                <w:b/>
                <w:bCs/>
                <w:kern w:val="2"/>
                <w:szCs w:val="24"/>
                <w:shd w:val="clear" w:color="auto" w:fill="FFFFFF"/>
              </w:rPr>
              <w:t>Su Prekių pristatymu susiję aplinkosauginiai kriterijai</w:t>
            </w:r>
            <w:r w:rsidRPr="00912946">
              <w:rPr>
                <w:kern w:val="2"/>
                <w:szCs w:val="24"/>
                <w:u w:val="single"/>
                <w:shd w:val="clear" w:color="auto" w:fill="FFFFFF"/>
              </w:rPr>
              <w:t xml:space="preserve"> </w:t>
            </w:r>
          </w:p>
        </w:tc>
        <w:tc>
          <w:tcPr>
            <w:tcW w:w="7003" w:type="dxa"/>
            <w:gridSpan w:val="3"/>
          </w:tcPr>
          <w:p w14:paraId="67C110C0" w14:textId="6604635E" w:rsidR="00A13C9A" w:rsidRPr="00912946" w:rsidRDefault="00FB683D" w:rsidP="00A13C9A">
            <w:pPr>
              <w:rPr>
                <w:szCs w:val="24"/>
              </w:rPr>
            </w:pPr>
            <w:r>
              <w:rPr>
                <w:szCs w:val="24"/>
              </w:rPr>
              <w:t>Netaikoma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t xml:space="preserve">12.4. </w:t>
            </w:r>
            <w:r w:rsidRPr="00912946">
              <w:rPr>
                <w:b/>
                <w:bCs/>
                <w:kern w:val="2"/>
                <w:szCs w:val="24"/>
                <w:shd w:val="clear" w:color="auto" w:fill="FFFFFF"/>
              </w:rPr>
              <w:t>Su Prekėmis susijusių paslaugų (pavyzdžiui, montavimo, apmokymo ir kitos parengimui naudoti skirtos paslaugos) teikimu susiję aplinkosauginiai k</w:t>
            </w:r>
            <w:r w:rsidRPr="00912946">
              <w:rPr>
                <w:b/>
                <w:kern w:val="2"/>
                <w:szCs w:val="24"/>
                <w:shd w:val="clear" w:color="auto" w:fill="FFFFFF"/>
              </w:rPr>
              <w:t>riterijai</w:t>
            </w:r>
          </w:p>
        </w:tc>
        <w:tc>
          <w:tcPr>
            <w:tcW w:w="7003" w:type="dxa"/>
            <w:gridSpan w:val="3"/>
          </w:tcPr>
          <w:p w14:paraId="1D41839E" w14:textId="0DC3C040" w:rsidR="00A13C9A" w:rsidRPr="00912946" w:rsidRDefault="00992543" w:rsidP="002123CE">
            <w:pPr>
              <w:jc w:val="both"/>
              <w:rPr>
                <w:kern w:val="2"/>
                <w:szCs w:val="24"/>
              </w:rPr>
            </w:pPr>
            <w:r w:rsidRPr="00992543">
              <w:rPr>
                <w:kern w:val="2"/>
                <w:szCs w:val="24"/>
              </w:rPr>
              <w:t>4</w:t>
            </w:r>
            <w:r w:rsidRPr="00992543">
              <w:rPr>
                <w:kern w:val="2"/>
                <w:szCs w:val="24"/>
                <w:highlight w:val="yellow"/>
              </w:rPr>
              <w:t>.4.3. perkama tik nematerialaus pobūdžio (intelektinė) ar kitokia paslauga, nesusijusi su materialaus objekto sukūrimu, kurios teikimo metu nėra numatomas reikšmingas neigiamas poveikis aplinkai, nesukuriamas taršos šaltinis ir negeneruojamos atliekos (Nustačius, kad Tiekėjas šiame papunktyje nustatyto kriterijaus (-jų) nesilaiko, Tiekėjui taikoma Specialiųjų sąlygų 9.5 punkte nurodyto dydžio bauda.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lastRenderedPageBreak/>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lastRenderedPageBreak/>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344F4A3C" w14:textId="77777777" w:rsidR="002372A4" w:rsidRDefault="002372A4">
      <w:pPr>
        <w:rPr>
          <w:b/>
          <w:caps/>
          <w:szCs w:val="24"/>
        </w:rPr>
      </w:pPr>
      <w:r>
        <w:rPr>
          <w:b/>
          <w:caps/>
          <w:szCs w:val="24"/>
        </w:rPr>
        <w:br w:type="page"/>
      </w:r>
    </w:p>
    <w:p w14:paraId="42A5FAE2" w14:textId="48DF29B1" w:rsidR="00FD1329" w:rsidRDefault="00FD1329" w:rsidP="00FD1329">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3B478E9E" w14:textId="77777777" w:rsidR="00FD1329" w:rsidRDefault="00FD1329" w:rsidP="00FD1329">
      <w:pPr>
        <w:tabs>
          <w:tab w:val="left" w:pos="567"/>
          <w:tab w:val="left" w:pos="851"/>
          <w:tab w:val="left" w:pos="992"/>
          <w:tab w:val="left" w:pos="1134"/>
        </w:tabs>
        <w:spacing w:line="259" w:lineRule="auto"/>
        <w:jc w:val="both"/>
        <w:rPr>
          <w:rFonts w:eastAsia="Cambria"/>
          <w:b/>
          <w:bCs/>
          <w:szCs w:val="24"/>
          <w:lang w:val="en-US"/>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CF5C" w14:textId="77777777" w:rsidR="00E333CC" w:rsidRDefault="00E333CC">
      <w:pPr>
        <w:rPr>
          <w:kern w:val="2"/>
          <w:sz w:val="22"/>
          <w:szCs w:val="22"/>
          <w:lang w:val="en-US"/>
        </w:rPr>
      </w:pPr>
      <w:r>
        <w:rPr>
          <w:kern w:val="2"/>
          <w:sz w:val="22"/>
          <w:szCs w:val="22"/>
          <w:lang w:val="en-US"/>
        </w:rPr>
        <w:separator/>
      </w:r>
    </w:p>
  </w:endnote>
  <w:endnote w:type="continuationSeparator" w:id="0">
    <w:p w14:paraId="4B4D4013" w14:textId="77777777" w:rsidR="00E333CC" w:rsidRDefault="00E333CC">
      <w:pPr>
        <w:rPr>
          <w:kern w:val="2"/>
          <w:sz w:val="22"/>
          <w:szCs w:val="22"/>
          <w:lang w:val="en-US"/>
        </w:rPr>
      </w:pPr>
      <w:r>
        <w:rPr>
          <w:kern w:val="2"/>
          <w:sz w:val="22"/>
          <w:szCs w:val="22"/>
          <w:lang w:val="en-US"/>
        </w:rPr>
        <w:continuationSeparator/>
      </w:r>
    </w:p>
  </w:endnote>
  <w:endnote w:type="continuationNotice" w:id="1">
    <w:p w14:paraId="2E8619CC" w14:textId="77777777" w:rsidR="00E333CC" w:rsidRDefault="00E333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5DF3" w14:textId="77777777" w:rsidR="00E333CC" w:rsidRDefault="00E333CC">
      <w:pPr>
        <w:rPr>
          <w:kern w:val="2"/>
          <w:sz w:val="22"/>
          <w:szCs w:val="22"/>
          <w:lang w:val="en-US"/>
        </w:rPr>
      </w:pPr>
      <w:r>
        <w:rPr>
          <w:kern w:val="2"/>
          <w:sz w:val="22"/>
          <w:szCs w:val="22"/>
          <w:lang w:val="en-US"/>
        </w:rPr>
        <w:separator/>
      </w:r>
    </w:p>
  </w:footnote>
  <w:footnote w:type="continuationSeparator" w:id="0">
    <w:p w14:paraId="2548C118" w14:textId="77777777" w:rsidR="00E333CC" w:rsidRDefault="00E333CC">
      <w:pPr>
        <w:rPr>
          <w:kern w:val="2"/>
          <w:sz w:val="22"/>
          <w:szCs w:val="22"/>
          <w:lang w:val="en-US"/>
        </w:rPr>
      </w:pPr>
      <w:r>
        <w:rPr>
          <w:kern w:val="2"/>
          <w:sz w:val="22"/>
          <w:szCs w:val="22"/>
          <w:lang w:val="en-US"/>
        </w:rPr>
        <w:continuationSeparator/>
      </w:r>
    </w:p>
  </w:footnote>
  <w:footnote w:type="continuationNotice" w:id="1">
    <w:p w14:paraId="58FDFCA7" w14:textId="77777777" w:rsidR="00E333CC" w:rsidRDefault="00E333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79D0"/>
    <w:rsid w:val="00032988"/>
    <w:rsid w:val="00035D88"/>
    <w:rsid w:val="00036C01"/>
    <w:rsid w:val="00047021"/>
    <w:rsid w:val="00056031"/>
    <w:rsid w:val="00063662"/>
    <w:rsid w:val="00063A80"/>
    <w:rsid w:val="000709E3"/>
    <w:rsid w:val="00086944"/>
    <w:rsid w:val="00086C54"/>
    <w:rsid w:val="00087367"/>
    <w:rsid w:val="0008796F"/>
    <w:rsid w:val="000B7CDD"/>
    <w:rsid w:val="000C2DD8"/>
    <w:rsid w:val="000C5A59"/>
    <w:rsid w:val="000D5A7F"/>
    <w:rsid w:val="000E5AF9"/>
    <w:rsid w:val="000F1579"/>
    <w:rsid w:val="000F2CA8"/>
    <w:rsid w:val="00112F0B"/>
    <w:rsid w:val="00117DD8"/>
    <w:rsid w:val="00131A00"/>
    <w:rsid w:val="0013778B"/>
    <w:rsid w:val="00157729"/>
    <w:rsid w:val="001808C1"/>
    <w:rsid w:val="00192FD1"/>
    <w:rsid w:val="001A3C3C"/>
    <w:rsid w:val="001A6CFC"/>
    <w:rsid w:val="001B2252"/>
    <w:rsid w:val="001B28AD"/>
    <w:rsid w:val="001B7B07"/>
    <w:rsid w:val="001D0FBE"/>
    <w:rsid w:val="001D6DFC"/>
    <w:rsid w:val="001E6B8F"/>
    <w:rsid w:val="001F79AF"/>
    <w:rsid w:val="002123CE"/>
    <w:rsid w:val="002372A4"/>
    <w:rsid w:val="00245D86"/>
    <w:rsid w:val="00245EFE"/>
    <w:rsid w:val="00260067"/>
    <w:rsid w:val="0026297B"/>
    <w:rsid w:val="002655C1"/>
    <w:rsid w:val="0028210D"/>
    <w:rsid w:val="0029416B"/>
    <w:rsid w:val="002A4169"/>
    <w:rsid w:val="002B33BF"/>
    <w:rsid w:val="002C1A74"/>
    <w:rsid w:val="002C6C34"/>
    <w:rsid w:val="002C7C06"/>
    <w:rsid w:val="002D095B"/>
    <w:rsid w:val="002F31B4"/>
    <w:rsid w:val="002F4D14"/>
    <w:rsid w:val="00305643"/>
    <w:rsid w:val="003061EB"/>
    <w:rsid w:val="00306216"/>
    <w:rsid w:val="00330B71"/>
    <w:rsid w:val="00352BC0"/>
    <w:rsid w:val="003576D3"/>
    <w:rsid w:val="00362208"/>
    <w:rsid w:val="00365AE4"/>
    <w:rsid w:val="003726DA"/>
    <w:rsid w:val="003C04A9"/>
    <w:rsid w:val="003D1DB5"/>
    <w:rsid w:val="00406A0D"/>
    <w:rsid w:val="004239B3"/>
    <w:rsid w:val="004332C7"/>
    <w:rsid w:val="00440C6D"/>
    <w:rsid w:val="00446A5A"/>
    <w:rsid w:val="00455594"/>
    <w:rsid w:val="00455638"/>
    <w:rsid w:val="0046560A"/>
    <w:rsid w:val="004717B2"/>
    <w:rsid w:val="004879C8"/>
    <w:rsid w:val="004B1573"/>
    <w:rsid w:val="004D0F8B"/>
    <w:rsid w:val="004D2604"/>
    <w:rsid w:val="004D28FB"/>
    <w:rsid w:val="004D73AA"/>
    <w:rsid w:val="00505377"/>
    <w:rsid w:val="00507639"/>
    <w:rsid w:val="00510C1F"/>
    <w:rsid w:val="00524553"/>
    <w:rsid w:val="00525487"/>
    <w:rsid w:val="005351A1"/>
    <w:rsid w:val="005550C1"/>
    <w:rsid w:val="005828F1"/>
    <w:rsid w:val="00582C33"/>
    <w:rsid w:val="00587A43"/>
    <w:rsid w:val="00591EBC"/>
    <w:rsid w:val="00592923"/>
    <w:rsid w:val="00597334"/>
    <w:rsid w:val="005A291D"/>
    <w:rsid w:val="005A5832"/>
    <w:rsid w:val="005C2AA6"/>
    <w:rsid w:val="005E5395"/>
    <w:rsid w:val="005F5B23"/>
    <w:rsid w:val="00605823"/>
    <w:rsid w:val="00626213"/>
    <w:rsid w:val="00633BD7"/>
    <w:rsid w:val="00637F73"/>
    <w:rsid w:val="00641100"/>
    <w:rsid w:val="00657A46"/>
    <w:rsid w:val="00666236"/>
    <w:rsid w:val="00674EBD"/>
    <w:rsid w:val="00684AC3"/>
    <w:rsid w:val="006A04C9"/>
    <w:rsid w:val="006B18C8"/>
    <w:rsid w:val="006B2B35"/>
    <w:rsid w:val="006C4CE1"/>
    <w:rsid w:val="006D213B"/>
    <w:rsid w:val="006D72E4"/>
    <w:rsid w:val="006F12BA"/>
    <w:rsid w:val="006F7922"/>
    <w:rsid w:val="007014A9"/>
    <w:rsid w:val="0070480B"/>
    <w:rsid w:val="00704E2F"/>
    <w:rsid w:val="00711DBE"/>
    <w:rsid w:val="00724FE9"/>
    <w:rsid w:val="00737B9F"/>
    <w:rsid w:val="007462B5"/>
    <w:rsid w:val="007531C7"/>
    <w:rsid w:val="00782788"/>
    <w:rsid w:val="007842F8"/>
    <w:rsid w:val="007874EC"/>
    <w:rsid w:val="007A5FF6"/>
    <w:rsid w:val="007C28E6"/>
    <w:rsid w:val="00806F0E"/>
    <w:rsid w:val="00811894"/>
    <w:rsid w:val="008145BC"/>
    <w:rsid w:val="00827A27"/>
    <w:rsid w:val="00833AC4"/>
    <w:rsid w:val="0084441B"/>
    <w:rsid w:val="00847C70"/>
    <w:rsid w:val="00855FC7"/>
    <w:rsid w:val="00862B6A"/>
    <w:rsid w:val="00862F54"/>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2543"/>
    <w:rsid w:val="00995010"/>
    <w:rsid w:val="009D67F1"/>
    <w:rsid w:val="00A10867"/>
    <w:rsid w:val="00A13C9A"/>
    <w:rsid w:val="00A172C5"/>
    <w:rsid w:val="00A41BE7"/>
    <w:rsid w:val="00A54B4D"/>
    <w:rsid w:val="00A703BD"/>
    <w:rsid w:val="00A75420"/>
    <w:rsid w:val="00A93ADD"/>
    <w:rsid w:val="00A93AF6"/>
    <w:rsid w:val="00AA0D25"/>
    <w:rsid w:val="00AC0CE9"/>
    <w:rsid w:val="00AC70AA"/>
    <w:rsid w:val="00AE75CF"/>
    <w:rsid w:val="00AF499D"/>
    <w:rsid w:val="00AF5D10"/>
    <w:rsid w:val="00B02816"/>
    <w:rsid w:val="00B0469A"/>
    <w:rsid w:val="00B0757C"/>
    <w:rsid w:val="00B22EB7"/>
    <w:rsid w:val="00B23223"/>
    <w:rsid w:val="00B3275D"/>
    <w:rsid w:val="00B351A1"/>
    <w:rsid w:val="00B405A0"/>
    <w:rsid w:val="00B66D8F"/>
    <w:rsid w:val="00B7774E"/>
    <w:rsid w:val="00B80640"/>
    <w:rsid w:val="00B86026"/>
    <w:rsid w:val="00B923A2"/>
    <w:rsid w:val="00B96567"/>
    <w:rsid w:val="00B97020"/>
    <w:rsid w:val="00BB70B1"/>
    <w:rsid w:val="00BD081D"/>
    <w:rsid w:val="00BD683F"/>
    <w:rsid w:val="00BE5AB1"/>
    <w:rsid w:val="00BE71E9"/>
    <w:rsid w:val="00BF42D4"/>
    <w:rsid w:val="00C13E5D"/>
    <w:rsid w:val="00C26314"/>
    <w:rsid w:val="00C34DB3"/>
    <w:rsid w:val="00C475B0"/>
    <w:rsid w:val="00C47C97"/>
    <w:rsid w:val="00C64758"/>
    <w:rsid w:val="00C724DE"/>
    <w:rsid w:val="00C813FA"/>
    <w:rsid w:val="00C938F1"/>
    <w:rsid w:val="00CA02F4"/>
    <w:rsid w:val="00CB0697"/>
    <w:rsid w:val="00CC18EF"/>
    <w:rsid w:val="00CD0DDA"/>
    <w:rsid w:val="00CE2817"/>
    <w:rsid w:val="00CE710C"/>
    <w:rsid w:val="00CF14E1"/>
    <w:rsid w:val="00D17BB8"/>
    <w:rsid w:val="00D2746B"/>
    <w:rsid w:val="00D517FA"/>
    <w:rsid w:val="00D61A31"/>
    <w:rsid w:val="00D66908"/>
    <w:rsid w:val="00D92DC7"/>
    <w:rsid w:val="00DB646A"/>
    <w:rsid w:val="00DE1F5E"/>
    <w:rsid w:val="00DF1130"/>
    <w:rsid w:val="00DF7BE8"/>
    <w:rsid w:val="00E03419"/>
    <w:rsid w:val="00E1636D"/>
    <w:rsid w:val="00E16BAA"/>
    <w:rsid w:val="00E248C0"/>
    <w:rsid w:val="00E333CC"/>
    <w:rsid w:val="00E3384D"/>
    <w:rsid w:val="00E4624D"/>
    <w:rsid w:val="00E50BB9"/>
    <w:rsid w:val="00E51518"/>
    <w:rsid w:val="00E56A77"/>
    <w:rsid w:val="00E81AB2"/>
    <w:rsid w:val="00E8553B"/>
    <w:rsid w:val="00E85B00"/>
    <w:rsid w:val="00E90592"/>
    <w:rsid w:val="00EA0A56"/>
    <w:rsid w:val="00EA3A4E"/>
    <w:rsid w:val="00EC21E3"/>
    <w:rsid w:val="00EF24E5"/>
    <w:rsid w:val="00F000C1"/>
    <w:rsid w:val="00F11774"/>
    <w:rsid w:val="00F1674A"/>
    <w:rsid w:val="00F2785A"/>
    <w:rsid w:val="00F329F4"/>
    <w:rsid w:val="00F60368"/>
    <w:rsid w:val="00F63377"/>
    <w:rsid w:val="00F82E92"/>
    <w:rsid w:val="00FA093D"/>
    <w:rsid w:val="00FA7C94"/>
    <w:rsid w:val="00FB3E4D"/>
    <w:rsid w:val="00FB683D"/>
    <w:rsid w:val="00FD0421"/>
    <w:rsid w:val="00FD1329"/>
    <w:rsid w:val="00FD2468"/>
    <w:rsid w:val="00FD7D10"/>
    <w:rsid w:val="00FF2ED6"/>
    <w:rsid w:val="00FF6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62270</Words>
  <Characters>35494</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18</cp:revision>
  <dcterms:created xsi:type="dcterms:W3CDTF">2025-04-03T13:38:00Z</dcterms:created>
  <dcterms:modified xsi:type="dcterms:W3CDTF">2025-04-03T13:57:00Z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