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571202"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MEDIKAMENTAS </w:t>
      </w:r>
      <w:r w:rsidR="00BE0083">
        <w:rPr>
          <w:rFonts w:ascii="Cambria" w:hAnsi="Cambria"/>
          <w:b/>
          <w:sz w:val="20"/>
          <w:szCs w:val="20"/>
        </w:rPr>
        <w:t xml:space="preserve">LAKOZAMIDAS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9532D4">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9532D4">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9532D4">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9532D4">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9532D4">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9532D4">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9532D4">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9532D4">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9532D4">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9532D4">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9532D4">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9532D4"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9532D4">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9532D4">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9532D4">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9532D4">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w:t>
      </w:r>
      <w:r w:rsidR="00571202">
        <w:rPr>
          <w:rFonts w:ascii="Cambria" w:hAnsi="Cambria" w:cs="Times New Roman"/>
          <w:color w:val="auto"/>
          <w:sz w:val="20"/>
          <w:szCs w:val="20"/>
        </w:rPr>
        <w:t xml:space="preserve">kamentą </w:t>
      </w:r>
      <w:r w:rsidR="00BE0083">
        <w:rPr>
          <w:rFonts w:ascii="Cambria" w:hAnsi="Cambria" w:cs="Times New Roman"/>
          <w:color w:val="auto"/>
          <w:sz w:val="20"/>
          <w:szCs w:val="20"/>
        </w:rPr>
        <w:t>Lakozamidas</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w:t>
      </w:r>
      <w:r w:rsidR="00CD5216">
        <w:rPr>
          <w:rFonts w:ascii="Cambria" w:hAnsi="Cambria"/>
          <w:sz w:val="20"/>
          <w:szCs w:val="20"/>
        </w:rPr>
        <w:t>kamentas Lakozamidas</w:t>
      </w:r>
      <w:r w:rsidR="00F77309">
        <w:rPr>
          <w:rFonts w:ascii="Cambria" w:hAnsi="Cambria"/>
          <w:sz w:val="20"/>
          <w:szCs w:val="20"/>
        </w:rPr>
        <w:t>.</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w:t>
      </w:r>
      <w:r w:rsidR="00571202">
        <w:rPr>
          <w:rFonts w:ascii="Cambria" w:hAnsi="Cambria"/>
          <w:sz w:val="20"/>
        </w:rPr>
        <w:t xml:space="preserve">kamento </w:t>
      </w:r>
      <w:r w:rsidR="00CD5216">
        <w:rPr>
          <w:rFonts w:ascii="Cambria" w:hAnsi="Cambria"/>
          <w:sz w:val="20"/>
        </w:rPr>
        <w:t>Lakozamidas</w:t>
      </w:r>
      <w:r w:rsidR="00571202">
        <w:rPr>
          <w:rFonts w:ascii="Cambria" w:hAnsi="Cambria"/>
          <w:sz w:val="20"/>
        </w:rPr>
        <w:t xml:space="preserve"> pir</w:t>
      </w:r>
      <w:r w:rsidR="005B262A">
        <w:rPr>
          <w:rFonts w:ascii="Cambria" w:hAnsi="Cambria"/>
          <w:sz w:val="20"/>
        </w:rPr>
        <w:t xml:space="preserve">kimo </w:t>
      </w:r>
      <w:r w:rsidR="00574DD7" w:rsidRPr="00472EA9">
        <w:rPr>
          <w:rFonts w:ascii="Cambria" w:hAnsi="Cambria"/>
          <w:sz w:val="20"/>
        </w:rPr>
        <w:t>(Nr. </w:t>
      </w:r>
      <w:r w:rsidR="00CD5216">
        <w:rPr>
          <w:rFonts w:ascii="Cambria" w:hAnsi="Cambria"/>
          <w:sz w:val="20"/>
        </w:rPr>
        <w:t>2002364</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9532D4"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9532D4"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9532D4"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9532D4"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CD5216">
        <w:rPr>
          <w:rFonts w:ascii="Cambria" w:hAnsi="Cambria" w:cs="Times New Roman"/>
          <w:b/>
          <w:iCs/>
          <w:color w:val="auto"/>
          <w:sz w:val="20"/>
          <w:szCs w:val="20"/>
        </w:rPr>
        <w:t>balandžio 23</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6868B2">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CD5216">
        <w:rPr>
          <w:rFonts w:ascii="Cambria" w:hAnsi="Cambria"/>
          <w:b/>
          <w:iCs/>
          <w:sz w:val="20"/>
          <w:szCs w:val="20"/>
        </w:rPr>
        <w:t>balandžio 2</w:t>
      </w:r>
      <w:r w:rsidR="00385C13">
        <w:rPr>
          <w:rFonts w:ascii="Cambria" w:hAnsi="Cambria"/>
          <w:b/>
          <w:iCs/>
          <w:sz w:val="20"/>
          <w:szCs w:val="20"/>
        </w:rPr>
        <w:t>3 </w:t>
      </w:r>
      <w:r w:rsidR="00E42B4B" w:rsidRPr="00545CDB">
        <w:rPr>
          <w:rFonts w:ascii="Cambria" w:hAnsi="Cambria"/>
          <w:b/>
          <w:iCs/>
          <w:sz w:val="20"/>
          <w:szCs w:val="20"/>
        </w:rPr>
        <w:t>d.</w:t>
      </w:r>
      <w:r w:rsidR="005F0E15" w:rsidRPr="00545CDB">
        <w:rPr>
          <w:rFonts w:ascii="Cambria" w:hAnsi="Cambria"/>
          <w:b/>
          <w:iCs/>
          <w:sz w:val="20"/>
          <w:szCs w:val="20"/>
        </w:rPr>
        <w:t xml:space="preserve"> </w:t>
      </w:r>
      <w:r w:rsidR="00A53AE1" w:rsidRPr="00545CDB">
        <w:rPr>
          <w:rFonts w:ascii="Cambria" w:hAnsi="Cambria"/>
          <w:b/>
          <w:iCs/>
          <w:sz w:val="20"/>
          <w:szCs w:val="20"/>
        </w:rPr>
        <w:t>1</w:t>
      </w:r>
      <w:r w:rsidR="006868B2">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CD5216">
        <w:rPr>
          <w:rFonts w:ascii="Cambria" w:hAnsi="Cambria"/>
          <w:b/>
          <w:iCs/>
          <w:sz w:val="20"/>
          <w:szCs w:val="20"/>
          <w:u w:val="single"/>
        </w:rPr>
        <w:t>balandžio 2</w:t>
      </w:r>
      <w:r w:rsidR="00385C13">
        <w:rPr>
          <w:rFonts w:ascii="Cambria" w:hAnsi="Cambria"/>
          <w:b/>
          <w:iCs/>
          <w:sz w:val="20"/>
          <w:szCs w:val="20"/>
          <w:u w:val="single"/>
        </w:rPr>
        <w:t>3</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6868B2">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6868B2">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9D3718"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MEDIKAMENTO </w:t>
      </w:r>
      <w:r w:rsidR="00CD5216">
        <w:rPr>
          <w:rFonts w:ascii="Cambria" w:hAnsi="Cambria"/>
          <w:b/>
          <w:bCs/>
          <w:sz w:val="20"/>
          <w:szCs w:val="20"/>
        </w:rPr>
        <w:t>LAKOZAMIDAS PIRKIMO</w:t>
      </w:r>
    </w:p>
    <w:p w:rsidR="0007063A" w:rsidRPr="00545CDB" w:rsidRDefault="0007063A" w:rsidP="0007063A">
      <w:pPr>
        <w:shd w:val="clear" w:color="auto" w:fill="FFFFFF"/>
        <w:jc w:val="center"/>
        <w:rPr>
          <w:rFonts w:ascii="Cambria" w:hAnsi="Cambria"/>
          <w:b/>
          <w:sz w:val="20"/>
          <w:szCs w:val="20"/>
        </w:rPr>
      </w:pPr>
      <w:bookmarkStart w:id="45" w:name="_GoBack"/>
      <w:bookmarkEnd w:id="45"/>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2D4" w:rsidRDefault="009532D4" w:rsidP="00B90A76">
      <w:r>
        <w:separator/>
      </w:r>
    </w:p>
  </w:endnote>
  <w:endnote w:type="continuationSeparator" w:id="0">
    <w:p w:rsidR="009532D4" w:rsidRDefault="009532D4"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71202" w:rsidRPr="00623B65" w:rsidRDefault="009532D4">
        <w:pPr>
          <w:pStyle w:val="Footer"/>
          <w:jc w:val="right"/>
          <w:rPr>
            <w:sz w:val="20"/>
          </w:rPr>
        </w:pPr>
      </w:p>
    </w:sdtContent>
  </w:sdt>
  <w:p w:rsidR="00571202" w:rsidRDefault="005712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2D4" w:rsidRDefault="009532D4" w:rsidP="00B90A76">
      <w:r>
        <w:separator/>
      </w:r>
    </w:p>
  </w:footnote>
  <w:footnote w:type="continuationSeparator" w:id="0">
    <w:p w:rsidR="009532D4" w:rsidRDefault="009532D4" w:rsidP="00B90A76">
      <w:r>
        <w:continuationSeparator/>
      </w:r>
    </w:p>
  </w:footnote>
  <w:footnote w:id="1">
    <w:p w:rsidR="00571202" w:rsidRPr="00BA5459" w:rsidRDefault="00571202"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BA5459" w:rsidRDefault="00571202"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71202" w:rsidRPr="00BA5459" w:rsidRDefault="00571202"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2">
    <w:p w:rsidR="00571202" w:rsidRPr="00344E3D" w:rsidRDefault="00571202"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344E3D" w:rsidRDefault="00571202" w:rsidP="004B6E8C">
      <w:pPr>
        <w:pStyle w:val="FootnoteText"/>
        <w:numPr>
          <w:ilvl w:val="0"/>
          <w:numId w:val="9"/>
        </w:numPr>
        <w:spacing w:after="0"/>
        <w:rPr>
          <w:i/>
          <w:iCs/>
          <w:sz w:val="18"/>
          <w:szCs w:val="18"/>
        </w:rPr>
      </w:pPr>
      <w:r w:rsidRPr="00344E3D">
        <w:rPr>
          <w:i/>
          <w:iCs/>
          <w:sz w:val="18"/>
          <w:szCs w:val="18"/>
        </w:rPr>
        <w:t xml:space="preserve">priesaikos deklaracija; </w:t>
      </w:r>
    </w:p>
    <w:p w:rsidR="00571202" w:rsidRPr="00344E3D" w:rsidRDefault="00571202"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3">
    <w:p w:rsidR="00571202" w:rsidRPr="00D76940" w:rsidRDefault="00571202"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D76940" w:rsidRDefault="00571202" w:rsidP="004B6E8C">
      <w:pPr>
        <w:pStyle w:val="FootnoteText"/>
        <w:numPr>
          <w:ilvl w:val="0"/>
          <w:numId w:val="10"/>
        </w:numPr>
        <w:spacing w:after="0"/>
        <w:rPr>
          <w:i/>
          <w:iCs/>
          <w:sz w:val="18"/>
          <w:szCs w:val="18"/>
        </w:rPr>
      </w:pPr>
      <w:r w:rsidRPr="00D76940">
        <w:rPr>
          <w:i/>
          <w:iCs/>
          <w:sz w:val="18"/>
          <w:szCs w:val="18"/>
        </w:rPr>
        <w:t xml:space="preserve">priesaikos deklaracija; </w:t>
      </w:r>
    </w:p>
    <w:p w:rsidR="00571202" w:rsidRPr="00D76940" w:rsidRDefault="00571202"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202" w:rsidRDefault="00571202">
    <w:pPr>
      <w:pStyle w:val="Header"/>
    </w:pPr>
  </w:p>
  <w:p w:rsidR="00571202" w:rsidRDefault="005712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p>
  <w:p w:rsidR="00571202" w:rsidRDefault="00571202">
    <w:pPr>
      <w:pStyle w:val="Header"/>
    </w:pPr>
  </w:p>
  <w:p w:rsidR="00571202" w:rsidRDefault="005712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E0791"/>
    <w:rsid w:val="001F45DB"/>
    <w:rsid w:val="001F6427"/>
    <w:rsid w:val="001F6BA6"/>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4C9D0-D1E4-43E0-BAC0-086ED367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40485</Words>
  <Characters>23078</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5</cp:revision>
  <cp:lastPrinted>2025-01-22T11:36:00Z</cp:lastPrinted>
  <dcterms:created xsi:type="dcterms:W3CDTF">2025-04-11T05:58:00Z</dcterms:created>
  <dcterms:modified xsi:type="dcterms:W3CDTF">2025-04-11T06:04:00Z</dcterms:modified>
</cp:coreProperties>
</file>