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TableGrid"/>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5AE26EB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A54281">
            <w:pPr>
              <w:spacing w:after="0" w:line="240" w:lineRule="auto"/>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A54281">
            <w:pPr>
              <w:spacing w:after="0" w:line="240" w:lineRule="auto"/>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A54281">
            <w:pPr>
              <w:spacing w:after="0" w:line="240" w:lineRule="auto"/>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(46.1) Tiekėjas arba jo atsakingas asmuo, nurodytas Viešųjų pirkimų įstatymo 46 straipsnio 2 dalies 2 punkte, nuteistas už šią nusikalstamą veiką:</w:t>
            </w:r>
          </w:p>
          <w:p w14:paraId="6D1BF727"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 dalyvavimą nusikalstamame susivienijime, jo organizavimą ar vadovavimą jam;</w:t>
            </w:r>
          </w:p>
          <w:p w14:paraId="64E58B6D"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2) kyšininkavimą, prekybą poveikiu, papirkimą;</w:t>
            </w:r>
          </w:p>
          <w:p w14:paraId="5522C2F7"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 nusikalstamą bankrotą;</w:t>
            </w:r>
          </w:p>
          <w:p w14:paraId="25C588DB"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5) teroristinį ir su teroristine veikla susijusį nusikaltimą;</w:t>
            </w:r>
          </w:p>
          <w:p w14:paraId="261FFB5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6) nusikalstamu būdu gauto turto legalizavimą;</w:t>
            </w:r>
          </w:p>
          <w:p w14:paraId="33FA4B3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7) prekybą žmonėmis, vaiko pirkimą arba pardavimą;</w:t>
            </w:r>
          </w:p>
          <w:p w14:paraId="24254F0F"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08642187"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Laikoma, kad tiekėjas arba jo atsakingas asmuo nuteistas už aukščiau nurodytą nusikalstamą veiką, kai dėl:</w:t>
            </w:r>
          </w:p>
          <w:p w14:paraId="0466ED7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 tiekėjo, kuris yra fizinis asmuo, per pastaruosius 5 metus buvo priimtas ir įsiteisėjęs apkaltinamasis teismo nuosprendis ir šis asmuo turi neišnykusį ar nepanaikintą teistumą;</w:t>
            </w:r>
          </w:p>
          <w:p w14:paraId="7BB0DB9F" w14:textId="66B958AE" w:rsidR="00D07E17"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EE28C"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EBVPD.</w:t>
            </w:r>
          </w:p>
          <w:p w14:paraId="27A8E098"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Iš Lietuvoje įsteigtų subjektų reikalaujama:</w:t>
            </w:r>
          </w:p>
          <w:p w14:paraId="14BCEC88" w14:textId="77777777" w:rsidR="00D07E17" w:rsidRPr="005B44FF" w:rsidRDefault="5AE26EB5" w:rsidP="5AE26EB5">
            <w:pPr>
              <w:spacing w:after="0" w:line="240" w:lineRule="auto"/>
              <w:contextualSpacing/>
              <w:jc w:val="both"/>
              <w:rPr>
                <w:rFonts w:eastAsia="Times New Roman"/>
                <w:sz w:val="24"/>
                <w:szCs w:val="24"/>
                <w:lang w:eastAsia="en-US"/>
              </w:rPr>
            </w:pPr>
            <w:r w:rsidRPr="5AE26EB5">
              <w:rPr>
                <w:rFonts w:eastAsia="Times New Roman"/>
                <w:sz w:val="24"/>
                <w:szCs w:val="24"/>
                <w:lang w:eastAsia="en-US"/>
              </w:rPr>
              <w:t>išrašo iš teismo sprendimo arba</w:t>
            </w:r>
          </w:p>
          <w:p w14:paraId="2ECAD18F" w14:textId="77777777" w:rsidR="00D07E17" w:rsidRPr="005B44FF" w:rsidRDefault="5AE26EB5" w:rsidP="5AE26EB5">
            <w:pPr>
              <w:spacing w:after="0" w:line="240" w:lineRule="auto"/>
              <w:contextualSpacing/>
              <w:jc w:val="both"/>
              <w:rPr>
                <w:rFonts w:eastAsia="Times New Roman"/>
                <w:sz w:val="24"/>
                <w:szCs w:val="24"/>
                <w:lang w:eastAsia="en-US"/>
              </w:rPr>
            </w:pPr>
            <w:r w:rsidRPr="5AE26EB5">
              <w:rPr>
                <w:rFonts w:eastAsia="Times New Roman"/>
                <w:sz w:val="24"/>
                <w:szCs w:val="24"/>
                <w:lang w:eastAsia="en-US"/>
              </w:rPr>
              <w:t>Informatikos ir ryšių departamento prie Vidaus reikalų ministerijos pažymos, arba</w:t>
            </w:r>
          </w:p>
          <w:p w14:paraId="35D61E9C" w14:textId="77777777" w:rsidR="00D07E17" w:rsidRPr="005B44FF" w:rsidRDefault="5AE26EB5" w:rsidP="5AE26EB5">
            <w:pPr>
              <w:spacing w:after="0" w:line="240" w:lineRule="auto"/>
              <w:contextualSpacing/>
              <w:jc w:val="both"/>
              <w:rPr>
                <w:rFonts w:eastAsia="Times New Roman"/>
                <w:sz w:val="24"/>
                <w:szCs w:val="24"/>
                <w:lang w:eastAsia="en-US"/>
              </w:rPr>
            </w:pPr>
            <w:r w:rsidRPr="5AE26EB5">
              <w:rPr>
                <w:rFonts w:eastAsia="Times New Roman"/>
                <w:sz w:val="24"/>
                <w:szCs w:val="24"/>
                <w:lang w:eastAsia="en-US"/>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1348B1D8"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Iš ne Lietuvoje įsteigtų subjektų reikalaujama:</w:t>
            </w:r>
          </w:p>
          <w:p w14:paraId="66DB5799" w14:textId="77777777" w:rsidR="00D07E17" w:rsidRPr="005B44FF" w:rsidRDefault="00D07E17" w:rsidP="5AE26EB5">
            <w:pPr>
              <w:spacing w:after="0" w:line="240" w:lineRule="auto"/>
              <w:contextualSpacing/>
              <w:jc w:val="both"/>
              <w:rPr>
                <w:rFonts w:eastAsia="Times New Roman"/>
                <w:sz w:val="24"/>
                <w:szCs w:val="24"/>
                <w:lang w:eastAsia="en-US"/>
              </w:rPr>
            </w:pPr>
            <w:r w:rsidRPr="5AE26EB5">
              <w:rPr>
                <w:rFonts w:eastAsia="Times New Roman"/>
                <w:sz w:val="24"/>
                <w:szCs w:val="24"/>
                <w:lang w:eastAsia="en-US"/>
              </w:rPr>
              <w:t>atitinkamos užsienio šalies institucijos dokumento</w:t>
            </w:r>
            <w:r w:rsidRPr="5AE26EB5">
              <w:rPr>
                <w:rFonts w:eastAsia="Times New Roman"/>
                <w:sz w:val="24"/>
                <w:szCs w:val="24"/>
                <w:lang w:eastAsia="en-US"/>
              </w:rPr>
              <w:footnoteReference w:id="1"/>
            </w:r>
            <w:r w:rsidRPr="5AE26EB5">
              <w:rPr>
                <w:rFonts w:eastAsia="Times New Roman"/>
                <w:sz w:val="24"/>
                <w:szCs w:val="24"/>
                <w:lang w:eastAsia="en-US"/>
              </w:rPr>
              <w:t>.</w:t>
            </w:r>
          </w:p>
          <w:p w14:paraId="07BC8843"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Nurodyti dokumentai turi būti išduoti ne anksčiau kaip 180 dienų iki tos dienos, kai tiekėjas perkančiosios organizacijos prašymu turės pateikti pašalinimo pagrindų nebuvimą patvirtinančius dokumentus.</w:t>
            </w:r>
          </w:p>
          <w:p w14:paraId="66C43998"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10E27275" w14:textId="77777777" w:rsidR="00D07E17"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Jei dokumentas išduotas anksčiau, tačiau jame nurodytas galiojimo terminas ilgesnis nei pašalinimo pagrindų nebuvimą patvirtinančių dokumentų pagal EBVPD pateikimo termino </w:t>
            </w:r>
            <w:r w:rsidRPr="5AE26EB5">
              <w:rPr>
                <w:rFonts w:eastAsia="Times New Roman"/>
                <w:sz w:val="24"/>
                <w:szCs w:val="24"/>
                <w:lang w:eastAsia="en-US"/>
              </w:rPr>
              <w:lastRenderedPageBreak/>
              <w:t>pabaiga, toks dokumentas jo galiojimo laikotarpiu yra priimtinas.</w:t>
            </w:r>
          </w:p>
          <w:p w14:paraId="7382F636" w14:textId="6F8BFBC0" w:rsidR="00D07E17" w:rsidRPr="005B44FF" w:rsidRDefault="00D07E17" w:rsidP="5AE26EB5">
            <w:pPr>
              <w:spacing w:after="0" w:line="240" w:lineRule="auto"/>
              <w:ind w:firstLine="567"/>
              <w:jc w:val="both"/>
              <w:rPr>
                <w:rFonts w:eastAsia="Times New Roman"/>
                <w:sz w:val="24"/>
                <w:szCs w:val="24"/>
                <w:lang w:eastAsia="en-US"/>
              </w:rPr>
            </w:pPr>
          </w:p>
        </w:tc>
      </w:tr>
      <w:tr w:rsidR="00E2431D" w:rsidRPr="005B44FF" w14:paraId="0F9DFEB6" w14:textId="77777777" w:rsidTr="5AE26EB5">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14C4B97B" w:rsidR="00E2431D"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EBVPD.</w:t>
            </w:r>
          </w:p>
        </w:tc>
      </w:tr>
      <w:tr w:rsidR="00D07E17" w:rsidRPr="005B44FF" w14:paraId="4BA0C0A0"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3.</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2A8687DD"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Laikoma, kad tiekėjas nuteistas už aukščiau nurodytą nusikalstamą veiką, kai dėl:</w:t>
            </w:r>
          </w:p>
          <w:p w14:paraId="0616FEEF"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Tačiau ši nuostata netaikoma, jeigu:</w:t>
            </w:r>
          </w:p>
          <w:p w14:paraId="49BFBFDF"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 tiekėjas yra įsipareigojęs sumokėti mokesčius, įskaitant socialinio draudimo įmokas ir dėl to laikomas jau įvykdžiusiu šioje dalyje nurodytus įsipareigojimus;</w:t>
            </w:r>
          </w:p>
          <w:p w14:paraId="5C309F28"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2) įsiskolinimo suma neviršija 50 Eur (penkiasdešimt eurų);</w:t>
            </w:r>
          </w:p>
          <w:p w14:paraId="5056B6D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EBVPD.</w:t>
            </w:r>
          </w:p>
          <w:p w14:paraId="385C7B56"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 Dėl įsipareigojimų, susijusių su mokesčių mokėjimu, įvykdymo iš Lietuvoje įsteigtų subjektų prašoma:</w:t>
            </w:r>
          </w:p>
          <w:p w14:paraId="4EF476DF" w14:textId="77777777" w:rsidR="00D07E17" w:rsidRPr="00E2431D" w:rsidRDefault="00D07E17" w:rsidP="5AE26EB5">
            <w:pPr>
              <w:spacing w:after="0" w:line="240" w:lineRule="auto"/>
              <w:ind w:firstLine="567"/>
              <w:contextualSpacing/>
              <w:jc w:val="both"/>
              <w:rPr>
                <w:rFonts w:eastAsia="Times New Roman"/>
                <w:sz w:val="24"/>
                <w:szCs w:val="24"/>
                <w:lang w:eastAsia="en-US"/>
              </w:rPr>
            </w:pPr>
          </w:p>
          <w:p w14:paraId="138120AE" w14:textId="77777777" w:rsidR="00D07E17" w:rsidRPr="00E2431D" w:rsidRDefault="5AE26EB5" w:rsidP="5AE26EB5">
            <w:pPr>
              <w:spacing w:after="0" w:line="240" w:lineRule="auto"/>
              <w:jc w:val="both"/>
              <w:rPr>
                <w:rFonts w:eastAsia="Times New Roman"/>
                <w:sz w:val="24"/>
                <w:szCs w:val="24"/>
                <w:lang w:eastAsia="en-US"/>
              </w:rPr>
            </w:pPr>
            <w:r w:rsidRPr="5AE26EB5">
              <w:rPr>
                <w:rFonts w:eastAsia="Times New Roman"/>
                <w:sz w:val="24"/>
                <w:szCs w:val="24"/>
                <w:lang w:eastAsia="en-US"/>
              </w:rPr>
              <w:t>išrašo iš teismo sprendimo (jei toks yra) arba</w:t>
            </w:r>
          </w:p>
          <w:p w14:paraId="5BCF7A9E" w14:textId="77777777" w:rsidR="00D07E17" w:rsidRPr="00E2431D" w:rsidRDefault="5AE26EB5" w:rsidP="5AE26EB5">
            <w:pPr>
              <w:spacing w:after="0" w:line="240" w:lineRule="auto"/>
              <w:jc w:val="both"/>
              <w:rPr>
                <w:rFonts w:eastAsia="Times New Roman"/>
                <w:sz w:val="24"/>
                <w:szCs w:val="24"/>
                <w:lang w:eastAsia="en-US"/>
              </w:rPr>
            </w:pPr>
            <w:r w:rsidRPr="5AE26EB5">
              <w:rPr>
                <w:rFonts w:eastAsia="Times New Roman"/>
                <w:sz w:val="24"/>
                <w:szCs w:val="24"/>
                <w:lang w:eastAsia="en-US"/>
              </w:rPr>
              <w:t>Valstybinės mokesčių inspekcijos prie Lietuvos Respublikos finansų ministerijos išduoto dokumento,</w:t>
            </w:r>
          </w:p>
          <w:p w14:paraId="419FDD35" w14:textId="77777777" w:rsidR="00D07E17" w:rsidRPr="00E2431D" w:rsidRDefault="5AE26EB5" w:rsidP="5AE26EB5">
            <w:pPr>
              <w:spacing w:after="0" w:line="240" w:lineRule="auto"/>
              <w:jc w:val="both"/>
              <w:rPr>
                <w:rFonts w:eastAsia="Times New Roman"/>
                <w:sz w:val="24"/>
                <w:szCs w:val="24"/>
                <w:lang w:eastAsia="en-US"/>
              </w:rPr>
            </w:pPr>
            <w:r w:rsidRPr="5AE26EB5">
              <w:rPr>
                <w:rFonts w:eastAsia="Times New Roman"/>
                <w:sz w:val="24"/>
                <w:szCs w:val="24"/>
                <w:lang w:eastAsia="en-US"/>
              </w:rPr>
              <w:lastRenderedPageBreak/>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79CF12F8"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Iš ne Lietuvoje įsteigtų subjektų reikalaujama:</w:t>
            </w:r>
          </w:p>
          <w:p w14:paraId="1817BC8A" w14:textId="77777777" w:rsidR="00D07E17" w:rsidRPr="005B44FF" w:rsidRDefault="00D07E17"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atitinkamos užsienio šalies institucijos dokumento</w:t>
            </w:r>
            <w:r w:rsidRPr="5AE26EB5">
              <w:rPr>
                <w:rFonts w:eastAsia="Times New Roman"/>
                <w:sz w:val="24"/>
                <w:szCs w:val="24"/>
                <w:lang w:eastAsia="en-US"/>
              </w:rPr>
              <w:footnoteReference w:id="2"/>
            </w:r>
            <w:r w:rsidRPr="5AE26EB5">
              <w:rPr>
                <w:rFonts w:eastAsia="Times New Roman"/>
                <w:sz w:val="24"/>
                <w:szCs w:val="24"/>
                <w:lang w:eastAsia="en-US"/>
              </w:rPr>
              <w:t>.</w:t>
            </w:r>
          </w:p>
          <w:p w14:paraId="61A8CB21"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Nurodyti dokumentai turi būti  išduoti ne anksčiau kaip 120 dienų iki tos dienos, kai tiekėjas perkančiosios organizacijos prašymu turės pateikti pašalinimo pagrindų nebuvimą patvirtinančius dokumentus.</w:t>
            </w:r>
          </w:p>
          <w:p w14:paraId="23859864"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57340147"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0DEF4672"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2) Dėl įsipareigojimų, susijusių su socialinio draudimo įmokų mokėjimu, įvykdymo iš Lietuvoje įsteigtų subjektų prašoma:</w:t>
            </w:r>
          </w:p>
          <w:p w14:paraId="2F6E3791"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sidRPr="5AE26EB5">
                <w:rPr>
                  <w:rFonts w:eastAsia="Times New Roman"/>
                  <w:sz w:val="24"/>
                  <w:szCs w:val="24"/>
                  <w:lang w:eastAsia="en-US"/>
                </w:rPr>
                <w:t>https://draudejai.sodra.lt/draudeju_viesi_duomenys/</w:t>
              </w:r>
            </w:hyperlink>
            <w:r w:rsidRPr="5AE26EB5">
              <w:rPr>
                <w:rFonts w:eastAsia="Times New Roman"/>
                <w:sz w:val="24"/>
                <w:szCs w:val="24"/>
                <w:lang w:eastAsia="en-US"/>
              </w:rPr>
              <w:t>.</w:t>
            </w:r>
          </w:p>
          <w:p w14:paraId="325684D7"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3C32EF0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6EB72350"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Iš ne Lietuvoje įsteigtų subjektų reikalaujama:</w:t>
            </w:r>
          </w:p>
          <w:p w14:paraId="02D2B8FD" w14:textId="77777777" w:rsidR="00D07E17" w:rsidRPr="005B44FF" w:rsidRDefault="00D07E17" w:rsidP="5AE26EB5">
            <w:pPr>
              <w:spacing w:after="0" w:line="240" w:lineRule="auto"/>
              <w:contextualSpacing/>
              <w:jc w:val="both"/>
              <w:rPr>
                <w:rFonts w:eastAsia="Times New Roman"/>
                <w:sz w:val="24"/>
                <w:szCs w:val="24"/>
                <w:lang w:eastAsia="en-US"/>
              </w:rPr>
            </w:pPr>
            <w:r w:rsidRPr="5AE26EB5">
              <w:rPr>
                <w:rFonts w:eastAsia="Times New Roman"/>
                <w:sz w:val="24"/>
                <w:szCs w:val="24"/>
                <w:lang w:eastAsia="en-US"/>
              </w:rPr>
              <w:t>atitinkamos užsienio šalies kompetentingos institucijos dokumento</w:t>
            </w:r>
            <w:r w:rsidRPr="5AE26EB5">
              <w:rPr>
                <w:rFonts w:eastAsia="Times New Roman"/>
                <w:sz w:val="24"/>
                <w:szCs w:val="24"/>
                <w:lang w:eastAsia="en-US"/>
              </w:rPr>
              <w:footnoteReference w:id="3"/>
            </w:r>
            <w:r w:rsidRPr="5AE26EB5">
              <w:rPr>
                <w:rFonts w:eastAsia="Times New Roman"/>
                <w:sz w:val="24"/>
                <w:szCs w:val="24"/>
                <w:lang w:eastAsia="en-US"/>
              </w:rPr>
              <w:t>.</w:t>
            </w:r>
          </w:p>
          <w:p w14:paraId="690F7E60" w14:textId="77777777" w:rsidR="00D07E17" w:rsidRPr="005B44FF" w:rsidRDefault="00D07E17" w:rsidP="5AE26EB5">
            <w:pPr>
              <w:spacing w:after="0" w:line="240" w:lineRule="auto"/>
              <w:ind w:firstLine="567"/>
              <w:contextualSpacing/>
              <w:jc w:val="both"/>
              <w:rPr>
                <w:rFonts w:eastAsia="Times New Roman"/>
                <w:sz w:val="24"/>
                <w:szCs w:val="24"/>
                <w:lang w:eastAsia="en-US"/>
              </w:rPr>
            </w:pPr>
          </w:p>
          <w:p w14:paraId="1270191F"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Nurodyti dokumentai turi būti  išduoti ne anksčiau kaip 120 dienų iki tos dienos, kai tiekėjas perkančiosios organizacijos prašymu turės pateikti pašalinimo pagrindų nebuvimą patvirtinančius dokumentus.</w:t>
            </w:r>
          </w:p>
          <w:p w14:paraId="1DE3EA50" w14:textId="5DD05206" w:rsidR="00D07E17" w:rsidRPr="00D07E17"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EBVPD.</w:t>
            </w:r>
          </w:p>
        </w:tc>
      </w:tr>
      <w:tr w:rsidR="00D07E17" w:rsidRPr="005B44FF" w14:paraId="23845B98"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5.</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EBVPD.</w:t>
            </w:r>
          </w:p>
        </w:tc>
      </w:tr>
      <w:tr w:rsidR="00D07E17" w:rsidRPr="005B44FF" w14:paraId="564EF66B"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6.</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EBVPD.</w:t>
            </w:r>
          </w:p>
        </w:tc>
      </w:tr>
      <w:tr w:rsidR="00D07E17" w:rsidRPr="005B44FF" w14:paraId="504BDA12"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7.</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5AE26EB5">
              <w:rPr>
                <w:rFonts w:eastAsia="Times New Roman"/>
                <w:sz w:val="24"/>
                <w:szCs w:val="24"/>
                <w:lang w:eastAsia="en-US"/>
              </w:rPr>
              <w:lastRenderedPageBreak/>
              <w:t xml:space="preserve">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EBVPD.</w:t>
            </w:r>
          </w:p>
          <w:p w14:paraId="154B3FD2" w14:textId="77777777" w:rsidR="00D07E17"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5AE26EB5" w:rsidP="5AE26EB5">
            <w:pPr>
              <w:spacing w:after="0" w:line="240" w:lineRule="auto"/>
              <w:ind w:firstLine="567"/>
              <w:contextualSpacing/>
              <w:jc w:val="both"/>
              <w:rPr>
                <w:rFonts w:eastAsia="Times New Roman"/>
                <w:sz w:val="24"/>
                <w:szCs w:val="24"/>
                <w:lang w:eastAsia="en-US"/>
              </w:rPr>
            </w:pPr>
            <w:hyperlink r:id="rId11">
              <w:r w:rsidRPr="5AE26EB5">
                <w:rPr>
                  <w:rFonts w:eastAsia="Times New Roman"/>
                  <w:sz w:val="24"/>
                  <w:szCs w:val="24"/>
                  <w:lang w:eastAsia="en-US"/>
                </w:rPr>
                <w:t>https://vpt.lrv.lt/lt/pasalinimo-pagrindai-1/melaginga-informacija-pateikusiu-tiekeju-sarasas-6/</w:t>
              </w:r>
            </w:hyperlink>
            <w:r w:rsidRPr="5AE26EB5">
              <w:rPr>
                <w:rFonts w:eastAsia="Times New Roman"/>
                <w:sz w:val="24"/>
                <w:szCs w:val="24"/>
                <w:lang w:eastAsia="en-US"/>
              </w:rPr>
              <w:t xml:space="preserve"> </w:t>
            </w:r>
          </w:p>
        </w:tc>
      </w:tr>
      <w:tr w:rsidR="00D07E17" w:rsidRPr="005B44FF" w14:paraId="29226CB5"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8.</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EBVPD.</w:t>
            </w:r>
          </w:p>
        </w:tc>
      </w:tr>
      <w:tr w:rsidR="00D07E17" w:rsidRPr="005B44FF" w14:paraId="7E54449B"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9.</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5AE26EB5">
              <w:rPr>
                <w:rFonts w:eastAsia="Times New Roman"/>
                <w:sz w:val="24"/>
                <w:szCs w:val="24"/>
                <w:lang w:eastAsia="en-US"/>
              </w:rPr>
              <w:lastRenderedPageBreak/>
              <w:t xml:space="preserve">tiekėjas sutartyje nustatytą esminę sutarties sąlygą vykdė su dideliais arba nuolatiniais trūkumais ir dėl to buvo pritaikyta sutartyje nustatyta sankcija. </w:t>
            </w:r>
          </w:p>
          <w:p w14:paraId="06E4D829"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EBVPD.</w:t>
            </w:r>
          </w:p>
          <w:p w14:paraId="40577322"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5AE26EB5" w:rsidP="5AE26EB5">
            <w:pPr>
              <w:spacing w:after="0" w:line="240" w:lineRule="auto"/>
              <w:ind w:firstLine="567"/>
              <w:contextualSpacing/>
              <w:jc w:val="both"/>
              <w:rPr>
                <w:rFonts w:eastAsia="Times New Roman"/>
                <w:sz w:val="24"/>
                <w:szCs w:val="24"/>
                <w:lang w:eastAsia="en-US"/>
              </w:rPr>
            </w:pPr>
            <w:hyperlink r:id="rId12">
              <w:r w:rsidRPr="5AE26EB5">
                <w:rPr>
                  <w:rFonts w:eastAsia="Times New Roman"/>
                  <w:sz w:val="24"/>
                  <w:szCs w:val="24"/>
                  <w:lang w:eastAsia="en-US"/>
                </w:rPr>
                <w:t>https://vpt.lrv.lt/lt/pasalinimo-pagrindai-1/</w:t>
              </w:r>
            </w:hyperlink>
            <w:r w:rsidRPr="5AE26EB5">
              <w:rPr>
                <w:rFonts w:eastAsia="Times New Roman"/>
                <w:sz w:val="24"/>
                <w:szCs w:val="24"/>
                <w:lang w:eastAsia="en-US"/>
              </w:rPr>
              <w:t xml:space="preserve"> </w:t>
            </w:r>
          </w:p>
        </w:tc>
      </w:tr>
      <w:tr w:rsidR="00D07E17" w:rsidRPr="005B44FF" w14:paraId="4CA8E557"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10.</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a) yra padaręs finansinės atskaitomybės ir audito teisės aktų pažeidimą ir nuo jo padarymo dienos praėjo mažiau kaip vieni metai;</w:t>
            </w:r>
          </w:p>
          <w:p w14:paraId="42E0CA08"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b) neatitinka minimalių patikimo mokesčių mokėtojo kriterijų, nustatytų Lietuvos Respublikos mokesčių administravimo įstatymo 401 straipsnio 1 dalyje;</w:t>
            </w:r>
          </w:p>
          <w:p w14:paraId="44B36408"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Iš Lietuvoje įsteigtų subjektų įrodančių dokumentų nereikalaujama. Užtenka pateikto EBVPD.</w:t>
            </w:r>
          </w:p>
          <w:p w14:paraId="01A55D7A" w14:textId="77777777" w:rsidR="00D07E17" w:rsidRPr="001B2AE6"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Priimant sprendimus dėl tiekėjo pašalinimo iš pirkimo procedūros (a) punkte nurodytu pašalinimo pagrindu, be kita ko, atsižvelgiama į nacionalinėje duomenų bazėje adresu: </w:t>
            </w:r>
            <w:hyperlink r:id="rId13">
              <w:r w:rsidRPr="5AE26EB5">
                <w:rPr>
                  <w:rFonts w:eastAsia="Times New Roman"/>
                  <w:sz w:val="24"/>
                  <w:szCs w:val="24"/>
                  <w:lang w:eastAsia="en-US"/>
                </w:rPr>
                <w:t>https://www.registrucentras.lt/jar/p/index.php</w:t>
              </w:r>
            </w:hyperlink>
            <w:r w:rsidRPr="5AE26EB5">
              <w:rPr>
                <w:rFonts w:eastAsia="Times New Roman"/>
                <w:sz w:val="24"/>
                <w:szCs w:val="24"/>
                <w:lang w:eastAsia="en-US"/>
              </w:rPr>
              <w:t xml:space="preserve"> paskelbtą informaciją, taip pat į Viešųjų pirkimų tarnybos informaciniame pranešime pateiktą informaciją:</w:t>
            </w:r>
          </w:p>
          <w:p w14:paraId="3FFFD056" w14:textId="77777777" w:rsidR="00D07E17" w:rsidRPr="00186F2B" w:rsidRDefault="5AE26EB5" w:rsidP="5AE26EB5">
            <w:pPr>
              <w:spacing w:after="0" w:line="240" w:lineRule="auto"/>
              <w:ind w:firstLine="567"/>
              <w:contextualSpacing/>
              <w:jc w:val="both"/>
              <w:rPr>
                <w:rFonts w:eastAsia="Times New Roman"/>
                <w:sz w:val="24"/>
                <w:szCs w:val="24"/>
                <w:lang w:eastAsia="en-US"/>
              </w:rPr>
            </w:pPr>
            <w:hyperlink r:id="rId14">
              <w:r w:rsidRPr="5AE26EB5">
                <w:rPr>
                  <w:rFonts w:eastAsia="Times New Roman"/>
                  <w:sz w:val="24"/>
                  <w:szCs w:val="24"/>
                  <w:lang w:eastAsia="en-US"/>
                </w:rPr>
                <w:t>https://vpt.lrv.lt/lt/naujienos-3/nepateike-finansiniu-ataskaitu-tiekejai-gali-buti-pasalinti-is-pirkimo-proceduros-1/</w:t>
              </w:r>
            </w:hyperlink>
            <w:r w:rsidRPr="5AE26EB5">
              <w:rPr>
                <w:rFonts w:eastAsia="Times New Roman"/>
                <w:sz w:val="24"/>
                <w:szCs w:val="24"/>
                <w:lang w:eastAsia="en-US"/>
              </w:rPr>
              <w:t>.</w:t>
            </w:r>
          </w:p>
          <w:p w14:paraId="53E843DE" w14:textId="77777777" w:rsidR="00D07E17" w:rsidRPr="001B2AE6"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Priimant sprendimus dėl tiekėjo pašalinimo iš pirkimo procedūros (b) punkte nurodytu pašalinimo pagrindu, be kita ko, atsižvelgiama į nacionalinėje duomenų bazėje adresu </w:t>
            </w:r>
            <w:hyperlink r:id="rId15">
              <w:r w:rsidRPr="5AE26EB5">
                <w:rPr>
                  <w:rFonts w:eastAsia="Times New Roman"/>
                  <w:sz w:val="24"/>
                  <w:szCs w:val="24"/>
                  <w:lang w:eastAsia="en-US"/>
                </w:rPr>
                <w:t>https://www.vmi.lt/evmi/mokesciu-moketoju-informacija</w:t>
              </w:r>
            </w:hyperlink>
            <w:r w:rsidRPr="5AE26EB5">
              <w:rPr>
                <w:rFonts w:eastAsia="Times New Roman"/>
                <w:sz w:val="24"/>
                <w:szCs w:val="24"/>
                <w:lang w:eastAsia="en-US"/>
              </w:rPr>
              <w:t xml:space="preserve"> skelbiamą informaciją.</w:t>
            </w:r>
          </w:p>
          <w:p w14:paraId="10806BAD" w14:textId="77777777" w:rsidR="00D07E17" w:rsidRPr="001B2AE6" w:rsidRDefault="00D07E17" w:rsidP="5AE26EB5">
            <w:pPr>
              <w:spacing w:after="0" w:line="240" w:lineRule="auto"/>
              <w:ind w:firstLine="567"/>
              <w:contextualSpacing/>
              <w:jc w:val="both"/>
              <w:rPr>
                <w:rFonts w:eastAsia="Times New Roman"/>
                <w:sz w:val="24"/>
                <w:szCs w:val="24"/>
                <w:lang w:eastAsia="en-US"/>
              </w:rPr>
            </w:pPr>
          </w:p>
          <w:p w14:paraId="29AF7F06" w14:textId="77777777" w:rsidR="00D07E17" w:rsidRPr="001B2AE6"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 xml:space="preserve">Priimant sprendimus dėl tiekėjo pašalinimo iš pirkimo procedūros (c) punkte nurodytu pašalinimo pagrindu, be kita ko, atsižvelgiama į nacionalinėje duomenų bazėje adresu: </w:t>
            </w:r>
            <w:hyperlink r:id="rId16">
              <w:r w:rsidRPr="5AE26EB5">
                <w:rPr>
                  <w:rFonts w:eastAsia="Times New Roman"/>
                  <w:sz w:val="24"/>
                  <w:szCs w:val="24"/>
                  <w:lang w:eastAsia="en-US"/>
                </w:rPr>
                <w:t>https://kt.gov.lt/lt/atviri-duomenys/diskvalifikavimas-is-viesuju-pirkimu</w:t>
              </w:r>
            </w:hyperlink>
            <w:r w:rsidRPr="5AE26EB5">
              <w:rPr>
                <w:rFonts w:eastAsia="Times New Roman"/>
                <w:sz w:val="24"/>
                <w:szCs w:val="24"/>
                <w:lang w:eastAsia="en-US"/>
              </w:rPr>
              <w:t xml:space="preserve"> skelbiamą informaciją.</w:t>
            </w:r>
          </w:p>
        </w:tc>
      </w:tr>
      <w:tr w:rsidR="00D07E17" w:rsidRPr="005B44FF" w14:paraId="5226BD38" w14:textId="77777777" w:rsidTr="5AE26EB5">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5AE26EB5" w:rsidP="5AE26EB5">
            <w:pPr>
              <w:spacing w:after="0" w:line="240" w:lineRule="auto"/>
              <w:ind w:firstLine="567"/>
              <w:contextualSpacing/>
              <w:jc w:val="both"/>
              <w:rPr>
                <w:rFonts w:eastAsia="Times New Roman"/>
                <w:sz w:val="24"/>
                <w:szCs w:val="24"/>
                <w:lang w:eastAsia="en-US"/>
              </w:rPr>
            </w:pPr>
            <w:r w:rsidRPr="5AE26EB5">
              <w:rPr>
                <w:rFonts w:eastAsia="Times New Roman"/>
                <w:sz w:val="24"/>
                <w:szCs w:val="24"/>
                <w:lang w:eastAsia="en-US"/>
              </w:rPr>
              <w:t>Iš Lietuvoje įsteigtų subjektų įrodančių dokumentų nereikalaujama. Užtenka pateikto EBVPD.</w:t>
            </w:r>
          </w:p>
        </w:tc>
      </w:tr>
    </w:tbl>
    <w:p w14:paraId="3335E6BC" w14:textId="77777777" w:rsidR="00D07E17" w:rsidRPr="005B44FF" w:rsidRDefault="00D07E17" w:rsidP="5AE26EB5">
      <w:pPr>
        <w:spacing w:after="0" w:line="240" w:lineRule="auto"/>
        <w:ind w:firstLine="567"/>
        <w:contextualSpacing/>
        <w:jc w:val="both"/>
        <w:rPr>
          <w:rFonts w:ascii="Times New Roman" w:eastAsia="Times New Roman" w:hAnsi="Times New Roman" w:cs="Times New Roman"/>
          <w:sz w:val="24"/>
          <w:szCs w:val="24"/>
          <w:lang w:eastAsia="en-US"/>
        </w:rPr>
      </w:pPr>
    </w:p>
    <w:p w14:paraId="35E18886" w14:textId="77777777" w:rsidR="00D07E17" w:rsidRPr="005B44FF" w:rsidRDefault="5AE26EB5" w:rsidP="5AE26EB5">
      <w:pPr>
        <w:spacing w:after="0" w:line="240" w:lineRule="auto"/>
        <w:ind w:firstLine="567"/>
        <w:contextualSpacing/>
        <w:jc w:val="both"/>
        <w:rPr>
          <w:rFonts w:ascii="Times New Roman" w:eastAsia="Times New Roman" w:hAnsi="Times New Roman" w:cs="Times New Roman"/>
          <w:sz w:val="24"/>
          <w:szCs w:val="24"/>
          <w:lang w:eastAsia="en-US"/>
        </w:rPr>
      </w:pPr>
      <w:r w:rsidRPr="5AE26EB5">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FootnoteText"/>
        <w:jc w:val="both"/>
        <w:rPr>
          <w:rFonts w:ascii="Times New Roman" w:hAnsi="Times New Roman" w:cs="Times New Roman"/>
          <w:iCs/>
        </w:rPr>
      </w:pPr>
      <w:r w:rsidRPr="00BE35EA">
        <w:rPr>
          <w:rStyle w:val="FootnoteReference"/>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FootnoteText"/>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FootnoteText"/>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FootnoteText"/>
        <w:jc w:val="both"/>
        <w:rPr>
          <w:rFonts w:ascii="Times New Roman" w:hAnsi="Times New Roman" w:cs="Times New Roman"/>
        </w:rPr>
      </w:pPr>
      <w:r w:rsidRPr="00923318">
        <w:rPr>
          <w:rStyle w:val="FootnoteReference"/>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FootnoteText"/>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FootnoteText"/>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FootnoteText"/>
        <w:jc w:val="both"/>
        <w:rPr>
          <w:rFonts w:ascii="Times New Roman" w:hAnsi="Times New Roman" w:cs="Times New Roman"/>
        </w:rPr>
      </w:pPr>
      <w:r w:rsidRPr="00923318">
        <w:rPr>
          <w:rStyle w:val="FootnoteReference"/>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FootnoteText"/>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FootnoteText"/>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1F7F"/>
    <w:rsid w:val="00386C8E"/>
    <w:rsid w:val="00497982"/>
    <w:rsid w:val="004E68B0"/>
    <w:rsid w:val="00522CC3"/>
    <w:rsid w:val="0070704E"/>
    <w:rsid w:val="007F161A"/>
    <w:rsid w:val="008229F5"/>
    <w:rsid w:val="00A54281"/>
    <w:rsid w:val="00CB5236"/>
    <w:rsid w:val="00D07E17"/>
    <w:rsid w:val="00D145FA"/>
    <w:rsid w:val="00E2431D"/>
    <w:rsid w:val="00FC541D"/>
    <w:rsid w:val="5AE26E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17"/>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E17"/>
    <w:rPr>
      <w:rFonts w:eastAsiaTheme="majorEastAsia" w:cstheme="majorBidi"/>
      <w:color w:val="272727" w:themeColor="text1" w:themeTint="D8"/>
    </w:rPr>
  </w:style>
  <w:style w:type="paragraph" w:styleId="Title">
    <w:name w:val="Title"/>
    <w:basedOn w:val="Normal"/>
    <w:next w:val="Normal"/>
    <w:link w:val="TitleChar"/>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E17"/>
    <w:pPr>
      <w:spacing w:before="160"/>
      <w:jc w:val="center"/>
    </w:pPr>
    <w:rPr>
      <w:i/>
      <w:iCs/>
      <w:color w:val="404040" w:themeColor="text1" w:themeTint="BF"/>
    </w:rPr>
  </w:style>
  <w:style w:type="character" w:customStyle="1" w:styleId="QuoteChar">
    <w:name w:val="Quote Char"/>
    <w:basedOn w:val="DefaultParagraphFont"/>
    <w:link w:val="Quote"/>
    <w:uiPriority w:val="29"/>
    <w:rsid w:val="00D07E17"/>
    <w:rPr>
      <w:i/>
      <w:iCs/>
      <w:color w:val="404040" w:themeColor="text1" w:themeTint="BF"/>
    </w:rPr>
  </w:style>
  <w:style w:type="paragraph" w:styleId="ListParagraph">
    <w:name w:val="List Paragraph"/>
    <w:basedOn w:val="Normal"/>
    <w:link w:val="ListParagraphChar"/>
    <w:uiPriority w:val="34"/>
    <w:qFormat/>
    <w:rsid w:val="00D07E17"/>
    <w:pPr>
      <w:ind w:left="720"/>
      <w:contextualSpacing/>
    </w:pPr>
  </w:style>
  <w:style w:type="character" w:styleId="IntenseEmphasis">
    <w:name w:val="Intense Emphasis"/>
    <w:basedOn w:val="DefaultParagraphFont"/>
    <w:uiPriority w:val="21"/>
    <w:qFormat/>
    <w:rsid w:val="00D07E17"/>
    <w:rPr>
      <w:i/>
      <w:iCs/>
      <w:color w:val="0F4761" w:themeColor="accent1" w:themeShade="BF"/>
    </w:rPr>
  </w:style>
  <w:style w:type="paragraph" w:styleId="IntenseQuote">
    <w:name w:val="Intense Quote"/>
    <w:basedOn w:val="Normal"/>
    <w:next w:val="Normal"/>
    <w:link w:val="IntenseQuoteChar"/>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E17"/>
    <w:rPr>
      <w:i/>
      <w:iCs/>
      <w:color w:val="0F4761" w:themeColor="accent1" w:themeShade="BF"/>
    </w:rPr>
  </w:style>
  <w:style w:type="character" w:styleId="IntenseReference">
    <w:name w:val="Intense Reference"/>
    <w:basedOn w:val="DefaultParagraphFont"/>
    <w:uiPriority w:val="32"/>
    <w:qFormat/>
    <w:rsid w:val="00D07E17"/>
    <w:rPr>
      <w:b/>
      <w:bCs/>
      <w:smallCaps/>
      <w:color w:val="0F4761" w:themeColor="accent1" w:themeShade="BF"/>
      <w:spacing w:val="5"/>
    </w:rPr>
  </w:style>
  <w:style w:type="character" w:styleId="Hyperlink">
    <w:name w:val="Hyperlink"/>
    <w:basedOn w:val="DefaultParagraphFont"/>
    <w:uiPriority w:val="99"/>
    <w:rsid w:val="00D07E17"/>
    <w:rPr>
      <w:rFonts w:cs="Times New Roman"/>
      <w:color w:val="0000FF"/>
      <w:u w:val="single"/>
    </w:rPr>
  </w:style>
  <w:style w:type="table" w:styleId="TableGrid">
    <w:name w:val="Table Grid"/>
    <w:basedOn w:val="TableNorma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D07E17"/>
    <w:rPr>
      <w:rFonts w:cs="Times New Roman"/>
      <w:vertAlign w:val="superscript"/>
    </w:rPr>
  </w:style>
  <w:style w:type="character" w:customStyle="1" w:styleId="ListParagraphChar">
    <w:name w:val="List Paragraph Char"/>
    <w:link w:val="ListParagraph"/>
    <w:uiPriority w:val="34"/>
    <w:rsid w:val="00D07E17"/>
  </w:style>
  <w:style w:type="paragraph" w:styleId="FootnoteText">
    <w:name w:val="footnote text"/>
    <w:aliases w:val=" Diagrama1,Diagrama1"/>
    <w:basedOn w:val="Normal"/>
    <w:link w:val="FootnoteTextChar"/>
    <w:uiPriority w:val="99"/>
    <w:unhideWhenUsed/>
    <w:rsid w:val="00D07E17"/>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D07E17"/>
    <w:rPr>
      <w:rFonts w:eastAsiaTheme="minorEastAsia"/>
      <w:kern w:val="0"/>
      <w:sz w:val="20"/>
      <w:szCs w:val="20"/>
      <w:lang w:eastAsia="zh-CN"/>
      <w14:ligatures w14:val="none"/>
    </w:rPr>
  </w:style>
  <w:style w:type="paragraph" w:styleId="Header">
    <w:name w:val="header"/>
    <w:basedOn w:val="Normal"/>
    <w:link w:val="HeaderChar"/>
    <w:uiPriority w:val="99"/>
    <w:unhideWhenUsed/>
    <w:rsid w:val="00386C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6C8E"/>
    <w:rPr>
      <w:rFonts w:eastAsiaTheme="minorEastAsia"/>
      <w:kern w:val="0"/>
      <w:lang w:eastAsia="zh-CN"/>
      <w14:ligatures w14:val="none"/>
    </w:rPr>
  </w:style>
  <w:style w:type="paragraph" w:styleId="Footer">
    <w:name w:val="footer"/>
    <w:basedOn w:val="Normal"/>
    <w:link w:val="FooterChar"/>
    <w:uiPriority w:val="99"/>
    <w:unhideWhenUsed/>
    <w:rsid w:val="00386C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14598</Characters>
  <Application>Microsoft Office Word</Application>
  <DocSecurity>0</DocSecurity>
  <Lines>121</Lines>
  <Paragraphs>34</Paragraphs>
  <ScaleCrop>false</ScaleCrop>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Diana Gigevičiūtė</cp:lastModifiedBy>
  <cp:revision>2</cp:revision>
  <dcterms:created xsi:type="dcterms:W3CDTF">2025-04-09T11:49:00Z</dcterms:created>
  <dcterms:modified xsi:type="dcterms:W3CDTF">2025-04-09T11:49:00Z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