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Header"/>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Header"/>
              <w:tabs>
                <w:tab w:val="left" w:pos="1296"/>
              </w:tabs>
              <w:jc w:val="center"/>
              <w:rPr>
                <w:rFonts w:ascii="Cambria" w:hAnsi="Cambria"/>
                <w:b/>
                <w:sz w:val="22"/>
                <w:szCs w:val="22"/>
              </w:rPr>
            </w:pPr>
          </w:p>
          <w:p w:rsidR="00851197" w:rsidRPr="000146B3" w:rsidRDefault="00851197">
            <w:pPr>
              <w:pStyle w:val="Caption"/>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A06482" w:rsidRPr="00A06482">
              <w:rPr>
                <w:rFonts w:ascii="Cambria" w:hAnsi="Cambria"/>
                <w:b/>
                <w:sz w:val="22"/>
                <w:szCs w:val="22"/>
              </w:rPr>
              <w:t xml:space="preserve">STOGINĖ SU REMONTO </w:t>
            </w:r>
            <w:r w:rsidR="00756D9F" w:rsidRPr="000146B3">
              <w:rPr>
                <w:rFonts w:ascii="Cambria" w:hAnsi="Cambria"/>
                <w:b/>
                <w:sz w:val="22"/>
                <w:szCs w:val="22"/>
              </w:rPr>
              <w:t>DARBAIS</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A06482">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A06482" w:rsidRPr="00A06482">
        <w:rPr>
          <w:rFonts w:ascii="Cambria" w:hAnsi="Cambria"/>
          <w:b/>
          <w:sz w:val="22"/>
          <w:szCs w:val="22"/>
        </w:rPr>
        <w:t>Stoginė</w:t>
      </w:r>
      <w:r w:rsidR="00A06482">
        <w:rPr>
          <w:rFonts w:ascii="Cambria" w:hAnsi="Cambria"/>
          <w:b/>
          <w:sz w:val="22"/>
          <w:szCs w:val="22"/>
        </w:rPr>
        <w:t>s</w:t>
      </w:r>
      <w:r w:rsidR="00A06482" w:rsidRPr="00A06482">
        <w:rPr>
          <w:rFonts w:ascii="Cambria" w:hAnsi="Cambria"/>
          <w:b/>
          <w:sz w:val="22"/>
          <w:szCs w:val="22"/>
        </w:rPr>
        <w:t xml:space="preserve"> su remonto darbais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yperlink"/>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7E2E8F">
        <w:rPr>
          <w:rFonts w:ascii="Cambria" w:hAnsi="Cambria"/>
          <w:b/>
          <w:sz w:val="22"/>
          <w:szCs w:val="22"/>
        </w:rPr>
        <w:t>s</w:t>
      </w:r>
      <w:r w:rsidR="007E2E8F" w:rsidRPr="00A06482">
        <w:rPr>
          <w:rFonts w:ascii="Cambria" w:hAnsi="Cambria"/>
          <w:b/>
          <w:sz w:val="22"/>
          <w:szCs w:val="22"/>
        </w:rPr>
        <w:t>togin</w:t>
      </w:r>
      <w:r w:rsidR="007E2E8F">
        <w:rPr>
          <w:rFonts w:ascii="Cambria" w:hAnsi="Cambria"/>
          <w:b/>
          <w:sz w:val="22"/>
          <w:szCs w:val="22"/>
        </w:rPr>
        <w:t>ę</w:t>
      </w:r>
      <w:r w:rsidR="007E2E8F" w:rsidRPr="00A06482">
        <w:rPr>
          <w:rFonts w:ascii="Cambria" w:hAnsi="Cambria"/>
          <w:b/>
          <w:sz w:val="22"/>
          <w:szCs w:val="22"/>
        </w:rPr>
        <w:t xml:space="preserve"> su remonto darbais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ListParagraph"/>
        <w:suppressAutoHyphens w:val="0"/>
        <w:spacing w:line="276" w:lineRule="auto"/>
        <w:ind w:left="0" w:firstLine="567"/>
        <w:jc w:val="both"/>
        <w:rPr>
          <w:rFonts w:ascii="Cambria" w:hAnsi="Cambria"/>
          <w:sz w:val="22"/>
          <w:szCs w:val="22"/>
        </w:rPr>
      </w:pPr>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ListParagraph"/>
        <w:suppressAutoHyphens w:val="0"/>
        <w:spacing w:line="276" w:lineRule="auto"/>
        <w:ind w:left="0" w:firstLine="567"/>
        <w:jc w:val="both"/>
        <w:rPr>
          <w:rFonts w:ascii="Cambria" w:hAnsi="Cambria"/>
          <w:sz w:val="22"/>
          <w:szCs w:val="22"/>
          <w:lang w:eastAsia="en-GB"/>
        </w:rPr>
      </w:pPr>
      <w:r w:rsidRPr="000146B3">
        <w:rPr>
          <w:rFonts w:ascii="Cambria" w:hAnsi="Cambria"/>
          <w:sz w:val="22"/>
          <w:szCs w:val="22"/>
        </w:rPr>
        <w:t>2.5.1.</w:t>
      </w:r>
      <w:r w:rsidR="00ED7918" w:rsidRPr="000146B3">
        <w:rPr>
          <w:rFonts w:ascii="Cambria" w:hAnsi="Cambria"/>
          <w:sz w:val="22"/>
          <w:szCs w:val="22"/>
        </w:rPr>
        <w:t xml:space="preserve"> </w:t>
      </w:r>
      <w:r w:rsidRPr="000146B3">
        <w:rPr>
          <w:rFonts w:ascii="Cambria" w:hAnsi="Cambria"/>
          <w:sz w:val="22"/>
          <w:szCs w:val="22"/>
        </w:rPr>
        <w:t xml:space="preserve">Darbų atlikimo terminas – </w:t>
      </w:r>
      <w:r w:rsidR="00ED7918" w:rsidRPr="000146B3">
        <w:rPr>
          <w:rFonts w:ascii="Cambria" w:eastAsiaTheme="minorHAnsi" w:hAnsi="Cambria" w:cs="Times-Roman"/>
          <w:sz w:val="22"/>
          <w:szCs w:val="22"/>
          <w:lang w:eastAsia="en-US"/>
        </w:rPr>
        <w:t>Darb</w:t>
      </w:r>
      <w:r w:rsidR="00ED7918" w:rsidRPr="000146B3">
        <w:rPr>
          <w:rFonts w:ascii="Cambria" w:eastAsiaTheme="minorHAnsi" w:hAnsi="Cambria" w:cs="TimesNewRoman"/>
          <w:sz w:val="22"/>
          <w:szCs w:val="22"/>
          <w:lang w:eastAsia="en-US"/>
        </w:rPr>
        <w:t xml:space="preserve">ų </w:t>
      </w:r>
      <w:r w:rsidR="00FA3A29" w:rsidRPr="000146B3">
        <w:rPr>
          <w:rFonts w:ascii="Cambria" w:eastAsiaTheme="minorHAnsi" w:hAnsi="Cambria" w:cs="Times-Roman"/>
          <w:sz w:val="22"/>
          <w:szCs w:val="22"/>
          <w:lang w:eastAsia="en-US"/>
        </w:rPr>
        <w:t xml:space="preserve">atlikimo terminas yra </w:t>
      </w:r>
      <w:r w:rsidR="00A06482" w:rsidRPr="00A06482">
        <w:rPr>
          <w:rFonts w:ascii="Cambria" w:hAnsi="Cambria" w:cstheme="majorHAnsi"/>
          <w:sz w:val="22"/>
          <w:szCs w:val="22"/>
        </w:rPr>
        <w:t>ne ilgesnis kaip 3 mėn. nuo Statybvietės perdavimo–priėmimo akto pasirašymo dienos</w:t>
      </w:r>
      <w:r w:rsidRPr="000146B3">
        <w:rPr>
          <w:rFonts w:ascii="Cambria" w:hAnsi="Cambria"/>
          <w:sz w:val="22"/>
          <w:szCs w:val="22"/>
        </w:rPr>
        <w:t>.</w:t>
      </w:r>
    </w:p>
    <w:p w:rsidR="000218AA" w:rsidRDefault="00D019AF" w:rsidP="00ED7918">
      <w:pPr>
        <w:pStyle w:val="ListParagraph"/>
        <w:ind w:left="0" w:firstLine="567"/>
        <w:jc w:val="both"/>
        <w:rPr>
          <w:rFonts w:ascii="Cambria" w:hAnsi="Cambria"/>
          <w:sz w:val="22"/>
          <w:szCs w:val="22"/>
          <w:lang w:eastAsia="en-GB"/>
        </w:rPr>
      </w:pPr>
      <w:r w:rsidRPr="000146B3">
        <w:rPr>
          <w:rFonts w:ascii="Cambria" w:hAnsi="Cambria"/>
          <w:sz w:val="22"/>
          <w:szCs w:val="22"/>
        </w:rPr>
        <w:lastRenderedPageBreak/>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9D24BE" w:rsidRPr="009D24BE" w:rsidRDefault="009D24BE" w:rsidP="009D24BE">
      <w:pPr>
        <w:ind w:firstLine="567"/>
        <w:jc w:val="both"/>
        <w:rPr>
          <w:rFonts w:ascii="Cambria" w:hAnsi="Cambria"/>
          <w:iCs/>
          <w:sz w:val="22"/>
          <w:szCs w:val="22"/>
          <w:highlight w:val="lightGray"/>
        </w:rPr>
      </w:pPr>
      <w:r w:rsidRPr="009D24BE">
        <w:rPr>
          <w:rFonts w:ascii="Cambria" w:hAnsi="Cambria"/>
          <w:sz w:val="22"/>
          <w:szCs w:val="22"/>
          <w:lang w:eastAsia="en-GB"/>
        </w:rPr>
        <w:t>2.6</w:t>
      </w:r>
      <w:r>
        <w:rPr>
          <w:rFonts w:ascii="Cambria" w:hAnsi="Cambria"/>
          <w:sz w:val="22"/>
          <w:szCs w:val="22"/>
          <w:lang w:eastAsia="en-GB"/>
        </w:rPr>
        <w:t>.</w:t>
      </w:r>
      <w:r w:rsidRPr="009D24BE">
        <w:rPr>
          <w:rFonts w:ascii="Cambria" w:hAnsi="Cambria"/>
          <w:iCs/>
          <w:sz w:val="22"/>
          <w:szCs w:val="22"/>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9D24BE" w:rsidRDefault="009D24BE" w:rsidP="009D24BE">
      <w:pPr>
        <w:ind w:firstLine="567"/>
        <w:jc w:val="both"/>
        <w:rPr>
          <w:rFonts w:ascii="Cambria" w:hAnsi="Cambria"/>
          <w:iCs/>
          <w:sz w:val="22"/>
          <w:szCs w:val="22"/>
          <w:highlight w:val="lightGray"/>
        </w:rPr>
      </w:pPr>
      <w:r w:rsidRPr="009D24BE">
        <w:rPr>
          <w:rFonts w:ascii="Cambria" w:hAnsi="Cambria"/>
          <w:iCs/>
          <w:sz w:val="22"/>
          <w:szCs w:val="22"/>
          <w:highlight w:val="lightGray"/>
        </w:rPr>
        <w:t>2.</w:t>
      </w:r>
      <w:r w:rsidRPr="009D24BE">
        <w:rPr>
          <w:rFonts w:ascii="Cambria" w:hAnsi="Cambria"/>
          <w:iCs/>
          <w:sz w:val="22"/>
          <w:szCs w:val="22"/>
          <w:highlight w:val="lightGray"/>
        </w:rPr>
        <w:t>6</w:t>
      </w:r>
      <w:r w:rsidRPr="009D24BE">
        <w:rPr>
          <w:rFonts w:ascii="Cambria" w:hAnsi="Cambria"/>
          <w:iCs/>
          <w:sz w:val="22"/>
          <w:szCs w:val="22"/>
          <w:highlight w:val="lightGray"/>
        </w:rPr>
        <w:t xml:space="preserve">.1. Aplinkos apsaugos kriterijai nustatyti pagal: </w:t>
      </w:r>
    </w:p>
    <w:p w:rsidR="009D24BE" w:rsidRPr="009D24BE" w:rsidRDefault="009D24BE" w:rsidP="00ED7918">
      <w:pPr>
        <w:pStyle w:val="ListParagraph"/>
        <w:ind w:left="0" w:firstLine="567"/>
        <w:jc w:val="both"/>
        <w:rPr>
          <w:rFonts w:ascii="Cambria" w:hAnsi="Cambria"/>
          <w:sz w:val="22"/>
          <w:szCs w:val="22"/>
          <w:lang w:eastAsia="en-GB"/>
        </w:rPr>
      </w:pPr>
      <w:r w:rsidRPr="009D24BE">
        <w:rPr>
          <w:rFonts w:ascii="Cambria" w:hAnsi="Cambria"/>
          <w:iCs/>
          <w:sz w:val="22"/>
          <w:szCs w:val="22"/>
          <w:highlight w:val="lightGray"/>
        </w:rPr>
        <w:t>-Tvarkos aprašo 4.3. papunktį</w:t>
      </w:r>
      <w:r w:rsidRPr="009D24BE">
        <w:rPr>
          <w:rFonts w:ascii="Cambria" w:hAnsi="Cambria"/>
          <w:iCs/>
          <w:sz w:val="22"/>
          <w:szCs w:val="22"/>
          <w:highlight w:val="lightGray"/>
        </w:rPr>
        <w:t xml:space="preserve"> (</w:t>
      </w:r>
      <w:r w:rsidRPr="009D24BE">
        <w:rPr>
          <w:rFonts w:ascii="Cambria" w:hAnsi="Cambria"/>
          <w:sz w:val="22"/>
          <w:szCs w:val="22"/>
          <w:highlight w:val="lightGray"/>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15 p. ir 16 p.,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9D24BE">
        <w:rPr>
          <w:rFonts w:ascii="Cambria" w:hAnsi="Cambria"/>
          <w:sz w:val="22"/>
          <w:szCs w:val="22"/>
          <w:highlight w:val="lightGray"/>
        </w:rPr>
        <w:t>).</w:t>
      </w:r>
    </w:p>
    <w:p w:rsidR="00837C63" w:rsidRPr="000146B3" w:rsidRDefault="00837C63" w:rsidP="005623F0">
      <w:pPr>
        <w:ind w:firstLine="851"/>
        <w:jc w:val="both"/>
        <w:rPr>
          <w:rFonts w:ascii="Cambria" w:hAnsi="Cambria"/>
          <w:sz w:val="22"/>
          <w:szCs w:val="22"/>
        </w:rPr>
      </w:pPr>
    </w:p>
    <w:p w:rsidR="00851197" w:rsidRPr="000146B3" w:rsidRDefault="00563B4E" w:rsidP="00851197">
      <w:pPr>
        <w:pStyle w:val="Heading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563E25" w:rsidRPr="00563E25"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563E25">
        <w:rPr>
          <w:rFonts w:ascii="Cambria" w:hAnsi="Cambria"/>
          <w:iCs/>
          <w:sz w:val="22"/>
          <w:szCs w:val="22"/>
        </w:rPr>
        <w:t>:</w:t>
      </w:r>
    </w:p>
    <w:p w:rsidR="0041592D" w:rsidRPr="000146B3"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proofErr w:type="gramStart"/>
      <w:r w:rsidR="00851197" w:rsidRPr="000146B3">
        <w:rPr>
          <w:rFonts w:ascii="Cambria" w:hAnsi="Cambria"/>
        </w:rPr>
        <w:t xml:space="preserve">4.1.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as neatsižvelgia į tai,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lastRenderedPageBreak/>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563E25">
        <w:rPr>
          <w:rStyle w:val="WW-DefaultParagraphFont1"/>
          <w:rFonts w:ascii="Cambria" w:eastAsia="Times New Roman" w:hAnsi="Cambria"/>
          <w:bCs/>
          <w:color w:val="000000"/>
          <w:spacing w:val="-4"/>
          <w:sz w:val="22"/>
          <w:szCs w:val="22"/>
          <w:highlight w:val="lightGray"/>
          <w:u w:val="single"/>
          <w:lang w:eastAsia="lt-LT"/>
        </w:rPr>
        <w:t>balandžio 22</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756D9F" w:rsidRPr="000146B3">
        <w:rPr>
          <w:rStyle w:val="WW-DefaultParagraphFont1"/>
          <w:rFonts w:ascii="Cambria" w:eastAsia="Times New Roman" w:hAnsi="Cambria"/>
          <w:bCs/>
          <w:color w:val="000000"/>
          <w:spacing w:val="-4"/>
          <w:sz w:val="22"/>
          <w:szCs w:val="22"/>
          <w:highlight w:val="lightGray"/>
          <w:u w:val="single"/>
          <w:lang w:eastAsia="lt-LT"/>
        </w:rPr>
        <w:t>8</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Heading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yperlink"/>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w:t>
      </w:r>
      <w:r w:rsidRPr="000146B3">
        <w:rPr>
          <w:rFonts w:ascii="Cambria" w:eastAsia="Times New Roman" w:hAnsi="Cambria"/>
          <w:b w:val="0"/>
          <w:color w:val="000000"/>
          <w:sz w:val="22"/>
          <w:szCs w:val="22"/>
        </w:rPr>
        <w:lastRenderedPageBreak/>
        <w:t>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 tec</w:t>
      </w:r>
      <w:r w:rsidR="00066C5E">
        <w:rPr>
          <w:rFonts w:ascii="Cambria" w:hAnsi="Cambria" w:cs="Times New Roman"/>
          <w:b/>
          <w:iCs/>
          <w:lang w:val="lt-LT"/>
        </w:rPr>
        <w:t>hninė specifikacija (2 priedas</w:t>
      </w:r>
      <w:r w:rsidR="007974DA" w:rsidRPr="000146B3">
        <w:rPr>
          <w:rFonts w:ascii="Cambria" w:hAnsi="Cambria" w:cs="Times New Roman"/>
          <w:b/>
          <w:iCs/>
          <w:lang w:val="lt-LT"/>
        </w:rPr>
        <w:t>)</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w:t>
      </w:r>
      <w:r w:rsidR="000860CE">
        <w:rPr>
          <w:rFonts w:ascii="Cambria" w:hAnsi="Cambria" w:cs="Times New Roman"/>
          <w:b/>
          <w:color w:val="auto"/>
        </w:rPr>
        <w:t>4</w:t>
      </w:r>
      <w:r w:rsidR="007E2E8F">
        <w:rPr>
          <w:rFonts w:ascii="Cambria" w:hAnsi="Cambria" w:cs="Times New Roman"/>
          <w:b/>
          <w:color w:val="auto"/>
        </w:rPr>
        <w:t xml:space="preserve"> </w:t>
      </w:r>
      <w:r w:rsidR="00066C5E">
        <w:rPr>
          <w:rFonts w:ascii="Cambria" w:hAnsi="Cambria" w:cs="Times New Roman"/>
          <w:b/>
          <w:color w:val="auto"/>
        </w:rPr>
        <w:t>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w:t>
      </w:r>
      <w:bookmarkStart w:id="0" w:name="_GoBack"/>
      <w:bookmarkEnd w:id="0"/>
      <w:r w:rsidRPr="000146B3">
        <w:rPr>
          <w:rFonts w:ascii="Cambria" w:hAnsi="Cambria" w:cs="Times New Roman"/>
          <w:color w:val="auto"/>
        </w:rPr>
        <w:t>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Pr="00066C5E" w:rsidRDefault="00851197" w:rsidP="00851197">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t xml:space="preserve">6.14. Pirkimo procedūros metu, taip pat sustabdžius pirkimo procedūras dėl laikinųjų apsaugos priemonių taikymo perkančioji organizacija gali prašyti, kad rangovai pratęstų pasiūlymų </w:t>
      </w:r>
      <w:r w:rsidRPr="000146B3">
        <w:rPr>
          <w:rFonts w:ascii="Cambria" w:hAnsi="Cambria"/>
        </w:rPr>
        <w:lastRenderedPageBreak/>
        <w:t>galiojimą iki konkrečiai nurodyto termino. Rangovas gali atmesti tokį prašymą, neprarasdamas teisės į savo pasiūlymo galiojimo užtikrinimą, jeigu jo buvo reikalaujama</w:t>
      </w:r>
    </w:p>
    <w:p w:rsidR="00851197" w:rsidRPr="000146B3" w:rsidRDefault="00851197" w:rsidP="00851197">
      <w:pPr>
        <w:pStyle w:val="ListParagraph"/>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yperlink"/>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Heading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Heading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Heading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1" w:name="_Toc488306769"/>
    </w:p>
    <w:p w:rsidR="00851197" w:rsidRPr="000146B3" w:rsidRDefault="00851197" w:rsidP="00851197">
      <w:pPr>
        <w:rPr>
          <w:rFonts w:ascii="Cambria" w:hAnsi="Cambria"/>
          <w:sz w:val="22"/>
          <w:szCs w:val="22"/>
        </w:rPr>
      </w:pPr>
    </w:p>
    <w:p w:rsidR="00851197" w:rsidRPr="000146B3" w:rsidRDefault="00851197" w:rsidP="00851197">
      <w:pPr>
        <w:pStyle w:val="Heading1"/>
        <w:spacing w:before="0"/>
        <w:jc w:val="center"/>
        <w:rPr>
          <w:color w:val="auto"/>
          <w:sz w:val="22"/>
          <w:szCs w:val="22"/>
        </w:rPr>
      </w:pPr>
      <w:r w:rsidRPr="000146B3">
        <w:rPr>
          <w:color w:val="auto"/>
          <w:sz w:val="22"/>
          <w:szCs w:val="22"/>
        </w:rPr>
        <w:t>IX. PIRKIMO SĄLYGŲ PAAIŠKINIMAS IR PATIKSLINIMAS</w:t>
      </w:r>
      <w:bookmarkEnd w:id="1"/>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dėl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r w:rsidR="00851197" w:rsidRPr="000146B3">
        <w:rPr>
          <w:rFonts w:ascii="Cambria" w:hAnsi="Cambria" w:cs="Times New Roman"/>
          <w:lang w:val="pt-PT"/>
        </w:rPr>
        <w:t>dalis.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9.7. Bet kokia informacija, konkurso sąlygų paaiš</w:t>
      </w:r>
      <w:r w:rsidRPr="000146B3">
        <w:rPr>
          <w:rFonts w:ascii="Cambria" w:hAnsi="Cambria" w:cs="Times New Roman"/>
          <w:lang w:val="pt-PT"/>
        </w:rPr>
        <w:t>kinimai, prane</w:t>
      </w:r>
      <w:r w:rsidRPr="000146B3">
        <w:rPr>
          <w:rFonts w:ascii="Cambria" w:hAnsi="Cambria" w:cs="Times New Roman"/>
        </w:rPr>
        <w:t>šimai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9.8. P</w:t>
      </w:r>
      <w:r w:rsidRPr="000146B3">
        <w:rPr>
          <w:rFonts w:ascii="Cambria" w:hAnsi="Cambria" w:cs="Times New Roman"/>
          <w:lang w:val="sv-SE"/>
        </w:rPr>
        <w:t>erkan</w:t>
      </w:r>
      <w:r w:rsidRPr="000146B3">
        <w:rPr>
          <w:rFonts w:ascii="Cambria" w:hAnsi="Cambria" w:cs="Times New Roman"/>
        </w:rPr>
        <w:t>čioji organizacija ne</w:t>
      </w:r>
      <w:r w:rsidRPr="000146B3">
        <w:rPr>
          <w:rFonts w:ascii="Cambria" w:hAnsi="Cambria" w:cs="Times New Roman"/>
          <w:lang w:val="it-IT"/>
        </w:rPr>
        <w:t>ketina rengti susitikim</w:t>
      </w:r>
      <w:r w:rsidR="00E13BDD" w:rsidRPr="000146B3">
        <w:rPr>
          <w:rFonts w:ascii="Cambria" w:hAnsi="Cambria" w:cs="Times New Roman"/>
        </w:rPr>
        <w:t>ų su rangovai</w:t>
      </w:r>
      <w:r w:rsidRPr="000146B3">
        <w:rPr>
          <w:rFonts w:ascii="Cambria" w:hAnsi="Cambria" w:cs="Times New Roman"/>
        </w:rPr>
        <w:t>s dėl pirkimo dokumentų paaiškinimų.</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0860CE">
        <w:rPr>
          <w:rFonts w:ascii="Cambria" w:hAnsi="Cambria"/>
          <w:b/>
          <w:iCs/>
          <w:sz w:val="22"/>
          <w:szCs w:val="22"/>
          <w:highlight w:val="lightGray"/>
          <w:u w:val="single"/>
        </w:rPr>
        <w:t>bala</w:t>
      </w:r>
      <w:r w:rsidR="007E2E8F">
        <w:rPr>
          <w:rFonts w:ascii="Cambria" w:hAnsi="Cambria"/>
          <w:b/>
          <w:iCs/>
          <w:sz w:val="22"/>
          <w:szCs w:val="22"/>
          <w:highlight w:val="lightGray"/>
          <w:u w:val="single"/>
        </w:rPr>
        <w:t>n</w:t>
      </w:r>
      <w:r w:rsidR="000860CE">
        <w:rPr>
          <w:rFonts w:ascii="Cambria" w:hAnsi="Cambria"/>
          <w:b/>
          <w:iCs/>
          <w:sz w:val="22"/>
          <w:szCs w:val="22"/>
          <w:highlight w:val="lightGray"/>
          <w:u w:val="single"/>
        </w:rPr>
        <w:t>džio 22</w:t>
      </w:r>
      <w:r w:rsidR="00756D9F" w:rsidRPr="000146B3">
        <w:rPr>
          <w:rFonts w:ascii="Cambria" w:hAnsi="Cambria"/>
          <w:b/>
          <w:iCs/>
          <w:sz w:val="22"/>
          <w:szCs w:val="22"/>
          <w:highlight w:val="lightGray"/>
          <w:u w:val="single"/>
        </w:rPr>
        <w:t xml:space="preserve"> d. 8</w:t>
      </w:r>
      <w:r w:rsidR="00325436" w:rsidRPr="000146B3">
        <w:rPr>
          <w:rFonts w:ascii="Cambria" w:hAnsi="Cambria"/>
          <w:b/>
          <w:iCs/>
          <w:sz w:val="22"/>
          <w:szCs w:val="22"/>
          <w:highlight w:val="lightGray"/>
          <w:u w:val="single"/>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m. </w:t>
      </w:r>
      <w:r w:rsidR="000860CE">
        <w:rPr>
          <w:rFonts w:ascii="Cambria" w:hAnsi="Cambria"/>
          <w:b/>
          <w:iCs/>
          <w:sz w:val="22"/>
          <w:szCs w:val="22"/>
          <w:highlight w:val="lightGray"/>
          <w:u w:val="single"/>
        </w:rPr>
        <w:t>bala</w:t>
      </w:r>
      <w:r w:rsidR="007E2E8F">
        <w:rPr>
          <w:rFonts w:ascii="Cambria" w:hAnsi="Cambria"/>
          <w:b/>
          <w:iCs/>
          <w:sz w:val="22"/>
          <w:szCs w:val="22"/>
          <w:highlight w:val="lightGray"/>
          <w:u w:val="single"/>
        </w:rPr>
        <w:t>n</w:t>
      </w:r>
      <w:r w:rsidR="000860CE">
        <w:rPr>
          <w:rFonts w:ascii="Cambria" w:hAnsi="Cambria"/>
          <w:b/>
          <w:iCs/>
          <w:sz w:val="22"/>
          <w:szCs w:val="22"/>
          <w:highlight w:val="lightGray"/>
          <w:u w:val="single"/>
        </w:rPr>
        <w:t>džio 22</w:t>
      </w:r>
      <w:r w:rsidR="00756D9F" w:rsidRPr="000146B3">
        <w:rPr>
          <w:rFonts w:ascii="Cambria" w:hAnsi="Cambria"/>
          <w:b/>
          <w:iCs/>
          <w:sz w:val="22"/>
          <w:szCs w:val="22"/>
          <w:highlight w:val="lightGray"/>
          <w:u w:val="single"/>
        </w:rPr>
        <w:t xml:space="preserve"> </w:t>
      </w:r>
      <w:r w:rsidRPr="000146B3">
        <w:rPr>
          <w:rFonts w:ascii="Cambria" w:hAnsi="Cambria"/>
          <w:b/>
          <w:iCs/>
          <w:sz w:val="22"/>
          <w:szCs w:val="22"/>
          <w:highlight w:val="lightGray"/>
          <w:u w:val="single"/>
        </w:rPr>
        <w:t>d. intervale</w:t>
      </w:r>
      <w:r w:rsidRPr="000146B3">
        <w:rPr>
          <w:rFonts w:ascii="Cambria" w:hAnsi="Cambria"/>
          <w:iCs/>
          <w:sz w:val="22"/>
          <w:szCs w:val="22"/>
          <w:highlight w:val="lightGray"/>
          <w:u w:val="single"/>
        </w:rPr>
        <w:t xml:space="preserve"> </w:t>
      </w:r>
      <w:r w:rsidR="00756D9F" w:rsidRPr="000146B3">
        <w:rPr>
          <w:rFonts w:ascii="Cambria" w:hAnsi="Cambria"/>
          <w:b/>
          <w:iCs/>
          <w:sz w:val="22"/>
          <w:szCs w:val="22"/>
          <w:highlight w:val="lightGray"/>
          <w:u w:val="single"/>
        </w:rPr>
        <w:t>08</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756D9F" w:rsidRPr="000146B3">
        <w:rPr>
          <w:rFonts w:ascii="Cambria" w:hAnsi="Cambria"/>
          <w:b/>
          <w:iCs/>
          <w:sz w:val="22"/>
          <w:szCs w:val="22"/>
          <w:highlight w:val="lightGray"/>
          <w:u w:val="single"/>
        </w:rPr>
        <w:t>08</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ūlymo, jeigu patikrinusi jo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11.6.1. Rangov</w:t>
      </w:r>
      <w:r w:rsidR="00851197" w:rsidRPr="000146B3">
        <w:rPr>
          <w:rFonts w:ascii="Cambria" w:hAnsi="Cambria" w:cs="Times New Roman"/>
          <w:lang w:val="es-ES_tradnl"/>
        </w:rPr>
        <w:t>as pasi</w:t>
      </w:r>
      <w:r w:rsidR="00851197" w:rsidRPr="000146B3">
        <w:rPr>
          <w:rFonts w:ascii="Cambria" w:hAnsi="Cambria" w:cs="Times New Roman"/>
        </w:rPr>
        <w:t>ūlymą ar jo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11.6.2. pasiūlymas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visų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11.6.4. dalyvis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ūlymo. Šiuo atveju jo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lastRenderedPageBreak/>
        <w:tab/>
        <w:t>11.6.5. pateiktame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11.6.7. jei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r w:rsidR="00E13BDD" w:rsidRPr="000146B3">
        <w:rPr>
          <w:rFonts w:ascii="Cambria" w:hAnsi="Cambria" w:cs="Times New Roman"/>
        </w:rPr>
        <w:t>rangovas</w:t>
      </w:r>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066C5E" w:rsidRPr="00532AF4" w:rsidRDefault="00E71B43" w:rsidP="00532AF4">
      <w:pPr>
        <w:pStyle w:val="NormalWeb"/>
        <w:ind w:firstLine="851"/>
        <w:jc w:val="both"/>
        <w:rPr>
          <w:rFonts w:ascii="Calibri" w:hAnsi="Calibri" w:cs="Calibri"/>
          <w:color w:val="000000"/>
        </w:rPr>
      </w:pPr>
      <w:r w:rsidRPr="00E71B43">
        <w:rPr>
          <w:rFonts w:ascii="Cambria" w:hAnsi="Cambria" w:cs="Calibri"/>
          <w:color w:val="000000"/>
          <w:sz w:val="22"/>
          <w:szCs w:val="22"/>
        </w:rPr>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r w:rsidR="008E21EE" w:rsidRPr="000146B3">
        <w:rPr>
          <w:rFonts w:ascii="Cambria" w:hAnsi="Cambria" w:cs="Times New Roman"/>
          <w:b/>
        </w:rPr>
        <w:t>3</w:t>
      </w:r>
      <w:r w:rsidRPr="000146B3">
        <w:rPr>
          <w:rFonts w:ascii="Cambria" w:hAnsi="Cambria" w:cs="Times New Roman"/>
          <w:b/>
        </w:rPr>
        <w:t xml:space="preserve"> darbo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NoSpacing"/>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 xml:space="preserve">atsisako sudaryti pirkimo sutartį arba dalyvis iki perkančiosios organizacijos nurodyto laiko nepasirašo pirkimo </w:t>
      </w:r>
      <w:r w:rsidRPr="000146B3">
        <w:rPr>
          <w:rFonts w:ascii="Cambria" w:hAnsi="Cambria"/>
          <w:sz w:val="22"/>
          <w:szCs w:val="22"/>
        </w:rPr>
        <w:lastRenderedPageBreak/>
        <w:t>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NoSpacing"/>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ListParagraph"/>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Heading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r w:rsidRPr="000146B3">
        <w:rPr>
          <w:rFonts w:ascii="Cambria" w:hAnsi="Cambria" w:cs="Times New Roman"/>
          <w:b/>
          <w:bCs/>
          <w:spacing w:val="-4"/>
        </w:rPr>
        <w:t>3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Pr="000146B3"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554CDC" w:rsidRDefault="000860CE" w:rsidP="007974DA">
      <w:pPr>
        <w:suppressAutoHyphens w:val="0"/>
        <w:ind w:firstLine="851"/>
        <w:rPr>
          <w:rFonts w:ascii="Cambria" w:hAnsi="Cambria"/>
          <w:bCs/>
          <w:color w:val="000000"/>
          <w:sz w:val="22"/>
          <w:szCs w:val="22"/>
        </w:rPr>
      </w:pPr>
      <w:r>
        <w:rPr>
          <w:rFonts w:ascii="Cambria" w:hAnsi="Cambria"/>
          <w:bCs/>
          <w:color w:val="000000"/>
          <w:sz w:val="22"/>
          <w:szCs w:val="22"/>
        </w:rPr>
        <w:t>4</w:t>
      </w:r>
      <w:r w:rsidR="00554CDC">
        <w:rPr>
          <w:rFonts w:ascii="Cambria" w:hAnsi="Cambria"/>
          <w:bCs/>
          <w:color w:val="000000"/>
          <w:sz w:val="22"/>
          <w:szCs w:val="22"/>
        </w:rPr>
        <w:t xml:space="preserve"> priedas. D</w:t>
      </w:r>
      <w:r w:rsidR="00554CDC"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689D"/>
    <w:rsid w:val="006A3A70"/>
    <w:rsid w:val="00756D9F"/>
    <w:rsid w:val="007974DA"/>
    <w:rsid w:val="00797A71"/>
    <w:rsid w:val="007A21D2"/>
    <w:rsid w:val="007E2E8F"/>
    <w:rsid w:val="00837C63"/>
    <w:rsid w:val="00851197"/>
    <w:rsid w:val="0087190D"/>
    <w:rsid w:val="00895B39"/>
    <w:rsid w:val="008E21EE"/>
    <w:rsid w:val="008F4FCA"/>
    <w:rsid w:val="0090327B"/>
    <w:rsid w:val="0094194B"/>
    <w:rsid w:val="00981285"/>
    <w:rsid w:val="00984EEF"/>
    <w:rsid w:val="009923AB"/>
    <w:rsid w:val="009B0C2B"/>
    <w:rsid w:val="009C26E1"/>
    <w:rsid w:val="009D24BE"/>
    <w:rsid w:val="00A06482"/>
    <w:rsid w:val="00A4678C"/>
    <w:rsid w:val="00B111F2"/>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A033D"/>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902C"/>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19444</Words>
  <Characters>11084</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51</cp:revision>
  <cp:lastPrinted>2023-04-17T08:01:00Z</cp:lastPrinted>
  <dcterms:created xsi:type="dcterms:W3CDTF">2022-08-11T05:08:00Z</dcterms:created>
  <dcterms:modified xsi:type="dcterms:W3CDTF">2025-04-14T05:15:00Z</dcterms:modified>
</cp:coreProperties>
</file>